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06791" w14:textId="77777777" w:rsidR="003831BC" w:rsidRDefault="003831BC" w:rsidP="003831BC">
      <w:pPr>
        <w:pStyle w:val="Heading1"/>
        <w:jc w:val="both"/>
        <w:rPr>
          <w:rFonts w:ascii="Century Gothic" w:hAnsi="Century Gothic"/>
          <w:b/>
          <w:bCs/>
          <w:color w:val="D8117D"/>
        </w:rPr>
      </w:pPr>
      <w:bookmarkStart w:id="0" w:name="_Toc50553583"/>
      <w:r w:rsidRPr="00DF2173">
        <w:rPr>
          <w:noProof/>
        </w:rPr>
        <mc:AlternateContent>
          <mc:Choice Requires="wpg">
            <w:drawing>
              <wp:anchor distT="0" distB="0" distL="114300" distR="114300" simplePos="0" relativeHeight="251665408" behindDoc="0" locked="0" layoutInCell="1" allowOverlap="1" wp14:anchorId="2625E202" wp14:editId="165C27C4">
                <wp:simplePos x="0" y="0"/>
                <wp:positionH relativeFrom="page">
                  <wp:align>right</wp:align>
                </wp:positionH>
                <wp:positionV relativeFrom="paragraph">
                  <wp:posOffset>9212580</wp:posOffset>
                </wp:positionV>
                <wp:extent cx="7553325" cy="557585"/>
                <wp:effectExtent l="0" t="0" r="9525" b="0"/>
                <wp:wrapNone/>
                <wp:docPr id="4" name="Group 2"/>
                <wp:cNvGraphicFramePr/>
                <a:graphic xmlns:a="http://schemas.openxmlformats.org/drawingml/2006/main">
                  <a:graphicData uri="http://schemas.microsoft.com/office/word/2010/wordprocessingGroup">
                    <wpg:wgp>
                      <wpg:cNvGrpSpPr/>
                      <wpg:grpSpPr>
                        <a:xfrm>
                          <a:off x="0" y="0"/>
                          <a:ext cx="7553325" cy="557585"/>
                          <a:chOff x="0" y="0"/>
                          <a:chExt cx="9134546" cy="557585"/>
                        </a:xfrm>
                      </wpg:grpSpPr>
                      <pic:pic xmlns:pic="http://schemas.openxmlformats.org/drawingml/2006/picture">
                        <pic:nvPicPr>
                          <pic:cNvPr id="9" name="Picture 9"/>
                          <pic:cNvPicPr>
                            <a:picLocks noChangeAspect="1"/>
                          </pic:cNvPicPr>
                        </pic:nvPicPr>
                        <pic:blipFill>
                          <a:blip r:embed="rId7"/>
                          <a:stretch>
                            <a:fillRect/>
                          </a:stretch>
                        </pic:blipFill>
                        <pic:spPr>
                          <a:xfrm>
                            <a:off x="0" y="0"/>
                            <a:ext cx="9134546" cy="557585"/>
                          </a:xfrm>
                          <a:prstGeom prst="rect">
                            <a:avLst/>
                          </a:prstGeom>
                        </pic:spPr>
                      </pic:pic>
                      <wps:wsp>
                        <wps:cNvPr id="10" name="TextBox 10"/>
                        <wps:cNvSpPr txBox="1"/>
                        <wps:spPr>
                          <a:xfrm>
                            <a:off x="188059" y="103001"/>
                            <a:ext cx="3618230" cy="398145"/>
                          </a:xfrm>
                          <a:prstGeom prst="rect">
                            <a:avLst/>
                          </a:prstGeom>
                          <a:solidFill>
                            <a:srgbClr val="009FE3"/>
                          </a:solidFill>
                          <a:ln>
                            <a:noFill/>
                          </a:ln>
                        </wps:spPr>
                        <wps:txbx>
                          <w:txbxContent>
                            <w:p w14:paraId="1FE6C327" w14:textId="77777777" w:rsidR="003831BC" w:rsidRDefault="003831BC" w:rsidP="003831BC">
                              <w:pPr>
                                <w:kinsoku w:val="0"/>
                                <w:overflowPunct w:val="0"/>
                                <w:textAlignment w:val="baseline"/>
                                <w:rPr>
                                  <w:sz w:val="24"/>
                                  <w:szCs w:val="24"/>
                                </w:rPr>
                              </w:pPr>
                              <w:r>
                                <w:rPr>
                                  <w:rFonts w:eastAsia="MS PGothic" w:hAnsi="Calibri"/>
                                  <w:color w:val="FFFFFF" w:themeColor="background1"/>
                                  <w:kern w:val="24"/>
                                  <w:sz w:val="27"/>
                                  <w:szCs w:val="27"/>
                                </w:rPr>
                                <w:t>Be part of the equation</w:t>
                              </w:r>
                            </w:p>
                          </w:txbxContent>
                        </wps:txbx>
                        <wps:bodyPr wrap="square" rtlCol="0">
                          <a:noAutofit/>
                        </wps:bodyPr>
                      </wps:wsp>
                    </wpg:wgp>
                  </a:graphicData>
                </a:graphic>
                <wp14:sizeRelH relativeFrom="margin">
                  <wp14:pctWidth>0</wp14:pctWidth>
                </wp14:sizeRelH>
              </wp:anchor>
            </w:drawing>
          </mc:Choice>
          <mc:Fallback>
            <w:pict>
              <v:group w14:anchorId="2625E202" id="Group 2" o:spid="_x0000_s1026" style="position:absolute;left:0;text-align:left;margin-left:543.55pt;margin-top:725.4pt;width:594.75pt;height:43.9pt;z-index:251665408;mso-position-horizontal:right;mso-position-horizontal-relative:page;mso-width-relative:margin" coordsize="9134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91345;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10" o:spid="_x0000_s1028" type="#_x0000_t202" style="position:absolute;left:1880;top:1030;width:3618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" fillcolor="#009fe3" stroked="f">
                  <v:textbox>
                    <w:txbxContent>
                      <w:p w14:paraId="1FE6C327" w14:textId="77777777" w:rsidR="003831BC" w:rsidRDefault="003831BC" w:rsidP="003831BC">
                        <w:pPr>
                          <w:kinsoku w:val="0"/>
                          <w:overflowPunct w:val="0"/>
                          <w:textAlignment w:val="baseline"/>
                          <w:rPr>
                            <w:sz w:val="24"/>
                            <w:szCs w:val="24"/>
                          </w:rPr>
                        </w:pPr>
                        <w:r>
                          <w:rPr>
                            <w:rFonts w:eastAsia="MS PGothic" w:hAnsi="Calibri"/>
                            <w:color w:val="FFFFFF" w:themeColor="background1"/>
                            <w:kern w:val="24"/>
                            <w:sz w:val="27"/>
                            <w:szCs w:val="27"/>
                          </w:rPr>
                          <w:t>Be part of the equation</w:t>
                        </w:r>
                      </w:p>
                    </w:txbxContent>
                  </v:textbox>
                </v:shape>
                <w10:wrap anchorx="page"/>
              </v:group>
            </w:pict>
          </mc:Fallback>
        </mc:AlternateContent>
      </w:r>
      <w:r w:rsidRPr="00DF2173">
        <w:rPr>
          <w:noProof/>
        </w:rPr>
        <mc:AlternateContent>
          <mc:Choice Requires="wps">
            <w:drawing>
              <wp:anchor distT="0" distB="0" distL="114300" distR="114300" simplePos="0" relativeHeight="251662336" behindDoc="0" locked="0" layoutInCell="1" allowOverlap="1" wp14:anchorId="686E5727" wp14:editId="6C1261E9">
                <wp:simplePos x="0" y="0"/>
                <wp:positionH relativeFrom="page">
                  <wp:posOffset>350520</wp:posOffset>
                </wp:positionH>
                <wp:positionV relativeFrom="paragraph">
                  <wp:posOffset>3910965</wp:posOffset>
                </wp:positionV>
                <wp:extent cx="8208144" cy="471014"/>
                <wp:effectExtent l="0" t="0" r="0" b="0"/>
                <wp:wrapNone/>
                <wp:docPr id="14"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8144" cy="471014"/>
                        </a:xfrm>
                        <a:prstGeom prst="rect">
                          <a:avLst/>
                        </a:prstGeom>
                      </wps:spPr>
                      <wps:txbx>
                        <w:txbxContent>
                          <w:p w14:paraId="19EEF701" w14:textId="77777777" w:rsidR="003831BC" w:rsidRDefault="003831BC" w:rsidP="003831BC">
                            <w:pPr>
                              <w:kinsoku w:val="0"/>
                              <w:overflowPunct w:val="0"/>
                              <w:textAlignment w:val="baseline"/>
                              <w:rPr>
                                <w:sz w:val="24"/>
                                <w:szCs w:val="24"/>
                              </w:rPr>
                            </w:pPr>
                            <w:r>
                              <w:rPr>
                                <w:rFonts w:ascii="Arial" w:eastAsia="MS PGothic" w:hAnsi="Arial" w:cs="Arial"/>
                                <w:b/>
                                <w:bCs/>
                                <w:color w:val="D8117D"/>
                                <w:sz w:val="36"/>
                                <w:szCs w:val="36"/>
                              </w:rPr>
                              <w:t>Technical report</w:t>
                            </w:r>
                          </w:p>
                        </w:txbxContent>
                      </wps:txbx>
                      <wps:bodyPr/>
                    </wps:wsp>
                  </a:graphicData>
                </a:graphic>
              </wp:anchor>
            </w:drawing>
          </mc:Choice>
          <mc:Fallback>
            <w:pict>
              <v:shape w14:anchorId="686E5727" id="Text Placeholder 3" o:spid="_x0000_s1029" type="#_x0000_t202" style="position:absolute;left:0;text-align:left;margin-left:27.6pt;margin-top:307.95pt;width:646.3pt;height:37.1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" filled="f" stroked="f">
                <v:textbox>
                  <w:txbxContent>
                    <w:p w14:paraId="19EEF701" w14:textId="77777777" w:rsidR="003831BC" w:rsidRDefault="003831BC" w:rsidP="003831BC">
                      <w:pPr>
                        <w:kinsoku w:val="0"/>
                        <w:overflowPunct w:val="0"/>
                        <w:textAlignment w:val="baseline"/>
                        <w:rPr>
                          <w:sz w:val="24"/>
                          <w:szCs w:val="24"/>
                        </w:rPr>
                      </w:pPr>
                      <w:r>
                        <w:rPr>
                          <w:rFonts w:ascii="Arial" w:eastAsia="MS PGothic" w:hAnsi="Arial" w:cs="Arial"/>
                          <w:b/>
                          <w:bCs/>
                          <w:color w:val="D8117D"/>
                          <w:sz w:val="36"/>
                          <w:szCs w:val="36"/>
                        </w:rPr>
                        <w:t>Technical report</w:t>
                      </w:r>
                    </w:p>
                  </w:txbxContent>
                </v:textbox>
                <w10:wrap anchorx="page"/>
              </v:shape>
            </w:pict>
          </mc:Fallback>
        </mc:AlternateContent>
      </w:r>
      <w:r w:rsidRPr="00DF2173">
        <w:rPr>
          <w:noProof/>
        </w:rPr>
        <mc:AlternateContent>
          <mc:Choice Requires="wps">
            <w:drawing>
              <wp:anchor distT="0" distB="0" distL="114300" distR="114300" simplePos="0" relativeHeight="251660288" behindDoc="0" locked="0" layoutInCell="1" allowOverlap="1" wp14:anchorId="18431352" wp14:editId="6048E503">
                <wp:simplePos x="0" y="0"/>
                <wp:positionH relativeFrom="column">
                  <wp:posOffset>-563880</wp:posOffset>
                </wp:positionH>
                <wp:positionV relativeFrom="paragraph">
                  <wp:posOffset>2514600</wp:posOffset>
                </wp:positionV>
                <wp:extent cx="7040880" cy="1539240"/>
                <wp:effectExtent l="0" t="0" r="0" b="0"/>
                <wp:wrapNone/>
                <wp:docPr id="1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0880" cy="1539240"/>
                        </a:xfrm>
                        <a:prstGeom prst="rect">
                          <a:avLst/>
                        </a:prstGeom>
                      </wps:spPr>
                      <wps:txbx>
                        <w:txbxContent>
                          <w:p w14:paraId="682E579B" w14:textId="77777777" w:rsidR="003831BC" w:rsidRDefault="003831BC" w:rsidP="003831BC">
                            <w:pPr>
                              <w:kinsoku w:val="0"/>
                              <w:overflowPunct w:val="0"/>
                              <w:textAlignment w:val="baseline"/>
                              <w:rPr>
                                <w:sz w:val="24"/>
                                <w:szCs w:val="24"/>
                              </w:rPr>
                            </w:pPr>
                            <w:proofErr w:type="spellStart"/>
                            <w:r>
                              <w:rPr>
                                <w:rFonts w:ascii="Arial Black" w:eastAsia="MS PGothic" w:hAnsi="Arial Black" w:cs="Arial Black"/>
                                <w:color w:val="009FE3"/>
                                <w:spacing w:val="-23"/>
                                <w:sz w:val="72"/>
                                <w:szCs w:val="72"/>
                              </w:rPr>
                              <w:t>ecda</w:t>
                            </w:r>
                            <w:proofErr w:type="spellEnd"/>
                            <w:r>
                              <w:rPr>
                                <w:rFonts w:ascii="Arial Black" w:eastAsia="MS PGothic" w:hAnsi="Arial Black" w:cs="Arial Black"/>
                                <w:color w:val="009FE3"/>
                                <w:spacing w:val="-23"/>
                                <w:sz w:val="72"/>
                                <w:szCs w:val="72"/>
                              </w:rPr>
                              <w:t xml:space="preserve"> Physical Activity Analysis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8431352" id="Title 1" o:spid="_x0000_s1030" type="#_x0000_t202" style="position:absolute;left:0;text-align:left;margin-left:-44.4pt;margin-top:198pt;width:554.4pt;height:1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" filled="f" stroked="f">
                <v:textbox>
                  <w:txbxContent>
                    <w:p w14:paraId="682E579B" w14:textId="77777777" w:rsidR="003831BC" w:rsidRDefault="003831BC" w:rsidP="003831BC">
                      <w:pPr>
                        <w:kinsoku w:val="0"/>
                        <w:overflowPunct w:val="0"/>
                        <w:textAlignment w:val="baseline"/>
                        <w:rPr>
                          <w:sz w:val="24"/>
                          <w:szCs w:val="24"/>
                        </w:rPr>
                      </w:pPr>
                      <w:proofErr w:type="spellStart"/>
                      <w:r>
                        <w:rPr>
                          <w:rFonts w:ascii="Arial Black" w:eastAsia="MS PGothic" w:hAnsi="Arial Black" w:cs="Arial Black"/>
                          <w:color w:val="009FE3"/>
                          <w:spacing w:val="-23"/>
                          <w:sz w:val="72"/>
                          <w:szCs w:val="72"/>
                        </w:rPr>
                        <w:t>ecda</w:t>
                      </w:r>
                      <w:proofErr w:type="spellEnd"/>
                      <w:r>
                        <w:rPr>
                          <w:rFonts w:ascii="Arial Black" w:eastAsia="MS PGothic" w:hAnsi="Arial Black" w:cs="Arial Black"/>
                          <w:color w:val="009FE3"/>
                          <w:spacing w:val="-23"/>
                          <w:sz w:val="72"/>
                          <w:szCs w:val="72"/>
                        </w:rPr>
                        <w:t xml:space="preserve"> Physical Activity Analysis</w:t>
                      </w:r>
                    </w:p>
                  </w:txbxContent>
                </v:textbox>
              </v:shape>
            </w:pict>
          </mc:Fallback>
        </mc:AlternateContent>
      </w:r>
      <w:r w:rsidRPr="00DF2173">
        <w:rPr>
          <w:noProof/>
        </w:rPr>
        <mc:AlternateContent>
          <mc:Choice Requires="wps">
            <w:drawing>
              <wp:anchor distT="0" distB="0" distL="114300" distR="114300" simplePos="0" relativeHeight="251661312" behindDoc="0" locked="0" layoutInCell="1" allowOverlap="1" wp14:anchorId="67869514" wp14:editId="31121D2C">
                <wp:simplePos x="0" y="0"/>
                <wp:positionH relativeFrom="column">
                  <wp:posOffset>-514350</wp:posOffset>
                </wp:positionH>
                <wp:positionV relativeFrom="paragraph">
                  <wp:posOffset>7816215</wp:posOffset>
                </wp:positionV>
                <wp:extent cx="8208010" cy="319405"/>
                <wp:effectExtent l="0" t="0" r="0" b="0"/>
                <wp:wrapNone/>
                <wp:docPr id="13"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8010" cy="319405"/>
                        </a:xfrm>
                        <a:prstGeom prst="rect">
                          <a:avLst/>
                        </a:prstGeom>
                      </wps:spPr>
                      <wps:txbx>
                        <w:txbxContent>
                          <w:p w14:paraId="3EA90C22" w14:textId="77777777" w:rsidR="003831BC" w:rsidRDefault="003831BC" w:rsidP="003831BC">
                            <w:pPr>
                              <w:kinsoku w:val="0"/>
                              <w:overflowPunct w:val="0"/>
                              <w:textAlignment w:val="baseline"/>
                              <w:rPr>
                                <w:sz w:val="24"/>
                                <w:szCs w:val="24"/>
                              </w:rPr>
                            </w:pPr>
                            <w:r>
                              <w:rPr>
                                <w:rFonts w:ascii="Arial" w:eastAsia="MS PGothic" w:hAnsi="Arial" w:cs="Arial"/>
                                <w:color w:val="000000" w:themeColor="text1"/>
                                <w:sz w:val="27"/>
                                <w:szCs w:val="27"/>
                              </w:rPr>
                              <w:t>Emma Farrow, Public Health Analyst; Jevon Harper, Senior Analyst</w:t>
                            </w:r>
                          </w:p>
                        </w:txbxContent>
                      </wps:txbx>
                      <wps:bodyPr/>
                    </wps:wsp>
                  </a:graphicData>
                </a:graphic>
              </wp:anchor>
            </w:drawing>
          </mc:Choice>
          <mc:Fallback>
            <w:pict>
              <v:shape w14:anchorId="67869514" id="_x0000_s1031" type="#_x0000_t202" style="position:absolute;left:0;text-align:left;margin-left:-40.5pt;margin-top:615.45pt;width:646.3pt;height:2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" filled="f" stroked="f">
                <v:textbox>
                  <w:txbxContent>
                    <w:p w14:paraId="3EA90C22" w14:textId="77777777" w:rsidR="003831BC" w:rsidRDefault="003831BC" w:rsidP="003831BC">
                      <w:pPr>
                        <w:kinsoku w:val="0"/>
                        <w:overflowPunct w:val="0"/>
                        <w:textAlignment w:val="baseline"/>
                        <w:rPr>
                          <w:sz w:val="24"/>
                          <w:szCs w:val="24"/>
                        </w:rPr>
                      </w:pPr>
                      <w:r>
                        <w:rPr>
                          <w:rFonts w:ascii="Arial" w:eastAsia="MS PGothic" w:hAnsi="Arial" w:cs="Arial"/>
                          <w:color w:val="000000" w:themeColor="text1"/>
                          <w:sz w:val="27"/>
                          <w:szCs w:val="27"/>
                        </w:rPr>
                        <w:t>Emma Farrow, Public Health Analyst; Jevon Harper, Senior Analyst</w:t>
                      </w:r>
                    </w:p>
                  </w:txbxContent>
                </v:textbox>
              </v:shape>
            </w:pict>
          </mc:Fallback>
        </mc:AlternateContent>
      </w:r>
      <w:r w:rsidRPr="00DF2173">
        <w:rPr>
          <w:noProof/>
        </w:rPr>
        <w:drawing>
          <wp:anchor distT="0" distB="0" distL="114300" distR="114300" simplePos="0" relativeHeight="251659264" behindDoc="1" locked="0" layoutInCell="1" allowOverlap="1" wp14:anchorId="1EF5F2F5" wp14:editId="5C766FE7">
            <wp:simplePos x="0" y="0"/>
            <wp:positionH relativeFrom="margin">
              <wp:align>right</wp:align>
            </wp:positionH>
            <wp:positionV relativeFrom="paragraph">
              <wp:posOffset>0</wp:posOffset>
            </wp:positionV>
            <wp:extent cx="1978924" cy="756486"/>
            <wp:effectExtent l="0" t="0" r="2540" b="5715"/>
            <wp:wrapTight wrapText="bothSides">
              <wp:wrapPolygon edited="0">
                <wp:start x="0" y="0"/>
                <wp:lineTo x="0" y="21219"/>
                <wp:lineTo x="21420" y="21219"/>
                <wp:lineTo x="21420" y="0"/>
                <wp:lineTo x="0" y="0"/>
              </wp:wrapPolygon>
            </wp:wrapTight>
            <wp:docPr id="11" name="Picture 4">
              <a:extLst xmlns:a="http://schemas.openxmlformats.org/drawingml/2006/main">
                <a:ext uri="{FF2B5EF4-FFF2-40B4-BE49-F238E27FC236}">
                  <a16:creationId xmlns:a16="http://schemas.microsoft.com/office/drawing/2014/main" id="{EB0C5A7C-5E3D-5F4E-B136-EF17E537C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0C5A7C-5E3D-5F4E-B136-EF17E537C71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924" cy="756486"/>
                    </a:xfrm>
                    <a:prstGeom prst="rect">
                      <a:avLst/>
                    </a:prstGeom>
                  </pic:spPr>
                </pic:pic>
              </a:graphicData>
            </a:graphic>
          </wp:anchor>
        </w:drawing>
      </w:r>
      <w:r w:rsidRPr="00BA313B">
        <w:br w:type="page"/>
      </w:r>
      <w:r>
        <w:rPr>
          <w:rFonts w:ascii="Century Gothic" w:hAnsi="Century Gothic"/>
          <w:b/>
          <w:bCs/>
          <w:color w:val="D8117D"/>
        </w:rPr>
        <w:lastRenderedPageBreak/>
        <w:t>Exec</w:t>
      </w:r>
      <w:r w:rsidRPr="30DB5E9C">
        <w:rPr>
          <w:rFonts w:ascii="Century Gothic" w:hAnsi="Century Gothic"/>
          <w:b/>
          <w:bCs/>
          <w:color w:val="D8117D"/>
        </w:rPr>
        <w:t>utive Summary</w:t>
      </w:r>
      <w:bookmarkEnd w:id="0"/>
    </w:p>
    <w:p w14:paraId="23B1E43E" w14:textId="77777777" w:rsidR="003831BC" w:rsidRDefault="003831BC" w:rsidP="003831BC">
      <w:pPr>
        <w:jc w:val="both"/>
        <w:rPr>
          <w:rFonts w:ascii="Century Gothic" w:eastAsia="Century Gothic" w:hAnsi="Century Gothic" w:cs="Century Gothic"/>
        </w:rPr>
      </w:pPr>
    </w:p>
    <w:p w14:paraId="7A8DEBB2" w14:textId="77777777" w:rsidR="003831BC" w:rsidRDefault="003831BC" w:rsidP="003831BC">
      <w:pPr>
        <w:jc w:val="both"/>
        <w:rPr>
          <w:rFonts w:ascii="Century Gothic" w:eastAsia="Century Gothic" w:hAnsi="Century Gothic" w:cs="Century Gothic"/>
        </w:rPr>
      </w:pPr>
      <w:r w:rsidRPr="03A9C962">
        <w:rPr>
          <w:rFonts w:ascii="Century Gothic" w:eastAsia="Century Gothic" w:hAnsi="Century Gothic" w:cs="Century Gothic"/>
        </w:rPr>
        <w:t>The Essex Centre for Data and Analytics</w:t>
      </w:r>
      <w:r>
        <w:rPr>
          <w:rFonts w:ascii="Century Gothic" w:eastAsia="Century Gothic" w:hAnsi="Century Gothic" w:cs="Century Gothic"/>
        </w:rPr>
        <w:t xml:space="preserve"> (</w:t>
      </w:r>
      <w:proofErr w:type="spellStart"/>
      <w:r>
        <w:rPr>
          <w:rFonts w:ascii="Century Gothic" w:eastAsia="Century Gothic" w:hAnsi="Century Gothic" w:cs="Century Gothic"/>
        </w:rPr>
        <w:t>ecda</w:t>
      </w:r>
      <w:proofErr w:type="spellEnd"/>
      <w:r>
        <w:rPr>
          <w:rFonts w:ascii="Century Gothic" w:eastAsia="Century Gothic" w:hAnsi="Century Gothic" w:cs="Century Gothic"/>
        </w:rPr>
        <w:t>)</w:t>
      </w:r>
      <w:r w:rsidRPr="03A9C962">
        <w:rPr>
          <w:rFonts w:ascii="Century Gothic" w:eastAsia="Century Gothic" w:hAnsi="Century Gothic" w:cs="Century Gothic"/>
        </w:rPr>
        <w:t xml:space="preserve"> produced an interactive tool in partnership with the Essex Local Delivery Pilot in order to improve </w:t>
      </w:r>
      <w:r w:rsidRPr="03A9C962">
        <w:rPr>
          <w:rFonts w:ascii="Century Gothic" w:eastAsia="Century Gothic" w:hAnsi="Century Gothic" w:cs="Century Gothic"/>
          <w:sz w:val="22"/>
          <w:szCs w:val="22"/>
        </w:rPr>
        <w:t xml:space="preserve">the insight available that is needed for an evidence-based approach to improving physical activity levels across Essex. This tool is the </w:t>
      </w:r>
      <w:proofErr w:type="spellStart"/>
      <w:r w:rsidRPr="03A9C962">
        <w:rPr>
          <w:rFonts w:ascii="Century Gothic" w:eastAsia="Century Gothic" w:hAnsi="Century Gothic" w:cs="Century Gothic"/>
          <w:sz w:val="22"/>
          <w:szCs w:val="22"/>
        </w:rPr>
        <w:t>ecda</w:t>
      </w:r>
      <w:proofErr w:type="spellEnd"/>
      <w:r w:rsidRPr="03A9C962">
        <w:rPr>
          <w:rFonts w:ascii="Century Gothic" w:eastAsia="Century Gothic" w:hAnsi="Century Gothic" w:cs="Century Gothic"/>
          <w:sz w:val="22"/>
          <w:szCs w:val="22"/>
        </w:rPr>
        <w:t xml:space="preserve"> Physical Activity Dashboard, located on the Essex Open Data Platform.</w:t>
      </w:r>
    </w:p>
    <w:p w14:paraId="31980F50" w14:textId="77777777" w:rsidR="003831BC" w:rsidRDefault="003831BC" w:rsidP="003831BC">
      <w:pPr>
        <w:spacing w:line="257"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data we worked on</w:t>
      </w:r>
      <w:r w:rsidRPr="03A9C962">
        <w:rPr>
          <w:rFonts w:ascii="Century Gothic" w:eastAsia="Century Gothic" w:hAnsi="Century Gothic" w:cs="Century Gothic"/>
          <w:sz w:val="22"/>
          <w:szCs w:val="22"/>
        </w:rPr>
        <w:t xml:space="preserve"> was split up into 10 different themes representing barriers and drivers to physical inactivity, such as health, economy and education and skills, and then each variable transformed into deciles. An average decile per theme was created for every LSOA, which was then weighted and combined according to a regression analysis to produce an overall score estimating the physical inactivity levels at an LSOA level. The impact of each theme on the physical inactivity scores was also ascertained from the regression analysis. Health was found to be the biggest likely driver of physical inactivity levels. On average, Essex scores 5.93 for health indicators (out of 10). Tendring has the lowest score (4.54) for health compared across all Essex Districts, lower than the Essex average along with the two other ELDP target districts, Basildon and Colchester. LSOAs with some of the lowest scores on health are located along the Tendring Coast and the </w:t>
      </w:r>
      <w:proofErr w:type="spellStart"/>
      <w:r w:rsidRPr="03A9C962">
        <w:rPr>
          <w:rFonts w:ascii="Century Gothic" w:eastAsia="Century Gothic" w:hAnsi="Century Gothic" w:cs="Century Gothic"/>
          <w:sz w:val="22"/>
          <w:szCs w:val="22"/>
        </w:rPr>
        <w:t>Pitsea</w:t>
      </w:r>
      <w:proofErr w:type="spellEnd"/>
      <w:r w:rsidRPr="03A9C962">
        <w:rPr>
          <w:rFonts w:ascii="Century Gothic" w:eastAsia="Century Gothic" w:hAnsi="Century Gothic" w:cs="Century Gothic"/>
          <w:sz w:val="22"/>
          <w:szCs w:val="22"/>
        </w:rPr>
        <w:t xml:space="preserve"> South East ward, some of the most deprived areas according to the IMD 2019 and are also of focus for the ELDP. However, other factors related to the area also have an impact on the risk of an LSOA being inactive, with economy and presence of vulnerable groups also found to be the next most important drivers.</w:t>
      </w:r>
    </w:p>
    <w:p w14:paraId="31904F73" w14:textId="77777777" w:rsidR="003831BC" w:rsidRDefault="003831BC" w:rsidP="003831BC">
      <w:pPr>
        <w:spacing w:line="257" w:lineRule="auto"/>
        <w:jc w:val="both"/>
        <w:rPr>
          <w:rFonts w:ascii="Century Gothic" w:eastAsia="Century Gothic" w:hAnsi="Century Gothic" w:cs="Century Gothic"/>
          <w:sz w:val="22"/>
          <w:szCs w:val="22"/>
        </w:rPr>
      </w:pPr>
      <w:r w:rsidRPr="3B740A67">
        <w:rPr>
          <w:rFonts w:ascii="Century Gothic" w:eastAsia="Century Gothic" w:hAnsi="Century Gothic" w:cs="Century Gothic"/>
          <w:sz w:val="22"/>
          <w:szCs w:val="22"/>
        </w:rPr>
        <w:t>Furthermore, a cluster analysis of all LSOAs in Essex found that there are 4 distinct groups based on similarities and differences in their drivers and barriers to physical activity. Two of these groups were found to likely have high levels of inactivity, with a range of different drivers for this within each. Cluster 1 has issues in most driver themes, especially in: Crime, Education and Skills, and Vulnerable Groups. Cluster 2 also has low scores in most driver themes, but especially in: Access and Transport, Communities and Environment, and Population. Most of the ELDP Target Areas fall within these two challenging types of clusters, with 78% of target LSOAs in Cluster 1 and 16% in Cluster 2. Most of the LSOAs in Cluster 1 are in the Basildon District, and most of the LSOA</w:t>
      </w:r>
      <w:r>
        <w:rPr>
          <w:rFonts w:ascii="Century Gothic" w:eastAsia="Century Gothic" w:hAnsi="Century Gothic" w:cs="Century Gothic"/>
          <w:sz w:val="22"/>
          <w:szCs w:val="22"/>
        </w:rPr>
        <w:t>s</w:t>
      </w:r>
      <w:r w:rsidRPr="3B740A67">
        <w:rPr>
          <w:rFonts w:ascii="Century Gothic" w:eastAsia="Century Gothic" w:hAnsi="Century Gothic" w:cs="Century Gothic"/>
          <w:sz w:val="22"/>
          <w:szCs w:val="22"/>
        </w:rPr>
        <w:t xml:space="preserve"> in Cluster 2 in the Tendring District. There appears to be a socio-economic gradient according to deprivation in the clusters; the LSOAs estimated to be most the physically inactive are LSOAs with relatively high levels of deprivation and LSOAs estimated to be the least physically inactive are LSOAs with relatively lower levels of deprivation.</w:t>
      </w:r>
    </w:p>
    <w:p w14:paraId="0844AB06" w14:textId="77777777" w:rsidR="003831BC" w:rsidRDefault="003831BC" w:rsidP="003831BC">
      <w:pPr>
        <w:spacing w:line="257" w:lineRule="auto"/>
        <w:jc w:val="both"/>
        <w:rPr>
          <w:rFonts w:ascii="Century Gothic" w:eastAsia="Century Gothic" w:hAnsi="Century Gothic" w:cs="Century Gothic"/>
          <w:sz w:val="22"/>
          <w:szCs w:val="22"/>
        </w:rPr>
      </w:pPr>
      <w:r w:rsidRPr="287DE5FF">
        <w:rPr>
          <w:rFonts w:ascii="Century Gothic" w:eastAsia="Century Gothic" w:hAnsi="Century Gothic" w:cs="Century Gothic"/>
          <w:sz w:val="22"/>
          <w:szCs w:val="22"/>
        </w:rPr>
        <w:t>The tool holds a massive range of data and therefore gives great flexibility in what it can be used for. For example, you can profile your communities to identify physical activity and inactivity levels, and the extent of possible key drivers of physical activity levels down to a LSOA level. This can, in turn, provide actionable insight on specific communities in Essex and an evidence-base to inform commissioning decisions and intervention development.</w:t>
      </w:r>
    </w:p>
    <w:p w14:paraId="4D61BA27" w14:textId="77777777" w:rsidR="003831BC" w:rsidRDefault="003831BC" w:rsidP="003831BC">
      <w:r>
        <w:br w:type="page"/>
      </w:r>
    </w:p>
    <w:sdt>
      <w:sdtPr>
        <w:rPr>
          <w:rFonts w:ascii="Century Gothic" w:eastAsiaTheme="minorEastAsia" w:hAnsi="Century Gothic" w:cstheme="minorBidi"/>
          <w:color w:val="auto"/>
          <w:sz w:val="20"/>
          <w:szCs w:val="20"/>
        </w:rPr>
        <w:id w:val="22987409"/>
        <w:docPartObj>
          <w:docPartGallery w:val="Table of Contents"/>
          <w:docPartUnique/>
        </w:docPartObj>
      </w:sdtPr>
      <w:sdtEndPr>
        <w:rPr>
          <w:b/>
          <w:bCs/>
          <w:noProof/>
        </w:rPr>
      </w:sdtEndPr>
      <w:sdtContent>
        <w:p w14:paraId="392F541E" w14:textId="77777777" w:rsidR="003831BC" w:rsidRPr="006C6E96" w:rsidRDefault="003831BC" w:rsidP="003831BC">
          <w:pPr>
            <w:pStyle w:val="TOCHeading"/>
            <w:jc w:val="both"/>
            <w:rPr>
              <w:rFonts w:ascii="Century Gothic" w:hAnsi="Century Gothic"/>
              <w:b/>
              <w:bCs/>
              <w:color w:val="D8117D"/>
            </w:rPr>
          </w:pPr>
          <w:r w:rsidRPr="1CFB05B6">
            <w:rPr>
              <w:rFonts w:ascii="Century Gothic" w:hAnsi="Century Gothic"/>
              <w:b/>
              <w:bCs/>
              <w:color w:val="009FE3"/>
            </w:rPr>
            <w:t>Contents</w:t>
          </w:r>
          <w:bookmarkStart w:id="1" w:name="_GoBack"/>
          <w:bookmarkEnd w:id="1"/>
        </w:p>
        <w:p w14:paraId="3B4B7D80" w14:textId="69FC6C42" w:rsidR="0051143B" w:rsidRPr="0051143B" w:rsidRDefault="003831BC">
          <w:pPr>
            <w:pStyle w:val="TOC1"/>
            <w:tabs>
              <w:tab w:val="right" w:leader="dot" w:pos="9016"/>
            </w:tabs>
            <w:rPr>
              <w:noProof/>
              <w:color w:val="D8117D"/>
              <w:sz w:val="22"/>
              <w:szCs w:val="22"/>
              <w:lang w:eastAsia="en-GB"/>
            </w:rPr>
          </w:pPr>
          <w:r w:rsidRPr="0051143B">
            <w:rPr>
              <w:rFonts w:ascii="Century Gothic" w:hAnsi="Century Gothic"/>
              <w:color w:val="D8117D"/>
            </w:rPr>
            <w:fldChar w:fldCharType="begin"/>
          </w:r>
          <w:r w:rsidRPr="0051143B">
            <w:rPr>
              <w:rFonts w:ascii="Century Gothic" w:hAnsi="Century Gothic"/>
              <w:color w:val="D8117D"/>
            </w:rPr>
            <w:instrText xml:space="preserve"> TOC \o "1-3" \h \z \u </w:instrText>
          </w:r>
          <w:r w:rsidRPr="0051143B">
            <w:rPr>
              <w:rFonts w:ascii="Century Gothic" w:hAnsi="Century Gothic"/>
              <w:color w:val="D8117D"/>
            </w:rPr>
            <w:fldChar w:fldCharType="separate"/>
          </w:r>
          <w:hyperlink w:anchor="_Toc50553583" w:history="1">
            <w:r w:rsidR="0051143B" w:rsidRPr="0051143B">
              <w:rPr>
                <w:rStyle w:val="Hyperlink"/>
                <w:rFonts w:ascii="Century Gothic" w:hAnsi="Century Gothic"/>
                <w:b/>
                <w:bCs/>
                <w:noProof/>
                <w:color w:val="D8117D"/>
              </w:rPr>
              <w:t>Executive Summary</w:t>
            </w:r>
            <w:r w:rsidR="0051143B" w:rsidRPr="0051143B">
              <w:rPr>
                <w:noProof/>
                <w:webHidden/>
                <w:color w:val="D8117D"/>
              </w:rPr>
              <w:tab/>
            </w:r>
            <w:r w:rsidR="0051143B" w:rsidRPr="0051143B">
              <w:rPr>
                <w:noProof/>
                <w:webHidden/>
                <w:color w:val="D8117D"/>
              </w:rPr>
              <w:fldChar w:fldCharType="begin"/>
            </w:r>
            <w:r w:rsidR="0051143B" w:rsidRPr="0051143B">
              <w:rPr>
                <w:noProof/>
                <w:webHidden/>
                <w:color w:val="D8117D"/>
              </w:rPr>
              <w:instrText xml:space="preserve"> PAGEREF _Toc50553583 \h </w:instrText>
            </w:r>
            <w:r w:rsidR="0051143B" w:rsidRPr="0051143B">
              <w:rPr>
                <w:noProof/>
                <w:webHidden/>
                <w:color w:val="D8117D"/>
              </w:rPr>
            </w:r>
            <w:r w:rsidR="0051143B" w:rsidRPr="0051143B">
              <w:rPr>
                <w:noProof/>
                <w:webHidden/>
                <w:color w:val="D8117D"/>
              </w:rPr>
              <w:fldChar w:fldCharType="separate"/>
            </w:r>
            <w:r w:rsidR="0051143B" w:rsidRPr="0051143B">
              <w:rPr>
                <w:noProof/>
                <w:webHidden/>
                <w:color w:val="D8117D"/>
              </w:rPr>
              <w:t>1</w:t>
            </w:r>
            <w:r w:rsidR="0051143B" w:rsidRPr="0051143B">
              <w:rPr>
                <w:noProof/>
                <w:webHidden/>
                <w:color w:val="D8117D"/>
              </w:rPr>
              <w:fldChar w:fldCharType="end"/>
            </w:r>
          </w:hyperlink>
        </w:p>
        <w:p w14:paraId="5A1A7409" w14:textId="5F066FBD" w:rsidR="0051143B" w:rsidRPr="0051143B" w:rsidRDefault="0051143B">
          <w:pPr>
            <w:pStyle w:val="TOC1"/>
            <w:tabs>
              <w:tab w:val="left" w:pos="440"/>
              <w:tab w:val="right" w:leader="dot" w:pos="9016"/>
            </w:tabs>
            <w:rPr>
              <w:noProof/>
              <w:color w:val="D8117D"/>
              <w:sz w:val="22"/>
              <w:szCs w:val="22"/>
              <w:lang w:eastAsia="en-GB"/>
            </w:rPr>
          </w:pPr>
          <w:hyperlink w:anchor="_Toc50553584" w:history="1">
            <w:r w:rsidRPr="0051143B">
              <w:rPr>
                <w:rStyle w:val="Hyperlink"/>
                <w:rFonts w:ascii="Century Gothic" w:hAnsi="Century Gothic"/>
                <w:b/>
                <w:bCs/>
                <w:noProof/>
                <w:color w:val="D8117D"/>
              </w:rPr>
              <w:t>1.</w:t>
            </w:r>
            <w:r w:rsidRPr="0051143B">
              <w:rPr>
                <w:noProof/>
                <w:color w:val="D8117D"/>
                <w:sz w:val="22"/>
                <w:szCs w:val="22"/>
                <w:lang w:eastAsia="en-GB"/>
              </w:rPr>
              <w:tab/>
            </w:r>
            <w:r w:rsidRPr="0051143B">
              <w:rPr>
                <w:rStyle w:val="Hyperlink"/>
                <w:rFonts w:ascii="Century Gothic" w:hAnsi="Century Gothic"/>
                <w:b/>
                <w:bCs/>
                <w:noProof/>
                <w:color w:val="D8117D"/>
              </w:rPr>
              <w:t>Introduction</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_Toc50553584 \h </w:instrText>
            </w:r>
            <w:r w:rsidRPr="0051143B">
              <w:rPr>
                <w:noProof/>
                <w:webHidden/>
                <w:color w:val="D8117D"/>
              </w:rPr>
            </w:r>
            <w:r w:rsidRPr="0051143B">
              <w:rPr>
                <w:noProof/>
                <w:webHidden/>
                <w:color w:val="D8117D"/>
              </w:rPr>
              <w:fldChar w:fldCharType="separate"/>
            </w:r>
            <w:r w:rsidRPr="0051143B">
              <w:rPr>
                <w:noProof/>
                <w:webHidden/>
                <w:color w:val="D8117D"/>
              </w:rPr>
              <w:t>4</w:t>
            </w:r>
            <w:r w:rsidRPr="0051143B">
              <w:rPr>
                <w:noProof/>
                <w:webHidden/>
                <w:color w:val="D8117D"/>
              </w:rPr>
              <w:fldChar w:fldCharType="end"/>
            </w:r>
          </w:hyperlink>
        </w:p>
        <w:p w14:paraId="43E2639F" w14:textId="1A0CBA13" w:rsidR="0051143B" w:rsidRPr="0051143B" w:rsidRDefault="0051143B">
          <w:pPr>
            <w:pStyle w:val="TOC2"/>
            <w:tabs>
              <w:tab w:val="left" w:pos="880"/>
              <w:tab w:val="right" w:leader="dot" w:pos="9016"/>
            </w:tabs>
            <w:rPr>
              <w:noProof/>
              <w:color w:val="D8117D"/>
              <w:sz w:val="22"/>
              <w:szCs w:val="22"/>
              <w:lang w:eastAsia="en-GB"/>
            </w:rPr>
          </w:pPr>
          <w:hyperlink w:anchor="_Toc50553585" w:history="1">
            <w:r w:rsidRPr="0051143B">
              <w:rPr>
                <w:rStyle w:val="Hyperlink"/>
                <w:rFonts w:ascii="Century Gothic" w:hAnsi="Century Gothic"/>
                <w:b/>
                <w:bCs/>
                <w:i/>
                <w:iCs/>
                <w:noProof/>
                <w:color w:val="D8117D"/>
              </w:rPr>
              <w:t>1.1</w:t>
            </w:r>
            <w:r w:rsidRPr="0051143B">
              <w:rPr>
                <w:noProof/>
                <w:color w:val="D8117D"/>
                <w:sz w:val="22"/>
                <w:szCs w:val="22"/>
                <w:lang w:eastAsia="en-GB"/>
              </w:rPr>
              <w:tab/>
            </w:r>
            <w:r w:rsidRPr="0051143B">
              <w:rPr>
                <w:rStyle w:val="Hyperlink"/>
                <w:rFonts w:ascii="Century Gothic" w:hAnsi="Century Gothic"/>
                <w:b/>
                <w:bCs/>
                <w:i/>
                <w:iCs/>
                <w:noProof/>
                <w:color w:val="D8117D"/>
              </w:rPr>
              <w:t>Purpose of project</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_Toc50553585 \h </w:instrText>
            </w:r>
            <w:r w:rsidRPr="0051143B">
              <w:rPr>
                <w:noProof/>
                <w:webHidden/>
                <w:color w:val="D8117D"/>
              </w:rPr>
            </w:r>
            <w:r w:rsidRPr="0051143B">
              <w:rPr>
                <w:noProof/>
                <w:webHidden/>
                <w:color w:val="D8117D"/>
              </w:rPr>
              <w:fldChar w:fldCharType="separate"/>
            </w:r>
            <w:r w:rsidRPr="0051143B">
              <w:rPr>
                <w:noProof/>
                <w:webHidden/>
                <w:color w:val="D8117D"/>
              </w:rPr>
              <w:t>4</w:t>
            </w:r>
            <w:r w:rsidRPr="0051143B">
              <w:rPr>
                <w:noProof/>
                <w:webHidden/>
                <w:color w:val="D8117D"/>
              </w:rPr>
              <w:fldChar w:fldCharType="end"/>
            </w:r>
          </w:hyperlink>
        </w:p>
        <w:p w14:paraId="5F14A93F" w14:textId="0BC69D7B" w:rsidR="0051143B" w:rsidRPr="0051143B" w:rsidRDefault="0051143B">
          <w:pPr>
            <w:pStyle w:val="TOC1"/>
            <w:tabs>
              <w:tab w:val="left" w:pos="440"/>
              <w:tab w:val="right" w:leader="dot" w:pos="9016"/>
            </w:tabs>
            <w:rPr>
              <w:noProof/>
              <w:color w:val="D8117D"/>
              <w:sz w:val="22"/>
              <w:szCs w:val="22"/>
              <w:lang w:eastAsia="en-GB"/>
            </w:rPr>
          </w:pPr>
          <w:hyperlink w:anchor="_Toc50553586" w:history="1">
            <w:r w:rsidRPr="0051143B">
              <w:rPr>
                <w:rStyle w:val="Hyperlink"/>
                <w:rFonts w:ascii="Century Gothic" w:hAnsi="Century Gothic"/>
                <w:b/>
                <w:bCs/>
                <w:noProof/>
                <w:color w:val="D8117D"/>
              </w:rPr>
              <w:t>2.</w:t>
            </w:r>
            <w:r w:rsidRPr="0051143B">
              <w:rPr>
                <w:noProof/>
                <w:color w:val="D8117D"/>
                <w:sz w:val="22"/>
                <w:szCs w:val="22"/>
                <w:lang w:eastAsia="en-GB"/>
              </w:rPr>
              <w:tab/>
            </w:r>
            <w:r w:rsidRPr="0051143B">
              <w:rPr>
                <w:rStyle w:val="Hyperlink"/>
                <w:rFonts w:ascii="Century Gothic" w:hAnsi="Century Gothic"/>
                <w:b/>
                <w:bCs/>
                <w:noProof/>
                <w:color w:val="D8117D"/>
              </w:rPr>
              <w:t>Methodology</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_Toc50553586 \h </w:instrText>
            </w:r>
            <w:r w:rsidRPr="0051143B">
              <w:rPr>
                <w:noProof/>
                <w:webHidden/>
                <w:color w:val="D8117D"/>
              </w:rPr>
            </w:r>
            <w:r w:rsidRPr="0051143B">
              <w:rPr>
                <w:noProof/>
                <w:webHidden/>
                <w:color w:val="D8117D"/>
              </w:rPr>
              <w:fldChar w:fldCharType="separate"/>
            </w:r>
            <w:r w:rsidRPr="0051143B">
              <w:rPr>
                <w:noProof/>
                <w:webHidden/>
                <w:color w:val="D8117D"/>
              </w:rPr>
              <w:t>5</w:t>
            </w:r>
            <w:r w:rsidRPr="0051143B">
              <w:rPr>
                <w:noProof/>
                <w:webHidden/>
                <w:color w:val="D8117D"/>
              </w:rPr>
              <w:fldChar w:fldCharType="end"/>
            </w:r>
          </w:hyperlink>
        </w:p>
        <w:p w14:paraId="36ADB19A" w14:textId="5CD5B0AF" w:rsidR="0051143B" w:rsidRPr="0051143B" w:rsidRDefault="0051143B">
          <w:pPr>
            <w:pStyle w:val="TOC2"/>
            <w:tabs>
              <w:tab w:val="left" w:pos="880"/>
              <w:tab w:val="right" w:leader="dot" w:pos="9016"/>
            </w:tabs>
            <w:rPr>
              <w:noProof/>
              <w:color w:val="D8117D"/>
              <w:sz w:val="22"/>
              <w:szCs w:val="22"/>
              <w:lang w:eastAsia="en-GB"/>
            </w:rPr>
          </w:pPr>
          <w:hyperlink w:anchor="_Toc50553587" w:history="1">
            <w:r w:rsidRPr="0051143B">
              <w:rPr>
                <w:rStyle w:val="Hyperlink"/>
                <w:rFonts w:ascii="Century Gothic" w:hAnsi="Century Gothic"/>
                <w:b/>
                <w:bCs/>
                <w:i/>
                <w:iCs/>
                <w:noProof/>
                <w:color w:val="D8117D"/>
              </w:rPr>
              <w:t>2.1</w:t>
            </w:r>
            <w:r w:rsidRPr="0051143B">
              <w:rPr>
                <w:noProof/>
                <w:color w:val="D8117D"/>
                <w:sz w:val="22"/>
                <w:szCs w:val="22"/>
                <w:lang w:eastAsia="en-GB"/>
              </w:rPr>
              <w:tab/>
            </w:r>
            <w:r w:rsidRPr="0051143B">
              <w:rPr>
                <w:rStyle w:val="Hyperlink"/>
                <w:rFonts w:ascii="Century Gothic" w:hAnsi="Century Gothic"/>
                <w:b/>
                <w:bCs/>
                <w:i/>
                <w:iCs/>
                <w:noProof/>
                <w:color w:val="D8117D"/>
              </w:rPr>
              <w:t>Summary of literature review</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_Toc50553587 \h </w:instrText>
            </w:r>
            <w:r w:rsidRPr="0051143B">
              <w:rPr>
                <w:noProof/>
                <w:webHidden/>
                <w:color w:val="D8117D"/>
              </w:rPr>
            </w:r>
            <w:r w:rsidRPr="0051143B">
              <w:rPr>
                <w:noProof/>
                <w:webHidden/>
                <w:color w:val="D8117D"/>
              </w:rPr>
              <w:fldChar w:fldCharType="separate"/>
            </w:r>
            <w:r w:rsidRPr="0051143B">
              <w:rPr>
                <w:noProof/>
                <w:webHidden/>
                <w:color w:val="D8117D"/>
              </w:rPr>
              <w:t>5</w:t>
            </w:r>
            <w:r w:rsidRPr="0051143B">
              <w:rPr>
                <w:noProof/>
                <w:webHidden/>
                <w:color w:val="D8117D"/>
              </w:rPr>
              <w:fldChar w:fldCharType="end"/>
            </w:r>
          </w:hyperlink>
        </w:p>
        <w:p w14:paraId="40832102" w14:textId="7ADB60C2" w:rsidR="0051143B" w:rsidRPr="0051143B" w:rsidRDefault="0051143B">
          <w:pPr>
            <w:pStyle w:val="TOC2"/>
            <w:tabs>
              <w:tab w:val="left" w:pos="880"/>
              <w:tab w:val="right" w:leader="dot" w:pos="9016"/>
            </w:tabs>
            <w:rPr>
              <w:noProof/>
              <w:color w:val="D8117D"/>
              <w:sz w:val="22"/>
              <w:szCs w:val="22"/>
              <w:lang w:eastAsia="en-GB"/>
            </w:rPr>
          </w:pPr>
          <w:hyperlink w:anchor="_Toc50553588" w:history="1">
            <w:r w:rsidRPr="0051143B">
              <w:rPr>
                <w:rStyle w:val="Hyperlink"/>
                <w:rFonts w:ascii="Century Gothic" w:eastAsia="Century Gothic" w:hAnsi="Century Gothic" w:cs="Century Gothic"/>
                <w:b/>
                <w:bCs/>
                <w:i/>
                <w:iCs/>
                <w:noProof/>
                <w:color w:val="D8117D"/>
              </w:rPr>
              <w:t>2.2</w:t>
            </w:r>
            <w:r w:rsidRPr="0051143B">
              <w:rPr>
                <w:noProof/>
                <w:color w:val="D8117D"/>
                <w:sz w:val="22"/>
                <w:szCs w:val="22"/>
                <w:lang w:eastAsia="en-GB"/>
              </w:rPr>
              <w:tab/>
            </w:r>
            <w:r w:rsidRPr="0051143B">
              <w:rPr>
                <w:rStyle w:val="Hyperlink"/>
                <w:rFonts w:ascii="Century Gothic" w:eastAsia="Century Gothic" w:hAnsi="Century Gothic" w:cs="Century Gothic"/>
                <w:b/>
                <w:bCs/>
                <w:i/>
                <w:iCs/>
                <w:noProof/>
                <w:color w:val="D8117D"/>
              </w:rPr>
              <w:t>Data collection and cleansing</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_Toc50553588 \h </w:instrText>
            </w:r>
            <w:r w:rsidRPr="0051143B">
              <w:rPr>
                <w:noProof/>
                <w:webHidden/>
                <w:color w:val="D8117D"/>
              </w:rPr>
            </w:r>
            <w:r w:rsidRPr="0051143B">
              <w:rPr>
                <w:noProof/>
                <w:webHidden/>
                <w:color w:val="D8117D"/>
              </w:rPr>
              <w:fldChar w:fldCharType="separate"/>
            </w:r>
            <w:r w:rsidRPr="0051143B">
              <w:rPr>
                <w:noProof/>
                <w:webHidden/>
                <w:color w:val="D8117D"/>
              </w:rPr>
              <w:t>6</w:t>
            </w:r>
            <w:r w:rsidRPr="0051143B">
              <w:rPr>
                <w:noProof/>
                <w:webHidden/>
                <w:color w:val="D8117D"/>
              </w:rPr>
              <w:fldChar w:fldCharType="end"/>
            </w:r>
          </w:hyperlink>
        </w:p>
        <w:p w14:paraId="01962F2F" w14:textId="03A65DF1" w:rsidR="0051143B" w:rsidRPr="0051143B" w:rsidRDefault="0051143B">
          <w:pPr>
            <w:pStyle w:val="TOC2"/>
            <w:tabs>
              <w:tab w:val="left" w:pos="880"/>
              <w:tab w:val="right" w:leader="dot" w:pos="9016"/>
            </w:tabs>
            <w:rPr>
              <w:noProof/>
              <w:color w:val="D8117D"/>
              <w:sz w:val="22"/>
              <w:szCs w:val="22"/>
              <w:lang w:eastAsia="en-GB"/>
            </w:rPr>
          </w:pPr>
          <w:hyperlink w:anchor="_Toc50553589" w:history="1">
            <w:r w:rsidRPr="0051143B">
              <w:rPr>
                <w:rStyle w:val="Hyperlink"/>
                <w:rFonts w:ascii="Century Gothic" w:hAnsi="Century Gothic"/>
                <w:b/>
                <w:bCs/>
                <w:i/>
                <w:iCs/>
                <w:noProof/>
                <w:color w:val="D8117D"/>
              </w:rPr>
              <w:t>2.3</w:t>
            </w:r>
            <w:r w:rsidRPr="0051143B">
              <w:rPr>
                <w:noProof/>
                <w:color w:val="D8117D"/>
                <w:sz w:val="22"/>
                <w:szCs w:val="22"/>
                <w:lang w:eastAsia="en-GB"/>
              </w:rPr>
              <w:tab/>
            </w:r>
            <w:r w:rsidRPr="0051143B">
              <w:rPr>
                <w:rStyle w:val="Hyperlink"/>
                <w:rFonts w:ascii="Century Gothic" w:hAnsi="Century Gothic"/>
                <w:b/>
                <w:bCs/>
                <w:i/>
                <w:iCs/>
                <w:noProof/>
                <w:color w:val="D8117D"/>
              </w:rPr>
              <w:t>Geography of data</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_Toc50553589 \h </w:instrText>
            </w:r>
            <w:r w:rsidRPr="0051143B">
              <w:rPr>
                <w:noProof/>
                <w:webHidden/>
                <w:color w:val="D8117D"/>
              </w:rPr>
            </w:r>
            <w:r w:rsidRPr="0051143B">
              <w:rPr>
                <w:noProof/>
                <w:webHidden/>
                <w:color w:val="D8117D"/>
              </w:rPr>
              <w:fldChar w:fldCharType="separate"/>
            </w:r>
            <w:r w:rsidRPr="0051143B">
              <w:rPr>
                <w:noProof/>
                <w:webHidden/>
                <w:color w:val="D8117D"/>
              </w:rPr>
              <w:t>8</w:t>
            </w:r>
            <w:r w:rsidRPr="0051143B">
              <w:rPr>
                <w:noProof/>
                <w:webHidden/>
                <w:color w:val="D8117D"/>
              </w:rPr>
              <w:fldChar w:fldCharType="end"/>
            </w:r>
          </w:hyperlink>
        </w:p>
        <w:p w14:paraId="799CCF4D" w14:textId="06F8DF6B" w:rsidR="0051143B" w:rsidRPr="0051143B" w:rsidRDefault="0051143B">
          <w:pPr>
            <w:pStyle w:val="TOC2"/>
            <w:tabs>
              <w:tab w:val="left" w:pos="880"/>
              <w:tab w:val="right" w:leader="dot" w:pos="9016"/>
            </w:tabs>
            <w:rPr>
              <w:noProof/>
              <w:color w:val="D8117D"/>
              <w:sz w:val="22"/>
              <w:szCs w:val="22"/>
              <w:lang w:eastAsia="en-GB"/>
            </w:rPr>
          </w:pPr>
          <w:hyperlink w:anchor="_Toc50553590" w:history="1">
            <w:r w:rsidRPr="0051143B">
              <w:rPr>
                <w:rStyle w:val="Hyperlink"/>
                <w:rFonts w:ascii="Century Gothic" w:hAnsi="Century Gothic"/>
                <w:b/>
                <w:bCs/>
                <w:i/>
                <w:iCs/>
                <w:noProof/>
                <w:color w:val="D8117D"/>
              </w:rPr>
              <w:t>2.4</w:t>
            </w:r>
            <w:r w:rsidRPr="0051143B">
              <w:rPr>
                <w:noProof/>
                <w:color w:val="D8117D"/>
                <w:sz w:val="22"/>
                <w:szCs w:val="22"/>
                <w:lang w:eastAsia="en-GB"/>
              </w:rPr>
              <w:tab/>
            </w:r>
            <w:r w:rsidRPr="0051143B">
              <w:rPr>
                <w:rStyle w:val="Hyperlink"/>
                <w:rFonts w:ascii="Century Gothic" w:hAnsi="Century Gothic"/>
                <w:b/>
                <w:bCs/>
                <w:i/>
                <w:iCs/>
                <w:noProof/>
                <w:color w:val="D8117D"/>
              </w:rPr>
              <w:t>Creation of deciles for indicators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_Toc50553590 \h </w:instrText>
            </w:r>
            <w:r w:rsidRPr="0051143B">
              <w:rPr>
                <w:noProof/>
                <w:webHidden/>
                <w:color w:val="D8117D"/>
              </w:rPr>
            </w:r>
            <w:r w:rsidRPr="0051143B">
              <w:rPr>
                <w:noProof/>
                <w:webHidden/>
                <w:color w:val="D8117D"/>
              </w:rPr>
              <w:fldChar w:fldCharType="separate"/>
            </w:r>
            <w:r w:rsidRPr="0051143B">
              <w:rPr>
                <w:noProof/>
                <w:webHidden/>
                <w:color w:val="D8117D"/>
              </w:rPr>
              <w:t>10</w:t>
            </w:r>
            <w:r w:rsidRPr="0051143B">
              <w:rPr>
                <w:noProof/>
                <w:webHidden/>
                <w:color w:val="D8117D"/>
              </w:rPr>
              <w:fldChar w:fldCharType="end"/>
            </w:r>
          </w:hyperlink>
        </w:p>
        <w:p w14:paraId="0FC9A3C7" w14:textId="5502F860" w:rsidR="0051143B" w:rsidRPr="0051143B" w:rsidRDefault="0051143B">
          <w:pPr>
            <w:pStyle w:val="TOC2"/>
            <w:tabs>
              <w:tab w:val="left" w:pos="880"/>
              <w:tab w:val="right" w:leader="dot" w:pos="9016"/>
            </w:tabs>
            <w:rPr>
              <w:noProof/>
              <w:color w:val="D8117D"/>
              <w:sz w:val="22"/>
              <w:szCs w:val="22"/>
              <w:lang w:eastAsia="en-GB"/>
            </w:rPr>
          </w:pPr>
          <w:hyperlink w:anchor="_Toc50553591" w:history="1">
            <w:r w:rsidRPr="0051143B">
              <w:rPr>
                <w:rStyle w:val="Hyperlink"/>
                <w:rFonts w:ascii="Century Gothic" w:hAnsi="Century Gothic"/>
                <w:b/>
                <w:bCs/>
                <w:i/>
                <w:iCs/>
                <w:noProof/>
                <w:color w:val="D8117D"/>
              </w:rPr>
              <w:t>2.5</w:t>
            </w:r>
            <w:r w:rsidRPr="0051143B">
              <w:rPr>
                <w:noProof/>
                <w:color w:val="D8117D"/>
                <w:sz w:val="22"/>
                <w:szCs w:val="22"/>
                <w:lang w:eastAsia="en-GB"/>
              </w:rPr>
              <w:tab/>
            </w:r>
            <w:r w:rsidRPr="0051143B">
              <w:rPr>
                <w:rStyle w:val="Hyperlink"/>
                <w:rFonts w:ascii="Century Gothic" w:hAnsi="Century Gothic"/>
                <w:b/>
                <w:bCs/>
                <w:i/>
                <w:iCs/>
                <w:noProof/>
                <w:color w:val="D8117D"/>
              </w:rPr>
              <w:t>Regression and weighting of variables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_Toc50553591 \h </w:instrText>
            </w:r>
            <w:r w:rsidRPr="0051143B">
              <w:rPr>
                <w:noProof/>
                <w:webHidden/>
                <w:color w:val="D8117D"/>
              </w:rPr>
            </w:r>
            <w:r w:rsidRPr="0051143B">
              <w:rPr>
                <w:noProof/>
                <w:webHidden/>
                <w:color w:val="D8117D"/>
              </w:rPr>
              <w:fldChar w:fldCharType="separate"/>
            </w:r>
            <w:r w:rsidRPr="0051143B">
              <w:rPr>
                <w:noProof/>
                <w:webHidden/>
                <w:color w:val="D8117D"/>
              </w:rPr>
              <w:t>10</w:t>
            </w:r>
            <w:r w:rsidRPr="0051143B">
              <w:rPr>
                <w:noProof/>
                <w:webHidden/>
                <w:color w:val="D8117D"/>
              </w:rPr>
              <w:fldChar w:fldCharType="end"/>
            </w:r>
          </w:hyperlink>
        </w:p>
        <w:p w14:paraId="459CD066" w14:textId="43B1C473" w:rsidR="0051143B" w:rsidRPr="0051143B" w:rsidRDefault="0051143B">
          <w:pPr>
            <w:pStyle w:val="TOC2"/>
            <w:tabs>
              <w:tab w:val="left" w:pos="880"/>
              <w:tab w:val="right" w:leader="dot" w:pos="9016"/>
            </w:tabs>
            <w:rPr>
              <w:noProof/>
              <w:color w:val="D8117D"/>
              <w:sz w:val="22"/>
              <w:szCs w:val="22"/>
              <w:lang w:eastAsia="en-GB"/>
            </w:rPr>
          </w:pPr>
          <w:hyperlink w:anchor="_Toc50553592" w:history="1">
            <w:r w:rsidRPr="0051143B">
              <w:rPr>
                <w:rStyle w:val="Hyperlink"/>
                <w:rFonts w:ascii="Century Gothic" w:eastAsia="Century Gothic" w:hAnsi="Century Gothic" w:cs="Century Gothic"/>
                <w:b/>
                <w:bCs/>
                <w:i/>
                <w:iCs/>
                <w:noProof/>
                <w:color w:val="D8117D"/>
              </w:rPr>
              <w:t>2.6</w:t>
            </w:r>
            <w:r w:rsidRPr="0051143B">
              <w:rPr>
                <w:noProof/>
                <w:color w:val="D8117D"/>
                <w:sz w:val="22"/>
                <w:szCs w:val="22"/>
                <w:lang w:eastAsia="en-GB"/>
              </w:rPr>
              <w:tab/>
            </w:r>
            <w:r w:rsidRPr="0051143B">
              <w:rPr>
                <w:rStyle w:val="Hyperlink"/>
                <w:rFonts w:ascii="Century Gothic" w:eastAsia="Century Gothic" w:hAnsi="Century Gothic" w:cs="Century Gothic"/>
                <w:b/>
                <w:bCs/>
                <w:i/>
                <w:iCs/>
                <w:noProof/>
                <w:color w:val="D8117D"/>
              </w:rPr>
              <w:t>Creation of LSOA clusters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_Toc50553592 \h </w:instrText>
            </w:r>
            <w:r w:rsidRPr="0051143B">
              <w:rPr>
                <w:noProof/>
                <w:webHidden/>
                <w:color w:val="D8117D"/>
              </w:rPr>
            </w:r>
            <w:r w:rsidRPr="0051143B">
              <w:rPr>
                <w:noProof/>
                <w:webHidden/>
                <w:color w:val="D8117D"/>
              </w:rPr>
              <w:fldChar w:fldCharType="separate"/>
            </w:r>
            <w:r w:rsidRPr="0051143B">
              <w:rPr>
                <w:noProof/>
                <w:webHidden/>
                <w:color w:val="D8117D"/>
              </w:rPr>
              <w:t>11</w:t>
            </w:r>
            <w:r w:rsidRPr="0051143B">
              <w:rPr>
                <w:noProof/>
                <w:webHidden/>
                <w:color w:val="D8117D"/>
              </w:rPr>
              <w:fldChar w:fldCharType="end"/>
            </w:r>
          </w:hyperlink>
        </w:p>
        <w:p w14:paraId="2BF3C15B" w14:textId="4D7BB0AA" w:rsidR="0051143B" w:rsidRPr="0051143B" w:rsidRDefault="0051143B">
          <w:pPr>
            <w:pStyle w:val="TOC2"/>
            <w:tabs>
              <w:tab w:val="left" w:pos="880"/>
              <w:tab w:val="right" w:leader="dot" w:pos="9016"/>
            </w:tabs>
            <w:rPr>
              <w:noProof/>
              <w:color w:val="D8117D"/>
              <w:sz w:val="22"/>
              <w:szCs w:val="22"/>
              <w:lang w:eastAsia="en-GB"/>
            </w:rPr>
          </w:pPr>
          <w:hyperlink w:anchor="_Toc50553593" w:history="1">
            <w:r w:rsidRPr="0051143B">
              <w:rPr>
                <w:rStyle w:val="Hyperlink"/>
                <w:rFonts w:ascii="Century Gothic" w:hAnsi="Century Gothic"/>
                <w:b/>
                <w:bCs/>
                <w:i/>
                <w:iCs/>
                <w:noProof/>
                <w:color w:val="D8117D"/>
              </w:rPr>
              <w:t>2.7</w:t>
            </w:r>
            <w:r w:rsidRPr="0051143B">
              <w:rPr>
                <w:noProof/>
                <w:color w:val="D8117D"/>
                <w:sz w:val="22"/>
                <w:szCs w:val="22"/>
                <w:lang w:eastAsia="en-GB"/>
              </w:rPr>
              <w:tab/>
            </w:r>
            <w:r w:rsidRPr="0051143B">
              <w:rPr>
                <w:rStyle w:val="Hyperlink"/>
                <w:rFonts w:ascii="Century Gothic" w:hAnsi="Century Gothic"/>
                <w:b/>
                <w:bCs/>
                <w:i/>
                <w:iCs/>
                <w:noProof/>
                <w:color w:val="D8117D"/>
              </w:rPr>
              <w:t>Dashboard and data relationships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_Toc50553593 \h </w:instrText>
            </w:r>
            <w:r w:rsidRPr="0051143B">
              <w:rPr>
                <w:noProof/>
                <w:webHidden/>
                <w:color w:val="D8117D"/>
              </w:rPr>
            </w:r>
            <w:r w:rsidRPr="0051143B">
              <w:rPr>
                <w:noProof/>
                <w:webHidden/>
                <w:color w:val="D8117D"/>
              </w:rPr>
              <w:fldChar w:fldCharType="separate"/>
            </w:r>
            <w:r w:rsidRPr="0051143B">
              <w:rPr>
                <w:noProof/>
                <w:webHidden/>
                <w:color w:val="D8117D"/>
              </w:rPr>
              <w:t>13</w:t>
            </w:r>
            <w:r w:rsidRPr="0051143B">
              <w:rPr>
                <w:noProof/>
                <w:webHidden/>
                <w:color w:val="D8117D"/>
              </w:rPr>
              <w:fldChar w:fldCharType="end"/>
            </w:r>
          </w:hyperlink>
        </w:p>
        <w:p w14:paraId="414D93E7" w14:textId="04F70E99" w:rsidR="0051143B" w:rsidRPr="0051143B" w:rsidRDefault="0051143B">
          <w:pPr>
            <w:pStyle w:val="TOC1"/>
            <w:tabs>
              <w:tab w:val="left" w:pos="440"/>
              <w:tab w:val="right" w:leader="dot" w:pos="9016"/>
            </w:tabs>
            <w:rPr>
              <w:noProof/>
              <w:color w:val="D8117D"/>
              <w:sz w:val="22"/>
              <w:szCs w:val="22"/>
              <w:lang w:eastAsia="en-GB"/>
            </w:rPr>
          </w:pPr>
          <w:hyperlink w:anchor="_Toc50553594" w:history="1">
            <w:r w:rsidRPr="0051143B">
              <w:rPr>
                <w:rStyle w:val="Hyperlink"/>
                <w:rFonts w:ascii="Century Gothic" w:hAnsi="Century Gothic"/>
                <w:b/>
                <w:bCs/>
                <w:noProof/>
                <w:color w:val="D8117D"/>
              </w:rPr>
              <w:t>3.</w:t>
            </w:r>
            <w:r w:rsidRPr="0051143B">
              <w:rPr>
                <w:noProof/>
                <w:color w:val="D8117D"/>
                <w:sz w:val="22"/>
                <w:szCs w:val="22"/>
                <w:lang w:eastAsia="en-GB"/>
              </w:rPr>
              <w:tab/>
            </w:r>
            <w:r w:rsidRPr="0051143B">
              <w:rPr>
                <w:rStyle w:val="Hyperlink"/>
                <w:rFonts w:ascii="Century Gothic" w:hAnsi="Century Gothic"/>
                <w:b/>
                <w:bCs/>
                <w:noProof/>
                <w:color w:val="D8117D"/>
              </w:rPr>
              <w:t>Findings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_Toc50553594 \h </w:instrText>
            </w:r>
            <w:r w:rsidRPr="0051143B">
              <w:rPr>
                <w:noProof/>
                <w:webHidden/>
                <w:color w:val="D8117D"/>
              </w:rPr>
            </w:r>
            <w:r w:rsidRPr="0051143B">
              <w:rPr>
                <w:noProof/>
                <w:webHidden/>
                <w:color w:val="D8117D"/>
              </w:rPr>
              <w:fldChar w:fldCharType="separate"/>
            </w:r>
            <w:r w:rsidRPr="0051143B">
              <w:rPr>
                <w:noProof/>
                <w:webHidden/>
                <w:color w:val="D8117D"/>
              </w:rPr>
              <w:t>14</w:t>
            </w:r>
            <w:r w:rsidRPr="0051143B">
              <w:rPr>
                <w:noProof/>
                <w:webHidden/>
                <w:color w:val="D8117D"/>
              </w:rPr>
              <w:fldChar w:fldCharType="end"/>
            </w:r>
          </w:hyperlink>
        </w:p>
        <w:p w14:paraId="582FE892" w14:textId="08F37631" w:rsidR="0051143B" w:rsidRPr="0051143B" w:rsidRDefault="0051143B">
          <w:pPr>
            <w:pStyle w:val="TOC2"/>
            <w:tabs>
              <w:tab w:val="left" w:pos="880"/>
              <w:tab w:val="right" w:leader="dot" w:pos="9016"/>
            </w:tabs>
            <w:rPr>
              <w:noProof/>
              <w:color w:val="D8117D"/>
              <w:sz w:val="22"/>
              <w:szCs w:val="22"/>
              <w:lang w:eastAsia="en-GB"/>
            </w:rPr>
          </w:pPr>
          <w:hyperlink w:anchor="_Toc50553595" w:history="1">
            <w:r w:rsidRPr="0051143B">
              <w:rPr>
                <w:rStyle w:val="Hyperlink"/>
                <w:rFonts w:ascii="Century Gothic" w:hAnsi="Century Gothic"/>
                <w:b/>
                <w:bCs/>
                <w:i/>
                <w:iCs/>
                <w:noProof/>
                <w:color w:val="D8117D"/>
              </w:rPr>
              <w:t>3.1</w:t>
            </w:r>
            <w:r w:rsidRPr="0051143B">
              <w:rPr>
                <w:noProof/>
                <w:color w:val="D8117D"/>
                <w:sz w:val="22"/>
                <w:szCs w:val="22"/>
                <w:lang w:eastAsia="en-GB"/>
              </w:rPr>
              <w:tab/>
            </w:r>
            <w:r w:rsidRPr="0051143B">
              <w:rPr>
                <w:rStyle w:val="Hyperlink"/>
                <w:rFonts w:ascii="Century Gothic" w:hAnsi="Century Gothic"/>
                <w:b/>
                <w:bCs/>
                <w:i/>
                <w:iCs/>
                <w:noProof/>
                <w:color w:val="D8117D"/>
              </w:rPr>
              <w:t>Regression outputs and weighting</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_Toc50553595 \h </w:instrText>
            </w:r>
            <w:r w:rsidRPr="0051143B">
              <w:rPr>
                <w:noProof/>
                <w:webHidden/>
                <w:color w:val="D8117D"/>
              </w:rPr>
            </w:r>
            <w:r w:rsidRPr="0051143B">
              <w:rPr>
                <w:noProof/>
                <w:webHidden/>
                <w:color w:val="D8117D"/>
              </w:rPr>
              <w:fldChar w:fldCharType="separate"/>
            </w:r>
            <w:r w:rsidRPr="0051143B">
              <w:rPr>
                <w:noProof/>
                <w:webHidden/>
                <w:color w:val="D8117D"/>
              </w:rPr>
              <w:t>15</w:t>
            </w:r>
            <w:r w:rsidRPr="0051143B">
              <w:rPr>
                <w:noProof/>
                <w:webHidden/>
                <w:color w:val="D8117D"/>
              </w:rPr>
              <w:fldChar w:fldCharType="end"/>
            </w:r>
          </w:hyperlink>
        </w:p>
        <w:p w14:paraId="40FA1935" w14:textId="16DF08E3" w:rsidR="0051143B" w:rsidRPr="0051143B" w:rsidRDefault="0051143B">
          <w:pPr>
            <w:pStyle w:val="TOC2"/>
            <w:tabs>
              <w:tab w:val="left" w:pos="880"/>
              <w:tab w:val="right" w:leader="dot" w:pos="9016"/>
            </w:tabs>
            <w:rPr>
              <w:noProof/>
              <w:color w:val="D8117D"/>
              <w:sz w:val="22"/>
              <w:szCs w:val="22"/>
              <w:lang w:eastAsia="en-GB"/>
            </w:rPr>
          </w:pPr>
          <w:hyperlink w:anchor="_Toc50553596" w:history="1">
            <w:r w:rsidRPr="0051143B">
              <w:rPr>
                <w:rStyle w:val="Hyperlink"/>
                <w:rFonts w:ascii="Century Gothic" w:hAnsi="Century Gothic"/>
                <w:b/>
                <w:bCs/>
                <w:i/>
                <w:iCs/>
                <w:noProof/>
                <w:color w:val="D8117D"/>
              </w:rPr>
              <w:t>3.2</w:t>
            </w:r>
            <w:r w:rsidRPr="0051143B">
              <w:rPr>
                <w:noProof/>
                <w:color w:val="D8117D"/>
                <w:sz w:val="22"/>
                <w:szCs w:val="22"/>
                <w:lang w:eastAsia="en-GB"/>
              </w:rPr>
              <w:tab/>
            </w:r>
            <w:r w:rsidRPr="0051143B">
              <w:rPr>
                <w:rStyle w:val="Hyperlink"/>
                <w:rFonts w:ascii="Century Gothic" w:hAnsi="Century Gothic"/>
                <w:b/>
                <w:bCs/>
                <w:i/>
                <w:iCs/>
                <w:noProof/>
                <w:color w:val="D8117D"/>
              </w:rPr>
              <w:t>Estimated levels of physical activity in Essex</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_Toc50553596 \h </w:instrText>
            </w:r>
            <w:r w:rsidRPr="0051143B">
              <w:rPr>
                <w:noProof/>
                <w:webHidden/>
                <w:color w:val="D8117D"/>
              </w:rPr>
            </w:r>
            <w:r w:rsidRPr="0051143B">
              <w:rPr>
                <w:noProof/>
                <w:webHidden/>
                <w:color w:val="D8117D"/>
              </w:rPr>
              <w:fldChar w:fldCharType="separate"/>
            </w:r>
            <w:r w:rsidRPr="0051143B">
              <w:rPr>
                <w:noProof/>
                <w:webHidden/>
                <w:color w:val="D8117D"/>
              </w:rPr>
              <w:t>17</w:t>
            </w:r>
            <w:r w:rsidRPr="0051143B">
              <w:rPr>
                <w:noProof/>
                <w:webHidden/>
                <w:color w:val="D8117D"/>
              </w:rPr>
              <w:fldChar w:fldCharType="end"/>
            </w:r>
          </w:hyperlink>
        </w:p>
        <w:p w14:paraId="55A5DCDF" w14:textId="31ACFF54" w:rsidR="0051143B" w:rsidRPr="0051143B" w:rsidRDefault="0051143B">
          <w:pPr>
            <w:pStyle w:val="TOC2"/>
            <w:tabs>
              <w:tab w:val="left" w:pos="880"/>
              <w:tab w:val="right" w:leader="dot" w:pos="9016"/>
            </w:tabs>
            <w:rPr>
              <w:noProof/>
              <w:color w:val="D8117D"/>
              <w:sz w:val="22"/>
              <w:szCs w:val="22"/>
              <w:lang w:eastAsia="en-GB"/>
            </w:rPr>
          </w:pPr>
          <w:hyperlink w:anchor="_Toc50553597" w:history="1">
            <w:r w:rsidRPr="0051143B">
              <w:rPr>
                <w:rStyle w:val="Hyperlink"/>
                <w:rFonts w:ascii="Century Gothic" w:hAnsi="Century Gothic"/>
                <w:b/>
                <w:bCs/>
                <w:i/>
                <w:iCs/>
                <w:noProof/>
                <w:color w:val="D8117D"/>
              </w:rPr>
              <w:t>3.3</w:t>
            </w:r>
            <w:r w:rsidRPr="0051143B">
              <w:rPr>
                <w:noProof/>
                <w:color w:val="D8117D"/>
                <w:sz w:val="22"/>
                <w:szCs w:val="22"/>
                <w:lang w:eastAsia="en-GB"/>
              </w:rPr>
              <w:tab/>
            </w:r>
            <w:r w:rsidRPr="0051143B">
              <w:rPr>
                <w:rStyle w:val="Hyperlink"/>
                <w:rFonts w:ascii="Century Gothic" w:hAnsi="Century Gothic"/>
                <w:b/>
                <w:bCs/>
                <w:i/>
                <w:iCs/>
                <w:noProof/>
                <w:color w:val="D8117D"/>
              </w:rPr>
              <w:t>Findings by data theme</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_Toc50553597 \h </w:instrText>
            </w:r>
            <w:r w:rsidRPr="0051143B">
              <w:rPr>
                <w:noProof/>
                <w:webHidden/>
                <w:color w:val="D8117D"/>
              </w:rPr>
            </w:r>
            <w:r w:rsidRPr="0051143B">
              <w:rPr>
                <w:noProof/>
                <w:webHidden/>
                <w:color w:val="D8117D"/>
              </w:rPr>
              <w:fldChar w:fldCharType="separate"/>
            </w:r>
            <w:r w:rsidRPr="0051143B">
              <w:rPr>
                <w:noProof/>
                <w:webHidden/>
                <w:color w:val="D8117D"/>
              </w:rPr>
              <w:t>23</w:t>
            </w:r>
            <w:r w:rsidRPr="0051143B">
              <w:rPr>
                <w:noProof/>
                <w:webHidden/>
                <w:color w:val="D8117D"/>
              </w:rPr>
              <w:fldChar w:fldCharType="end"/>
            </w:r>
          </w:hyperlink>
        </w:p>
        <w:p w14:paraId="57172FF3" w14:textId="313B7FAA" w:rsidR="0051143B" w:rsidRPr="0051143B" w:rsidRDefault="0051143B">
          <w:pPr>
            <w:pStyle w:val="TOC2"/>
            <w:tabs>
              <w:tab w:val="left" w:pos="880"/>
              <w:tab w:val="right" w:leader="dot" w:pos="9016"/>
            </w:tabs>
            <w:rPr>
              <w:noProof/>
              <w:color w:val="D8117D"/>
              <w:sz w:val="22"/>
              <w:szCs w:val="22"/>
              <w:lang w:eastAsia="en-GB"/>
            </w:rPr>
          </w:pPr>
          <w:hyperlink w:anchor="_Toc50553598" w:history="1">
            <w:r w:rsidRPr="0051143B">
              <w:rPr>
                <w:rStyle w:val="Hyperlink"/>
                <w:rFonts w:ascii="Century Gothic" w:hAnsi="Century Gothic"/>
                <w:b/>
                <w:bCs/>
                <w:i/>
                <w:iCs/>
                <w:noProof/>
                <w:color w:val="D8117D"/>
              </w:rPr>
              <w:t>3.3.1</w:t>
            </w:r>
            <w:r w:rsidRPr="0051143B">
              <w:rPr>
                <w:noProof/>
                <w:color w:val="D8117D"/>
                <w:sz w:val="22"/>
                <w:szCs w:val="22"/>
                <w:lang w:eastAsia="en-GB"/>
              </w:rPr>
              <w:tab/>
            </w:r>
            <w:r w:rsidRPr="0051143B">
              <w:rPr>
                <w:rStyle w:val="Hyperlink"/>
                <w:rFonts w:ascii="Century Gothic" w:hAnsi="Century Gothic"/>
                <w:b/>
                <w:bCs/>
                <w:i/>
                <w:iCs/>
                <w:noProof/>
                <w:color w:val="D8117D"/>
              </w:rPr>
              <w:t>Health</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_Toc50553598 \h </w:instrText>
            </w:r>
            <w:r w:rsidRPr="0051143B">
              <w:rPr>
                <w:noProof/>
                <w:webHidden/>
                <w:color w:val="D8117D"/>
              </w:rPr>
            </w:r>
            <w:r w:rsidRPr="0051143B">
              <w:rPr>
                <w:noProof/>
                <w:webHidden/>
                <w:color w:val="D8117D"/>
              </w:rPr>
              <w:fldChar w:fldCharType="separate"/>
            </w:r>
            <w:r w:rsidRPr="0051143B">
              <w:rPr>
                <w:noProof/>
                <w:webHidden/>
                <w:color w:val="D8117D"/>
              </w:rPr>
              <w:t>23</w:t>
            </w:r>
            <w:r w:rsidRPr="0051143B">
              <w:rPr>
                <w:noProof/>
                <w:webHidden/>
                <w:color w:val="D8117D"/>
              </w:rPr>
              <w:fldChar w:fldCharType="end"/>
            </w:r>
          </w:hyperlink>
        </w:p>
        <w:p w14:paraId="2F976E6C" w14:textId="2D415ADD" w:rsidR="0051143B" w:rsidRPr="0051143B" w:rsidRDefault="0051143B">
          <w:pPr>
            <w:pStyle w:val="TOC2"/>
            <w:tabs>
              <w:tab w:val="left" w:pos="880"/>
              <w:tab w:val="right" w:leader="dot" w:pos="9016"/>
            </w:tabs>
            <w:rPr>
              <w:noProof/>
              <w:color w:val="D8117D"/>
              <w:sz w:val="22"/>
              <w:szCs w:val="22"/>
              <w:lang w:eastAsia="en-GB"/>
            </w:rPr>
          </w:pPr>
          <w:hyperlink w:anchor="_Toc50553599" w:history="1">
            <w:r w:rsidRPr="0051143B">
              <w:rPr>
                <w:rStyle w:val="Hyperlink"/>
                <w:rFonts w:ascii="Century Gothic" w:hAnsi="Century Gothic"/>
                <w:b/>
                <w:bCs/>
                <w:i/>
                <w:iCs/>
                <w:noProof/>
                <w:color w:val="D8117D"/>
              </w:rPr>
              <w:t>3.3.2</w:t>
            </w:r>
            <w:r w:rsidRPr="0051143B">
              <w:rPr>
                <w:noProof/>
                <w:color w:val="D8117D"/>
                <w:sz w:val="22"/>
                <w:szCs w:val="22"/>
                <w:lang w:eastAsia="en-GB"/>
              </w:rPr>
              <w:tab/>
            </w:r>
            <w:r w:rsidRPr="0051143B">
              <w:rPr>
                <w:rStyle w:val="Hyperlink"/>
                <w:rFonts w:ascii="Century Gothic" w:hAnsi="Century Gothic"/>
                <w:b/>
                <w:bCs/>
                <w:i/>
                <w:iCs/>
                <w:noProof/>
                <w:color w:val="D8117D"/>
              </w:rPr>
              <w:t>Economy</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_Toc50553599 \h </w:instrText>
            </w:r>
            <w:r w:rsidRPr="0051143B">
              <w:rPr>
                <w:noProof/>
                <w:webHidden/>
                <w:color w:val="D8117D"/>
              </w:rPr>
            </w:r>
            <w:r w:rsidRPr="0051143B">
              <w:rPr>
                <w:noProof/>
                <w:webHidden/>
                <w:color w:val="D8117D"/>
              </w:rPr>
              <w:fldChar w:fldCharType="separate"/>
            </w:r>
            <w:r w:rsidRPr="0051143B">
              <w:rPr>
                <w:noProof/>
                <w:webHidden/>
                <w:color w:val="D8117D"/>
              </w:rPr>
              <w:t>25</w:t>
            </w:r>
            <w:r w:rsidRPr="0051143B">
              <w:rPr>
                <w:noProof/>
                <w:webHidden/>
                <w:color w:val="D8117D"/>
              </w:rPr>
              <w:fldChar w:fldCharType="end"/>
            </w:r>
          </w:hyperlink>
        </w:p>
        <w:p w14:paraId="5F73E359" w14:textId="6A983776" w:rsidR="0051143B" w:rsidRPr="0051143B" w:rsidRDefault="0051143B">
          <w:pPr>
            <w:pStyle w:val="TOC2"/>
            <w:tabs>
              <w:tab w:val="left" w:pos="880"/>
              <w:tab w:val="right" w:leader="dot" w:pos="9016"/>
            </w:tabs>
            <w:rPr>
              <w:noProof/>
              <w:color w:val="D8117D"/>
              <w:sz w:val="22"/>
              <w:szCs w:val="22"/>
              <w:lang w:eastAsia="en-GB"/>
            </w:rPr>
          </w:pPr>
          <w:hyperlink w:anchor="_Toc50553600" w:history="1">
            <w:r w:rsidRPr="0051143B">
              <w:rPr>
                <w:rStyle w:val="Hyperlink"/>
                <w:rFonts w:ascii="Century Gothic" w:hAnsi="Century Gothic"/>
                <w:b/>
                <w:bCs/>
                <w:i/>
                <w:iCs/>
                <w:noProof/>
                <w:color w:val="D8117D"/>
              </w:rPr>
              <w:t>3.3.3</w:t>
            </w:r>
            <w:r w:rsidRPr="0051143B">
              <w:rPr>
                <w:noProof/>
                <w:color w:val="D8117D"/>
                <w:sz w:val="22"/>
                <w:szCs w:val="22"/>
                <w:lang w:eastAsia="en-GB"/>
              </w:rPr>
              <w:tab/>
            </w:r>
            <w:r w:rsidRPr="0051143B">
              <w:rPr>
                <w:rStyle w:val="Hyperlink"/>
                <w:rFonts w:ascii="Century Gothic" w:hAnsi="Century Gothic"/>
                <w:b/>
                <w:bCs/>
                <w:i/>
                <w:iCs/>
                <w:noProof/>
                <w:color w:val="D8117D"/>
              </w:rPr>
              <w:t>Vulnerable groups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_Toc50553600 \h </w:instrText>
            </w:r>
            <w:r w:rsidRPr="0051143B">
              <w:rPr>
                <w:noProof/>
                <w:webHidden/>
                <w:color w:val="D8117D"/>
              </w:rPr>
            </w:r>
            <w:r w:rsidRPr="0051143B">
              <w:rPr>
                <w:noProof/>
                <w:webHidden/>
                <w:color w:val="D8117D"/>
              </w:rPr>
              <w:fldChar w:fldCharType="separate"/>
            </w:r>
            <w:r w:rsidRPr="0051143B">
              <w:rPr>
                <w:noProof/>
                <w:webHidden/>
                <w:color w:val="D8117D"/>
              </w:rPr>
              <w:t>28</w:t>
            </w:r>
            <w:r w:rsidRPr="0051143B">
              <w:rPr>
                <w:noProof/>
                <w:webHidden/>
                <w:color w:val="D8117D"/>
              </w:rPr>
              <w:fldChar w:fldCharType="end"/>
            </w:r>
          </w:hyperlink>
        </w:p>
        <w:p w14:paraId="7BE5BD6C" w14:textId="7F04C8E3" w:rsidR="0051143B" w:rsidRPr="0051143B" w:rsidRDefault="0051143B">
          <w:pPr>
            <w:pStyle w:val="TOC2"/>
            <w:tabs>
              <w:tab w:val="left" w:pos="880"/>
              <w:tab w:val="right" w:leader="dot" w:pos="9016"/>
            </w:tabs>
            <w:rPr>
              <w:noProof/>
              <w:color w:val="D8117D"/>
              <w:sz w:val="22"/>
              <w:szCs w:val="22"/>
              <w:lang w:eastAsia="en-GB"/>
            </w:rPr>
          </w:pPr>
          <w:hyperlink w:anchor="_Toc50553601" w:history="1">
            <w:r w:rsidRPr="0051143B">
              <w:rPr>
                <w:rStyle w:val="Hyperlink"/>
                <w:rFonts w:ascii="Century Gothic" w:hAnsi="Century Gothic"/>
                <w:b/>
                <w:bCs/>
                <w:i/>
                <w:iCs/>
                <w:noProof/>
                <w:color w:val="D8117D"/>
              </w:rPr>
              <w:t>3.3.4</w:t>
            </w:r>
            <w:r w:rsidRPr="0051143B">
              <w:rPr>
                <w:noProof/>
                <w:color w:val="D8117D"/>
                <w:sz w:val="22"/>
                <w:szCs w:val="22"/>
                <w:lang w:eastAsia="en-GB"/>
              </w:rPr>
              <w:tab/>
            </w:r>
            <w:r w:rsidRPr="0051143B">
              <w:rPr>
                <w:rStyle w:val="Hyperlink"/>
                <w:rFonts w:ascii="Century Gothic" w:hAnsi="Century Gothic"/>
                <w:b/>
                <w:bCs/>
                <w:i/>
                <w:iCs/>
                <w:noProof/>
                <w:color w:val="D8117D"/>
              </w:rPr>
              <w:t>Active Lives measures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_Toc50553601 \h </w:instrText>
            </w:r>
            <w:r w:rsidRPr="0051143B">
              <w:rPr>
                <w:noProof/>
                <w:webHidden/>
                <w:color w:val="D8117D"/>
              </w:rPr>
            </w:r>
            <w:r w:rsidRPr="0051143B">
              <w:rPr>
                <w:noProof/>
                <w:webHidden/>
                <w:color w:val="D8117D"/>
              </w:rPr>
              <w:fldChar w:fldCharType="separate"/>
            </w:r>
            <w:r w:rsidRPr="0051143B">
              <w:rPr>
                <w:noProof/>
                <w:webHidden/>
                <w:color w:val="D8117D"/>
              </w:rPr>
              <w:t>30</w:t>
            </w:r>
            <w:r w:rsidRPr="0051143B">
              <w:rPr>
                <w:noProof/>
                <w:webHidden/>
                <w:color w:val="D8117D"/>
              </w:rPr>
              <w:fldChar w:fldCharType="end"/>
            </w:r>
          </w:hyperlink>
        </w:p>
        <w:p w14:paraId="37A0CE3F" w14:textId="77E54BDF" w:rsidR="0051143B" w:rsidRPr="0051143B" w:rsidRDefault="0051143B">
          <w:pPr>
            <w:pStyle w:val="TOC2"/>
            <w:tabs>
              <w:tab w:val="left" w:pos="880"/>
              <w:tab w:val="right" w:leader="dot" w:pos="9016"/>
            </w:tabs>
            <w:rPr>
              <w:noProof/>
              <w:color w:val="D8117D"/>
              <w:sz w:val="22"/>
              <w:szCs w:val="22"/>
              <w:lang w:eastAsia="en-GB"/>
            </w:rPr>
          </w:pPr>
          <w:hyperlink w:anchor="_Toc50553602" w:history="1">
            <w:r w:rsidRPr="0051143B">
              <w:rPr>
                <w:rStyle w:val="Hyperlink"/>
                <w:rFonts w:ascii="Century Gothic" w:hAnsi="Century Gothic"/>
                <w:b/>
                <w:bCs/>
                <w:i/>
                <w:iCs/>
                <w:noProof/>
                <w:color w:val="D8117D"/>
              </w:rPr>
              <w:t>3.3.5</w:t>
            </w:r>
            <w:r w:rsidRPr="0051143B">
              <w:rPr>
                <w:noProof/>
                <w:color w:val="D8117D"/>
                <w:sz w:val="22"/>
                <w:szCs w:val="22"/>
                <w:lang w:eastAsia="en-GB"/>
              </w:rPr>
              <w:tab/>
            </w:r>
            <w:r w:rsidRPr="0051143B">
              <w:rPr>
                <w:rStyle w:val="Hyperlink"/>
                <w:rFonts w:ascii="Century Gothic" w:hAnsi="Century Gothic"/>
                <w:b/>
                <w:bCs/>
                <w:i/>
                <w:iCs/>
                <w:noProof/>
                <w:color w:val="D8117D"/>
              </w:rPr>
              <w:t>Crime</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_Toc50553602 \h </w:instrText>
            </w:r>
            <w:r w:rsidRPr="0051143B">
              <w:rPr>
                <w:noProof/>
                <w:webHidden/>
                <w:color w:val="D8117D"/>
              </w:rPr>
            </w:r>
            <w:r w:rsidRPr="0051143B">
              <w:rPr>
                <w:noProof/>
                <w:webHidden/>
                <w:color w:val="D8117D"/>
              </w:rPr>
              <w:fldChar w:fldCharType="separate"/>
            </w:r>
            <w:r w:rsidRPr="0051143B">
              <w:rPr>
                <w:noProof/>
                <w:webHidden/>
                <w:color w:val="D8117D"/>
              </w:rPr>
              <w:t>33</w:t>
            </w:r>
            <w:r w:rsidRPr="0051143B">
              <w:rPr>
                <w:noProof/>
                <w:webHidden/>
                <w:color w:val="D8117D"/>
              </w:rPr>
              <w:fldChar w:fldCharType="end"/>
            </w:r>
          </w:hyperlink>
        </w:p>
        <w:p w14:paraId="2F152406" w14:textId="48B4E1E0" w:rsidR="0051143B" w:rsidRPr="0051143B" w:rsidRDefault="0051143B">
          <w:pPr>
            <w:pStyle w:val="TOC2"/>
            <w:tabs>
              <w:tab w:val="left" w:pos="880"/>
              <w:tab w:val="right" w:leader="dot" w:pos="9016"/>
            </w:tabs>
            <w:rPr>
              <w:noProof/>
              <w:color w:val="D8117D"/>
              <w:sz w:val="22"/>
              <w:szCs w:val="22"/>
              <w:lang w:eastAsia="en-GB"/>
            </w:rPr>
          </w:pPr>
          <w:hyperlink w:anchor="_Toc50553603" w:history="1">
            <w:r w:rsidRPr="0051143B">
              <w:rPr>
                <w:rStyle w:val="Hyperlink"/>
                <w:rFonts w:ascii="Century Gothic" w:hAnsi="Century Gothic"/>
                <w:b/>
                <w:bCs/>
                <w:i/>
                <w:iCs/>
                <w:noProof/>
                <w:color w:val="D8117D"/>
              </w:rPr>
              <w:t>3.3.6</w:t>
            </w:r>
            <w:r w:rsidRPr="0051143B">
              <w:rPr>
                <w:noProof/>
                <w:color w:val="D8117D"/>
                <w:sz w:val="22"/>
                <w:szCs w:val="22"/>
                <w:lang w:eastAsia="en-GB"/>
              </w:rPr>
              <w:tab/>
            </w:r>
            <w:r w:rsidRPr="0051143B">
              <w:rPr>
                <w:rStyle w:val="Hyperlink"/>
                <w:rFonts w:ascii="Century Gothic" w:hAnsi="Century Gothic"/>
                <w:b/>
                <w:bCs/>
                <w:i/>
                <w:iCs/>
                <w:noProof/>
                <w:color w:val="D8117D"/>
              </w:rPr>
              <w:t>Access and Transport</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_Toc50553603 \h </w:instrText>
            </w:r>
            <w:r w:rsidRPr="0051143B">
              <w:rPr>
                <w:noProof/>
                <w:webHidden/>
                <w:color w:val="D8117D"/>
              </w:rPr>
            </w:r>
            <w:r w:rsidRPr="0051143B">
              <w:rPr>
                <w:noProof/>
                <w:webHidden/>
                <w:color w:val="D8117D"/>
              </w:rPr>
              <w:fldChar w:fldCharType="separate"/>
            </w:r>
            <w:r w:rsidRPr="0051143B">
              <w:rPr>
                <w:noProof/>
                <w:webHidden/>
                <w:color w:val="D8117D"/>
              </w:rPr>
              <w:t>35</w:t>
            </w:r>
            <w:r w:rsidRPr="0051143B">
              <w:rPr>
                <w:noProof/>
                <w:webHidden/>
                <w:color w:val="D8117D"/>
              </w:rPr>
              <w:fldChar w:fldCharType="end"/>
            </w:r>
          </w:hyperlink>
        </w:p>
        <w:p w14:paraId="5913CB8D" w14:textId="5E54A70D" w:rsidR="0051143B" w:rsidRPr="0051143B" w:rsidRDefault="0051143B">
          <w:pPr>
            <w:pStyle w:val="TOC2"/>
            <w:tabs>
              <w:tab w:val="left" w:pos="880"/>
              <w:tab w:val="right" w:leader="dot" w:pos="9016"/>
            </w:tabs>
            <w:rPr>
              <w:noProof/>
              <w:color w:val="D8117D"/>
              <w:sz w:val="22"/>
              <w:szCs w:val="22"/>
              <w:lang w:eastAsia="en-GB"/>
            </w:rPr>
          </w:pPr>
          <w:hyperlink w:anchor="_Toc50553604" w:history="1">
            <w:r w:rsidRPr="0051143B">
              <w:rPr>
                <w:rStyle w:val="Hyperlink"/>
                <w:rFonts w:ascii="Century Gothic" w:hAnsi="Century Gothic"/>
                <w:b/>
                <w:bCs/>
                <w:i/>
                <w:iCs/>
                <w:noProof/>
                <w:color w:val="D8117D"/>
              </w:rPr>
              <w:t>3.3.7</w:t>
            </w:r>
            <w:r w:rsidRPr="0051143B">
              <w:rPr>
                <w:noProof/>
                <w:color w:val="D8117D"/>
                <w:sz w:val="22"/>
                <w:szCs w:val="22"/>
                <w:lang w:eastAsia="en-GB"/>
              </w:rPr>
              <w:tab/>
            </w:r>
            <w:r w:rsidRPr="0051143B">
              <w:rPr>
                <w:rStyle w:val="Hyperlink"/>
                <w:rFonts w:ascii="Century Gothic" w:hAnsi="Century Gothic"/>
                <w:b/>
                <w:bCs/>
                <w:i/>
                <w:iCs/>
                <w:noProof/>
                <w:color w:val="D8117D"/>
              </w:rPr>
              <w:t>Housing</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_Toc50553604 \h </w:instrText>
            </w:r>
            <w:r w:rsidRPr="0051143B">
              <w:rPr>
                <w:noProof/>
                <w:webHidden/>
                <w:color w:val="D8117D"/>
              </w:rPr>
            </w:r>
            <w:r w:rsidRPr="0051143B">
              <w:rPr>
                <w:noProof/>
                <w:webHidden/>
                <w:color w:val="D8117D"/>
              </w:rPr>
              <w:fldChar w:fldCharType="separate"/>
            </w:r>
            <w:r w:rsidRPr="0051143B">
              <w:rPr>
                <w:noProof/>
                <w:webHidden/>
                <w:color w:val="D8117D"/>
              </w:rPr>
              <w:t>38</w:t>
            </w:r>
            <w:r w:rsidRPr="0051143B">
              <w:rPr>
                <w:noProof/>
                <w:webHidden/>
                <w:color w:val="D8117D"/>
              </w:rPr>
              <w:fldChar w:fldCharType="end"/>
            </w:r>
          </w:hyperlink>
        </w:p>
        <w:p w14:paraId="6774C41A" w14:textId="71DABFFB" w:rsidR="0051143B" w:rsidRPr="0051143B" w:rsidRDefault="0051143B">
          <w:pPr>
            <w:pStyle w:val="TOC2"/>
            <w:tabs>
              <w:tab w:val="left" w:pos="880"/>
              <w:tab w:val="right" w:leader="dot" w:pos="9016"/>
            </w:tabs>
            <w:rPr>
              <w:noProof/>
              <w:color w:val="D8117D"/>
              <w:sz w:val="22"/>
              <w:szCs w:val="22"/>
              <w:lang w:eastAsia="en-GB"/>
            </w:rPr>
          </w:pPr>
          <w:hyperlink w:anchor="_Toc50553605" w:history="1">
            <w:r w:rsidRPr="0051143B">
              <w:rPr>
                <w:rStyle w:val="Hyperlink"/>
                <w:rFonts w:ascii="Century Gothic" w:hAnsi="Century Gothic"/>
                <w:b/>
                <w:bCs/>
                <w:i/>
                <w:iCs/>
                <w:noProof/>
                <w:color w:val="D8117D"/>
              </w:rPr>
              <w:t>3.3.8</w:t>
            </w:r>
            <w:r w:rsidRPr="0051143B">
              <w:rPr>
                <w:noProof/>
                <w:color w:val="D8117D"/>
                <w:sz w:val="22"/>
                <w:szCs w:val="22"/>
                <w:lang w:eastAsia="en-GB"/>
              </w:rPr>
              <w:tab/>
            </w:r>
            <w:r w:rsidRPr="0051143B">
              <w:rPr>
                <w:rStyle w:val="Hyperlink"/>
                <w:rFonts w:ascii="Century Gothic" w:hAnsi="Century Gothic"/>
                <w:b/>
                <w:bCs/>
                <w:i/>
                <w:iCs/>
                <w:noProof/>
                <w:color w:val="D8117D"/>
              </w:rPr>
              <w:t>Education and skills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_Toc50553605 \h </w:instrText>
            </w:r>
            <w:r w:rsidRPr="0051143B">
              <w:rPr>
                <w:noProof/>
                <w:webHidden/>
                <w:color w:val="D8117D"/>
              </w:rPr>
            </w:r>
            <w:r w:rsidRPr="0051143B">
              <w:rPr>
                <w:noProof/>
                <w:webHidden/>
                <w:color w:val="D8117D"/>
              </w:rPr>
              <w:fldChar w:fldCharType="separate"/>
            </w:r>
            <w:r w:rsidRPr="0051143B">
              <w:rPr>
                <w:noProof/>
                <w:webHidden/>
                <w:color w:val="D8117D"/>
              </w:rPr>
              <w:t>40</w:t>
            </w:r>
            <w:r w:rsidRPr="0051143B">
              <w:rPr>
                <w:noProof/>
                <w:webHidden/>
                <w:color w:val="D8117D"/>
              </w:rPr>
              <w:fldChar w:fldCharType="end"/>
            </w:r>
          </w:hyperlink>
        </w:p>
        <w:p w14:paraId="0593F829" w14:textId="5CAAB4F8" w:rsidR="0051143B" w:rsidRPr="0051143B" w:rsidRDefault="0051143B">
          <w:pPr>
            <w:pStyle w:val="TOC2"/>
            <w:tabs>
              <w:tab w:val="left" w:pos="880"/>
              <w:tab w:val="right" w:leader="dot" w:pos="9016"/>
            </w:tabs>
            <w:rPr>
              <w:noProof/>
              <w:color w:val="D8117D"/>
              <w:sz w:val="22"/>
              <w:szCs w:val="22"/>
              <w:lang w:eastAsia="en-GB"/>
            </w:rPr>
          </w:pPr>
          <w:hyperlink w:anchor="_Toc50553606" w:history="1">
            <w:r w:rsidRPr="0051143B">
              <w:rPr>
                <w:rStyle w:val="Hyperlink"/>
                <w:rFonts w:ascii="Century Gothic" w:hAnsi="Century Gothic"/>
                <w:b/>
                <w:bCs/>
                <w:i/>
                <w:iCs/>
                <w:noProof/>
                <w:color w:val="D8117D"/>
              </w:rPr>
              <w:t>3.3.9</w:t>
            </w:r>
            <w:r w:rsidRPr="0051143B">
              <w:rPr>
                <w:noProof/>
                <w:color w:val="D8117D"/>
                <w:sz w:val="22"/>
                <w:szCs w:val="22"/>
                <w:lang w:eastAsia="en-GB"/>
              </w:rPr>
              <w:tab/>
            </w:r>
            <w:r w:rsidRPr="0051143B">
              <w:rPr>
                <w:rStyle w:val="Hyperlink"/>
                <w:rFonts w:ascii="Century Gothic" w:hAnsi="Century Gothic"/>
                <w:b/>
                <w:bCs/>
                <w:i/>
                <w:iCs/>
                <w:noProof/>
                <w:color w:val="D8117D"/>
              </w:rPr>
              <w:t>Communities and Environment</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_Toc50553606 \h </w:instrText>
            </w:r>
            <w:r w:rsidRPr="0051143B">
              <w:rPr>
                <w:noProof/>
                <w:webHidden/>
                <w:color w:val="D8117D"/>
              </w:rPr>
            </w:r>
            <w:r w:rsidRPr="0051143B">
              <w:rPr>
                <w:noProof/>
                <w:webHidden/>
                <w:color w:val="D8117D"/>
              </w:rPr>
              <w:fldChar w:fldCharType="separate"/>
            </w:r>
            <w:r w:rsidRPr="0051143B">
              <w:rPr>
                <w:noProof/>
                <w:webHidden/>
                <w:color w:val="D8117D"/>
              </w:rPr>
              <w:t>43</w:t>
            </w:r>
            <w:r w:rsidRPr="0051143B">
              <w:rPr>
                <w:noProof/>
                <w:webHidden/>
                <w:color w:val="D8117D"/>
              </w:rPr>
              <w:fldChar w:fldCharType="end"/>
            </w:r>
          </w:hyperlink>
        </w:p>
        <w:p w14:paraId="18A3E0CA" w14:textId="3BE59730" w:rsidR="0051143B" w:rsidRPr="0051143B" w:rsidRDefault="0051143B">
          <w:pPr>
            <w:pStyle w:val="TOC2"/>
            <w:tabs>
              <w:tab w:val="left" w:pos="1100"/>
              <w:tab w:val="right" w:leader="dot" w:pos="9016"/>
            </w:tabs>
            <w:rPr>
              <w:noProof/>
              <w:color w:val="D8117D"/>
              <w:sz w:val="22"/>
              <w:szCs w:val="22"/>
              <w:lang w:eastAsia="en-GB"/>
            </w:rPr>
          </w:pPr>
          <w:hyperlink w:anchor="_Toc50553607" w:history="1">
            <w:r w:rsidRPr="0051143B">
              <w:rPr>
                <w:rStyle w:val="Hyperlink"/>
                <w:rFonts w:ascii="Century Gothic" w:hAnsi="Century Gothic"/>
                <w:b/>
                <w:bCs/>
                <w:i/>
                <w:iCs/>
                <w:noProof/>
                <w:color w:val="D8117D"/>
              </w:rPr>
              <w:t>3.3.10</w:t>
            </w:r>
            <w:r w:rsidRPr="0051143B">
              <w:rPr>
                <w:noProof/>
                <w:color w:val="D8117D"/>
                <w:sz w:val="22"/>
                <w:szCs w:val="22"/>
                <w:lang w:eastAsia="en-GB"/>
              </w:rPr>
              <w:tab/>
            </w:r>
            <w:r w:rsidRPr="0051143B">
              <w:rPr>
                <w:rStyle w:val="Hyperlink"/>
                <w:rFonts w:ascii="Century Gothic" w:hAnsi="Century Gothic"/>
                <w:b/>
                <w:bCs/>
                <w:i/>
                <w:iCs/>
                <w:noProof/>
                <w:color w:val="D8117D"/>
              </w:rPr>
              <w:t>Population</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_Toc50553607 \h </w:instrText>
            </w:r>
            <w:r w:rsidRPr="0051143B">
              <w:rPr>
                <w:noProof/>
                <w:webHidden/>
                <w:color w:val="D8117D"/>
              </w:rPr>
            </w:r>
            <w:r w:rsidRPr="0051143B">
              <w:rPr>
                <w:noProof/>
                <w:webHidden/>
                <w:color w:val="D8117D"/>
              </w:rPr>
              <w:fldChar w:fldCharType="separate"/>
            </w:r>
            <w:r w:rsidRPr="0051143B">
              <w:rPr>
                <w:noProof/>
                <w:webHidden/>
                <w:color w:val="D8117D"/>
              </w:rPr>
              <w:t>45</w:t>
            </w:r>
            <w:r w:rsidRPr="0051143B">
              <w:rPr>
                <w:noProof/>
                <w:webHidden/>
                <w:color w:val="D8117D"/>
              </w:rPr>
              <w:fldChar w:fldCharType="end"/>
            </w:r>
          </w:hyperlink>
        </w:p>
        <w:p w14:paraId="61F35915" w14:textId="4811D894" w:rsidR="0051143B" w:rsidRPr="0051143B" w:rsidRDefault="0051143B">
          <w:pPr>
            <w:pStyle w:val="TOC2"/>
            <w:tabs>
              <w:tab w:val="left" w:pos="880"/>
              <w:tab w:val="right" w:leader="dot" w:pos="9016"/>
            </w:tabs>
            <w:rPr>
              <w:noProof/>
              <w:color w:val="D8117D"/>
              <w:sz w:val="22"/>
              <w:szCs w:val="22"/>
              <w:lang w:eastAsia="en-GB"/>
            </w:rPr>
          </w:pPr>
          <w:hyperlink w:anchor="_Toc50553608" w:history="1">
            <w:r w:rsidRPr="0051143B">
              <w:rPr>
                <w:rStyle w:val="Hyperlink"/>
                <w:rFonts w:ascii="Century Gothic" w:hAnsi="Century Gothic"/>
                <w:b/>
                <w:bCs/>
                <w:i/>
                <w:iCs/>
                <w:noProof/>
                <w:color w:val="D8117D"/>
              </w:rPr>
              <w:t>3.4</w:t>
            </w:r>
            <w:r w:rsidRPr="0051143B">
              <w:rPr>
                <w:noProof/>
                <w:color w:val="D8117D"/>
                <w:sz w:val="22"/>
                <w:szCs w:val="22"/>
                <w:lang w:eastAsia="en-GB"/>
              </w:rPr>
              <w:tab/>
            </w:r>
            <w:r w:rsidRPr="0051143B">
              <w:rPr>
                <w:rStyle w:val="Hyperlink"/>
                <w:rFonts w:ascii="Century Gothic" w:hAnsi="Century Gothic"/>
                <w:b/>
                <w:bCs/>
                <w:i/>
                <w:iCs/>
                <w:noProof/>
                <w:color w:val="D8117D"/>
              </w:rPr>
              <w:t>LSOA clusters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_Toc50553608 \h </w:instrText>
            </w:r>
            <w:r w:rsidRPr="0051143B">
              <w:rPr>
                <w:noProof/>
                <w:webHidden/>
                <w:color w:val="D8117D"/>
              </w:rPr>
            </w:r>
            <w:r w:rsidRPr="0051143B">
              <w:rPr>
                <w:noProof/>
                <w:webHidden/>
                <w:color w:val="D8117D"/>
              </w:rPr>
              <w:fldChar w:fldCharType="separate"/>
            </w:r>
            <w:r w:rsidRPr="0051143B">
              <w:rPr>
                <w:noProof/>
                <w:webHidden/>
                <w:color w:val="D8117D"/>
              </w:rPr>
              <w:t>48</w:t>
            </w:r>
            <w:r w:rsidRPr="0051143B">
              <w:rPr>
                <w:noProof/>
                <w:webHidden/>
                <w:color w:val="D8117D"/>
              </w:rPr>
              <w:fldChar w:fldCharType="end"/>
            </w:r>
          </w:hyperlink>
        </w:p>
        <w:p w14:paraId="4FAD6135" w14:textId="656FB5B0" w:rsidR="0051143B" w:rsidRPr="0051143B" w:rsidRDefault="0051143B">
          <w:pPr>
            <w:pStyle w:val="TOC1"/>
            <w:tabs>
              <w:tab w:val="left" w:pos="440"/>
              <w:tab w:val="right" w:leader="dot" w:pos="9016"/>
            </w:tabs>
            <w:rPr>
              <w:noProof/>
              <w:color w:val="D8117D"/>
              <w:sz w:val="22"/>
              <w:szCs w:val="22"/>
              <w:lang w:eastAsia="en-GB"/>
            </w:rPr>
          </w:pPr>
          <w:hyperlink w:anchor="_Toc50553609" w:history="1">
            <w:r w:rsidRPr="0051143B">
              <w:rPr>
                <w:rStyle w:val="Hyperlink"/>
                <w:rFonts w:ascii="Century Gothic" w:hAnsi="Century Gothic"/>
                <w:b/>
                <w:bCs/>
                <w:noProof/>
                <w:color w:val="D8117D"/>
              </w:rPr>
              <w:t>4.</w:t>
            </w:r>
            <w:r w:rsidRPr="0051143B">
              <w:rPr>
                <w:noProof/>
                <w:color w:val="D8117D"/>
                <w:sz w:val="22"/>
                <w:szCs w:val="22"/>
                <w:lang w:eastAsia="en-GB"/>
              </w:rPr>
              <w:tab/>
            </w:r>
            <w:r w:rsidRPr="0051143B">
              <w:rPr>
                <w:rStyle w:val="Hyperlink"/>
                <w:rFonts w:ascii="Century Gothic" w:hAnsi="Century Gothic"/>
                <w:b/>
                <w:bCs/>
                <w:noProof/>
                <w:color w:val="D8117D"/>
              </w:rPr>
              <w:t>Conclusions and recommendations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_Toc50553609 \h </w:instrText>
            </w:r>
            <w:r w:rsidRPr="0051143B">
              <w:rPr>
                <w:noProof/>
                <w:webHidden/>
                <w:color w:val="D8117D"/>
              </w:rPr>
            </w:r>
            <w:r w:rsidRPr="0051143B">
              <w:rPr>
                <w:noProof/>
                <w:webHidden/>
                <w:color w:val="D8117D"/>
              </w:rPr>
              <w:fldChar w:fldCharType="separate"/>
            </w:r>
            <w:r w:rsidRPr="0051143B">
              <w:rPr>
                <w:noProof/>
                <w:webHidden/>
                <w:color w:val="D8117D"/>
              </w:rPr>
              <w:t>52</w:t>
            </w:r>
            <w:r w:rsidRPr="0051143B">
              <w:rPr>
                <w:noProof/>
                <w:webHidden/>
                <w:color w:val="D8117D"/>
              </w:rPr>
              <w:fldChar w:fldCharType="end"/>
            </w:r>
          </w:hyperlink>
        </w:p>
        <w:p w14:paraId="4976FB48" w14:textId="6E1776A3" w:rsidR="0051143B" w:rsidRPr="0051143B" w:rsidRDefault="0051143B">
          <w:pPr>
            <w:pStyle w:val="TOC2"/>
            <w:tabs>
              <w:tab w:val="left" w:pos="880"/>
              <w:tab w:val="right" w:leader="dot" w:pos="9016"/>
            </w:tabs>
            <w:rPr>
              <w:noProof/>
              <w:color w:val="D8117D"/>
              <w:sz w:val="22"/>
              <w:szCs w:val="22"/>
              <w:lang w:eastAsia="en-GB"/>
            </w:rPr>
          </w:pPr>
          <w:hyperlink w:anchor="_Toc50553610" w:history="1">
            <w:r w:rsidRPr="0051143B">
              <w:rPr>
                <w:rStyle w:val="Hyperlink"/>
                <w:rFonts w:ascii="Century Gothic" w:hAnsi="Century Gothic"/>
                <w:b/>
                <w:bCs/>
                <w:i/>
                <w:iCs/>
                <w:noProof/>
                <w:color w:val="D8117D"/>
              </w:rPr>
              <w:t>4.1</w:t>
            </w:r>
            <w:r w:rsidRPr="0051143B">
              <w:rPr>
                <w:noProof/>
                <w:color w:val="D8117D"/>
                <w:sz w:val="22"/>
                <w:szCs w:val="22"/>
                <w:lang w:eastAsia="en-GB"/>
              </w:rPr>
              <w:tab/>
            </w:r>
            <w:r w:rsidRPr="0051143B">
              <w:rPr>
                <w:rStyle w:val="Hyperlink"/>
                <w:rFonts w:ascii="Century Gothic" w:hAnsi="Century Gothic"/>
                <w:b/>
                <w:bCs/>
                <w:i/>
                <w:iCs/>
                <w:noProof/>
                <w:color w:val="D8117D"/>
              </w:rPr>
              <w:t>Recommendations for further research and analysis</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_Toc50553610 \h </w:instrText>
            </w:r>
            <w:r w:rsidRPr="0051143B">
              <w:rPr>
                <w:noProof/>
                <w:webHidden/>
                <w:color w:val="D8117D"/>
              </w:rPr>
            </w:r>
            <w:r w:rsidRPr="0051143B">
              <w:rPr>
                <w:noProof/>
                <w:webHidden/>
                <w:color w:val="D8117D"/>
              </w:rPr>
              <w:fldChar w:fldCharType="separate"/>
            </w:r>
            <w:r w:rsidRPr="0051143B">
              <w:rPr>
                <w:noProof/>
                <w:webHidden/>
                <w:color w:val="D8117D"/>
              </w:rPr>
              <w:t>54</w:t>
            </w:r>
            <w:r w:rsidRPr="0051143B">
              <w:rPr>
                <w:noProof/>
                <w:webHidden/>
                <w:color w:val="D8117D"/>
              </w:rPr>
              <w:fldChar w:fldCharType="end"/>
            </w:r>
          </w:hyperlink>
        </w:p>
        <w:p w14:paraId="7492C881" w14:textId="77D6EE84" w:rsidR="0051143B" w:rsidRPr="0051143B" w:rsidRDefault="0051143B">
          <w:pPr>
            <w:pStyle w:val="TOC2"/>
            <w:tabs>
              <w:tab w:val="left" w:pos="880"/>
              <w:tab w:val="right" w:leader="dot" w:pos="9016"/>
            </w:tabs>
            <w:rPr>
              <w:noProof/>
              <w:color w:val="D8117D"/>
              <w:sz w:val="22"/>
              <w:szCs w:val="22"/>
              <w:lang w:eastAsia="en-GB"/>
            </w:rPr>
          </w:pPr>
          <w:hyperlink w:anchor="_Toc50553611" w:history="1">
            <w:r w:rsidRPr="0051143B">
              <w:rPr>
                <w:rStyle w:val="Hyperlink"/>
                <w:rFonts w:ascii="Century Gothic" w:hAnsi="Century Gothic"/>
                <w:b/>
                <w:bCs/>
                <w:i/>
                <w:iCs/>
                <w:noProof/>
                <w:color w:val="D8117D"/>
              </w:rPr>
              <w:t>4.2</w:t>
            </w:r>
            <w:r w:rsidRPr="0051143B">
              <w:rPr>
                <w:noProof/>
                <w:color w:val="D8117D"/>
                <w:sz w:val="22"/>
                <w:szCs w:val="22"/>
                <w:lang w:eastAsia="en-GB"/>
              </w:rPr>
              <w:tab/>
            </w:r>
            <w:r w:rsidRPr="0051143B">
              <w:rPr>
                <w:rStyle w:val="Hyperlink"/>
                <w:rFonts w:ascii="Century Gothic" w:hAnsi="Century Gothic"/>
                <w:b/>
                <w:bCs/>
                <w:i/>
                <w:iCs/>
                <w:noProof/>
                <w:color w:val="D8117D"/>
              </w:rPr>
              <w:t>Recommendations for use of the tool</w:t>
            </w:r>
            <w:r w:rsidRPr="0051143B">
              <w:rPr>
                <w:noProof/>
                <w:webHidden/>
                <w:color w:val="D8117D"/>
              </w:rPr>
              <w:tab/>
            </w:r>
            <w:r w:rsidRPr="0051143B">
              <w:rPr>
                <w:noProof/>
                <w:webHidden/>
                <w:color w:val="D8117D"/>
              </w:rPr>
              <w:fldChar w:fldCharType="begin"/>
            </w:r>
            <w:r w:rsidRPr="0051143B">
              <w:rPr>
                <w:noProof/>
                <w:webHidden/>
                <w:color w:val="D8117D"/>
              </w:rPr>
              <w:instrText xml:space="preserve"> PAGEREF _Toc50553611 \h </w:instrText>
            </w:r>
            <w:r w:rsidRPr="0051143B">
              <w:rPr>
                <w:noProof/>
                <w:webHidden/>
                <w:color w:val="D8117D"/>
              </w:rPr>
            </w:r>
            <w:r w:rsidRPr="0051143B">
              <w:rPr>
                <w:noProof/>
                <w:webHidden/>
                <w:color w:val="D8117D"/>
              </w:rPr>
              <w:fldChar w:fldCharType="separate"/>
            </w:r>
            <w:r w:rsidRPr="0051143B">
              <w:rPr>
                <w:noProof/>
                <w:webHidden/>
                <w:color w:val="D8117D"/>
              </w:rPr>
              <w:t>57</w:t>
            </w:r>
            <w:r w:rsidRPr="0051143B">
              <w:rPr>
                <w:noProof/>
                <w:webHidden/>
                <w:color w:val="D8117D"/>
              </w:rPr>
              <w:fldChar w:fldCharType="end"/>
            </w:r>
          </w:hyperlink>
        </w:p>
        <w:p w14:paraId="7D0B13E4" w14:textId="3E22E46A" w:rsidR="003831BC" w:rsidRPr="00BA313B" w:rsidRDefault="003831BC" w:rsidP="003831BC">
          <w:pPr>
            <w:jc w:val="both"/>
            <w:rPr>
              <w:rFonts w:ascii="Century Gothic" w:hAnsi="Century Gothic"/>
            </w:rPr>
          </w:pPr>
          <w:r w:rsidRPr="0051143B">
            <w:rPr>
              <w:rFonts w:ascii="Century Gothic" w:hAnsi="Century Gothic"/>
              <w:b/>
              <w:bCs/>
              <w:noProof/>
              <w:color w:val="D8117D"/>
            </w:rPr>
            <w:fldChar w:fldCharType="end"/>
          </w:r>
        </w:p>
      </w:sdtContent>
    </w:sdt>
    <w:p w14:paraId="2D06FA81" w14:textId="77777777" w:rsidR="003831BC" w:rsidRPr="00BA313B" w:rsidRDefault="003831BC" w:rsidP="003831BC">
      <w:pPr>
        <w:pStyle w:val="Heading1"/>
        <w:jc w:val="both"/>
        <w:rPr>
          <w:rFonts w:ascii="Century Gothic" w:hAnsi="Century Gothic"/>
        </w:rPr>
      </w:pPr>
      <w:r w:rsidRPr="00BA313B">
        <w:rPr>
          <w:rFonts w:ascii="Century Gothic" w:hAnsi="Century Gothic"/>
        </w:rPr>
        <w:br w:type="page"/>
      </w:r>
    </w:p>
    <w:p w14:paraId="7FC4F742" w14:textId="77777777" w:rsidR="003831BC" w:rsidRPr="00BA313B" w:rsidRDefault="003831BC" w:rsidP="003831BC">
      <w:pPr>
        <w:pStyle w:val="Heading1"/>
        <w:numPr>
          <w:ilvl w:val="0"/>
          <w:numId w:val="9"/>
        </w:numPr>
        <w:jc w:val="both"/>
        <w:rPr>
          <w:rFonts w:ascii="Century Gothic" w:hAnsi="Century Gothic"/>
          <w:b/>
          <w:bCs/>
          <w:color w:val="D8117D"/>
        </w:rPr>
      </w:pPr>
      <w:bookmarkStart w:id="2" w:name="_Toc50553584"/>
      <w:r w:rsidRPr="287DE5FF">
        <w:rPr>
          <w:rFonts w:ascii="Century Gothic" w:hAnsi="Century Gothic"/>
          <w:b/>
          <w:bCs/>
          <w:color w:val="D8117D"/>
        </w:rPr>
        <w:t>Introduction</w:t>
      </w:r>
      <w:bookmarkEnd w:id="2"/>
    </w:p>
    <w:p w14:paraId="424E9B5C" w14:textId="77777777" w:rsidR="003831BC" w:rsidRDefault="003831BC" w:rsidP="003831BC"/>
    <w:p w14:paraId="5CAADFFA" w14:textId="77777777" w:rsidR="003831BC" w:rsidRPr="00F14A94" w:rsidRDefault="003831BC" w:rsidP="003831BC">
      <w:pPr>
        <w:spacing w:line="257" w:lineRule="auto"/>
        <w:jc w:val="both"/>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The Essex Centre for Data and Analytics, also known as </w:t>
      </w: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is a partnership venture between Essex County Council, Essex Police, the University of Essex, and the Essex Fire and Rescue to build our capacity and capability. </w:t>
      </w: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takes a whole-system approach to bringing together data and intelligence held within the </w:t>
      </w: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partners in order to form new insight to drive evidence-based decision making. The actionable insight developed through </w:t>
      </w: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aims to improve outcomes for people, place and public services. </w:t>
      </w:r>
    </w:p>
    <w:p w14:paraId="225F6592" w14:textId="77777777" w:rsidR="003831BC" w:rsidRPr="00F14A94" w:rsidRDefault="003831BC" w:rsidP="003831BC">
      <w:pPr>
        <w:spacing w:line="257" w:lineRule="auto"/>
        <w:jc w:val="both"/>
        <w:rPr>
          <w:rFonts w:ascii="Century Gothic" w:eastAsia="Century Gothic" w:hAnsi="Century Gothic" w:cs="Century Gothic"/>
          <w:sz w:val="22"/>
          <w:szCs w:val="22"/>
        </w:rPr>
      </w:pP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developed the Physical Activity Dashboard in partnership with the Essex Local Delivery Pilot (ELDP) in order to improve the insight available on physical activity levels and drivers of this at low geographical levels across Essex.</w:t>
      </w:r>
    </w:p>
    <w:p w14:paraId="40C84D28" w14:textId="77777777" w:rsidR="003831BC" w:rsidRPr="00F14A94" w:rsidRDefault="003831BC" w:rsidP="003831BC">
      <w:pPr>
        <w:spacing w:line="257" w:lineRule="auto"/>
        <w:jc w:val="both"/>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This report outlines the development of this dashboard, produced by senior and public health intelligence analysts of the </w:t>
      </w:r>
      <w:proofErr w:type="spellStart"/>
      <w:r w:rsidRPr="00F14A94">
        <w:rPr>
          <w:rFonts w:ascii="Century Gothic" w:eastAsia="Century Gothic" w:hAnsi="Century Gothic" w:cs="Century Gothic"/>
          <w:sz w:val="22"/>
          <w:szCs w:val="22"/>
        </w:rPr>
        <w:t>ecda</w:t>
      </w:r>
      <w:proofErr w:type="spellEnd"/>
      <w:r w:rsidRPr="00F14A94">
        <w:rPr>
          <w:rFonts w:ascii="Century Gothic" w:eastAsia="Century Gothic" w:hAnsi="Century Gothic" w:cs="Century Gothic"/>
          <w:sz w:val="22"/>
          <w:szCs w:val="22"/>
        </w:rPr>
        <w:t xml:space="preserve"> team within Essex County Council’s Strategy and Insight Engagement function. This includes: the scope and purpose of the project; the cleansing and structuring of data; the underlying analysis of the dataset, developing a physical inactivity score and cluster classification; and the development of the interactive </w:t>
      </w:r>
      <w:proofErr w:type="spellStart"/>
      <w:r w:rsidRPr="00F14A94">
        <w:rPr>
          <w:rFonts w:ascii="Century Gothic" w:eastAsia="Century Gothic" w:hAnsi="Century Gothic" w:cs="Century Gothic"/>
          <w:sz w:val="22"/>
          <w:szCs w:val="22"/>
        </w:rPr>
        <w:t>PowerBI</w:t>
      </w:r>
      <w:proofErr w:type="spellEnd"/>
      <w:r w:rsidRPr="00F14A94">
        <w:rPr>
          <w:rFonts w:ascii="Century Gothic" w:eastAsia="Century Gothic" w:hAnsi="Century Gothic" w:cs="Century Gothic"/>
          <w:sz w:val="22"/>
          <w:szCs w:val="22"/>
        </w:rPr>
        <w:t xml:space="preserve"> Dashboard. </w:t>
      </w:r>
    </w:p>
    <w:p w14:paraId="5F44DD6F" w14:textId="77777777" w:rsidR="003831BC" w:rsidRPr="00F14A94" w:rsidRDefault="003831BC" w:rsidP="003831BC">
      <w:pPr>
        <w:spacing w:line="257" w:lineRule="auto"/>
        <w:jc w:val="both"/>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A summary of key findings is also provided, such as the level of physical inactivity and potential drivers of this at a low-geographical level across Essex and resultant groupings into four clusters based on the physical inactivity drivers and barriers. Recommendations formed throughout these processes and stakeholder engagement are also provided. These form into one of three categories: suggestions for potential operational use of the dashboard and resultant processes, including commissioning decisions and intervention development; suggestions for the use of the tool as a spring-board for further research and analysis; and suggestions for further adaptation of the tool and underlying analysis.</w:t>
      </w:r>
    </w:p>
    <w:p w14:paraId="6FEFC65C" w14:textId="77777777" w:rsidR="003831BC" w:rsidRDefault="003831BC" w:rsidP="003831BC">
      <w:pPr>
        <w:jc w:val="both"/>
        <w:rPr>
          <w:rFonts w:ascii="Century Gothic" w:hAnsi="Century Gothic"/>
        </w:rPr>
      </w:pPr>
    </w:p>
    <w:p w14:paraId="5C99ABDC" w14:textId="77777777" w:rsidR="003831BC" w:rsidRDefault="003831BC" w:rsidP="003831BC">
      <w:pPr>
        <w:pStyle w:val="Heading2"/>
        <w:numPr>
          <w:ilvl w:val="1"/>
          <w:numId w:val="9"/>
        </w:numPr>
        <w:jc w:val="both"/>
        <w:rPr>
          <w:rFonts w:ascii="Century Gothic" w:hAnsi="Century Gothic"/>
          <w:b/>
          <w:bCs/>
          <w:i/>
          <w:iCs/>
          <w:color w:val="D8117D"/>
        </w:rPr>
      </w:pPr>
      <w:bookmarkStart w:id="3" w:name="_Toc50553585"/>
      <w:r w:rsidRPr="287DE5FF">
        <w:rPr>
          <w:rFonts w:ascii="Century Gothic" w:hAnsi="Century Gothic"/>
          <w:b/>
          <w:bCs/>
          <w:i/>
          <w:iCs/>
          <w:color w:val="D8117D"/>
        </w:rPr>
        <w:t>Purpose of project</w:t>
      </w:r>
      <w:bookmarkEnd w:id="3"/>
    </w:p>
    <w:p w14:paraId="0E62FB41" w14:textId="77777777" w:rsidR="003831BC" w:rsidRDefault="003831BC" w:rsidP="003831BC">
      <w:pPr>
        <w:jc w:val="both"/>
        <w:rPr>
          <w:rFonts w:ascii="Century Gothic" w:hAnsi="Century Gothic"/>
        </w:rPr>
      </w:pPr>
    </w:p>
    <w:p w14:paraId="064DA869" w14:textId="77777777" w:rsidR="003831BC" w:rsidRPr="00F14A94" w:rsidRDefault="003831BC" w:rsidP="003831BC">
      <w:pPr>
        <w:jc w:val="both"/>
        <w:rPr>
          <w:rFonts w:ascii="Century Gothic" w:hAnsi="Century Gothic" w:cs="Arial"/>
          <w:sz w:val="22"/>
          <w:szCs w:val="22"/>
          <w:highlight w:val="yellow"/>
        </w:rPr>
      </w:pPr>
      <w:r w:rsidRPr="00F14A94">
        <w:rPr>
          <w:rFonts w:ascii="Century Gothic" w:hAnsi="Century Gothic" w:cs="Arial"/>
          <w:sz w:val="22"/>
          <w:szCs w:val="22"/>
        </w:rPr>
        <w:t xml:space="preserve">The ELDP and </w:t>
      </w:r>
      <w:proofErr w:type="spellStart"/>
      <w:r w:rsidRPr="00F14A94">
        <w:rPr>
          <w:rFonts w:ascii="Century Gothic" w:hAnsi="Century Gothic" w:cs="Arial"/>
          <w:sz w:val="22"/>
          <w:szCs w:val="22"/>
        </w:rPr>
        <w:t>ecda</w:t>
      </w:r>
      <w:proofErr w:type="spellEnd"/>
      <w:r w:rsidRPr="00F14A94">
        <w:rPr>
          <w:rFonts w:ascii="Century Gothic" w:hAnsi="Century Gothic" w:cs="Arial"/>
          <w:sz w:val="22"/>
          <w:szCs w:val="22"/>
        </w:rPr>
        <w:t xml:space="preserve"> formed a partnership to develop an interactive evidence-base to enable data-led solutions aimed towards improving and sustaining the physical activity levels within communities across Essex. According to Intelligent Health’s report, </w:t>
      </w:r>
      <w:r w:rsidRPr="00F14A94">
        <w:rPr>
          <w:rFonts w:ascii="Century Gothic" w:hAnsi="Century Gothic" w:cs="Arial"/>
          <w:i/>
          <w:iCs/>
          <w:sz w:val="22"/>
          <w:szCs w:val="22"/>
        </w:rPr>
        <w:t>A review of physical activity data and Insight in Essex</w:t>
      </w:r>
      <w:r w:rsidRPr="00F14A94">
        <w:rPr>
          <w:rFonts w:ascii="Century Gothic" w:hAnsi="Century Gothic" w:cs="Arial"/>
          <w:sz w:val="22"/>
          <w:szCs w:val="22"/>
        </w:rPr>
        <w:t xml:space="preserve">, the levels of physical inactivity are as follows within the three ELDP Target Districts: </w:t>
      </w:r>
    </w:p>
    <w:p w14:paraId="6C4275AB" w14:textId="77777777" w:rsidR="003831BC" w:rsidRPr="00F14A94" w:rsidRDefault="003831BC" w:rsidP="003831BC">
      <w:pPr>
        <w:pStyle w:val="ListParagraph"/>
        <w:numPr>
          <w:ilvl w:val="0"/>
          <w:numId w:val="32"/>
        </w:numPr>
        <w:spacing w:after="160" w:line="276" w:lineRule="auto"/>
        <w:jc w:val="both"/>
        <w:rPr>
          <w:rFonts w:ascii="Century Gothic" w:hAnsi="Century Gothic" w:cs="Arial"/>
          <w:sz w:val="22"/>
          <w:szCs w:val="22"/>
        </w:rPr>
      </w:pPr>
      <w:r w:rsidRPr="00F14A94">
        <w:rPr>
          <w:rFonts w:ascii="Century Gothic" w:hAnsi="Century Gothic" w:cs="Arial"/>
          <w:sz w:val="22"/>
          <w:szCs w:val="22"/>
        </w:rPr>
        <w:t>Basildon 28.7%</w:t>
      </w:r>
    </w:p>
    <w:p w14:paraId="4CA923CC" w14:textId="77777777" w:rsidR="003831BC" w:rsidRPr="00F14A94" w:rsidRDefault="003831BC" w:rsidP="003831BC">
      <w:pPr>
        <w:pStyle w:val="ListParagraph"/>
        <w:numPr>
          <w:ilvl w:val="0"/>
          <w:numId w:val="32"/>
        </w:numPr>
        <w:spacing w:after="160" w:line="276" w:lineRule="auto"/>
        <w:jc w:val="both"/>
        <w:rPr>
          <w:rFonts w:ascii="Century Gothic" w:hAnsi="Century Gothic" w:cs="Arial"/>
          <w:sz w:val="22"/>
          <w:szCs w:val="22"/>
        </w:rPr>
      </w:pPr>
      <w:r w:rsidRPr="00F14A94">
        <w:rPr>
          <w:rFonts w:ascii="Century Gothic" w:hAnsi="Century Gothic" w:cs="Arial"/>
          <w:sz w:val="22"/>
          <w:szCs w:val="22"/>
        </w:rPr>
        <w:t>Colchester 25.2%</w:t>
      </w:r>
    </w:p>
    <w:p w14:paraId="0FCF1A8F" w14:textId="77777777" w:rsidR="003831BC" w:rsidRPr="00F14A94" w:rsidRDefault="003831BC" w:rsidP="003831BC">
      <w:pPr>
        <w:pStyle w:val="ListParagraph"/>
        <w:numPr>
          <w:ilvl w:val="0"/>
          <w:numId w:val="32"/>
        </w:numPr>
        <w:spacing w:after="160" w:line="276" w:lineRule="auto"/>
        <w:jc w:val="both"/>
        <w:rPr>
          <w:rFonts w:ascii="Century Gothic" w:hAnsi="Century Gothic" w:cs="Arial"/>
          <w:sz w:val="22"/>
          <w:szCs w:val="22"/>
        </w:rPr>
      </w:pPr>
      <w:r w:rsidRPr="00F14A94">
        <w:rPr>
          <w:rFonts w:ascii="Century Gothic" w:hAnsi="Century Gothic" w:cs="Arial"/>
          <w:sz w:val="22"/>
          <w:szCs w:val="22"/>
        </w:rPr>
        <w:t>Tendring 33%</w:t>
      </w:r>
    </w:p>
    <w:p w14:paraId="173AA470" w14:textId="77777777" w:rsidR="003831BC" w:rsidRPr="00F14A94" w:rsidRDefault="003831BC" w:rsidP="003831BC">
      <w:pPr>
        <w:spacing w:after="160" w:line="276" w:lineRule="auto"/>
        <w:jc w:val="both"/>
        <w:rPr>
          <w:rFonts w:ascii="Century Gothic" w:hAnsi="Century Gothic" w:cs="Arial"/>
          <w:sz w:val="22"/>
          <w:szCs w:val="22"/>
        </w:rPr>
      </w:pPr>
      <w:r w:rsidRPr="00F14A94">
        <w:rPr>
          <w:rFonts w:ascii="Century Gothic" w:hAnsi="Century Gothic" w:cs="Arial"/>
          <w:sz w:val="22"/>
          <w:szCs w:val="22"/>
        </w:rPr>
        <w:t xml:space="preserve">Tendring and Basildon’s physical activity rates are above the Essex inactivity rate of 26.3%, while Colchester is not far behind. Inactivity rates within these three districts are high and in need of addressing. These Districts are also amongst the most deprived districts of Essex according to Indices of Multiple Deprivation (2015 and 2019). </w:t>
      </w:r>
    </w:p>
    <w:p w14:paraId="3FC310EA" w14:textId="77777777" w:rsidR="003831BC" w:rsidRPr="00F14A94" w:rsidRDefault="003831BC" w:rsidP="003831BC">
      <w:pPr>
        <w:jc w:val="both"/>
        <w:rPr>
          <w:rFonts w:ascii="Century Gothic" w:hAnsi="Century Gothic" w:cs="Arial"/>
          <w:sz w:val="22"/>
          <w:szCs w:val="22"/>
        </w:rPr>
      </w:pPr>
      <w:r w:rsidRPr="00F14A94">
        <w:rPr>
          <w:rFonts w:ascii="Century Gothic" w:hAnsi="Century Gothic" w:cs="Arial"/>
          <w:sz w:val="22"/>
          <w:szCs w:val="22"/>
        </w:rPr>
        <w:t xml:space="preserve">It was initially identified that there was a need to develop additional, improved insight at a locally granular level to what was currently available, with limitations in both data and tools. For example, there was no data on the outcome measure of physical inactivity at the level required. We also needed insight into why the ELDP Target areas have high levels of physical inactivity. This includes insight into whether there are potential barriers present within the community that, if effectively overcome, could promote and encourage residents within that community to partake in physical activity and sustain this improved health behaviour in the long-term. </w:t>
      </w:r>
    </w:p>
    <w:p w14:paraId="396CABA3" w14:textId="77777777" w:rsidR="003831BC" w:rsidRPr="00F14A94" w:rsidRDefault="003831BC" w:rsidP="003831BC">
      <w:pPr>
        <w:jc w:val="both"/>
        <w:rPr>
          <w:rFonts w:ascii="Century Gothic" w:hAnsi="Century Gothic"/>
          <w:sz w:val="22"/>
          <w:szCs w:val="22"/>
        </w:rPr>
      </w:pPr>
      <w:r w:rsidRPr="00F14A94">
        <w:rPr>
          <w:rFonts w:ascii="Century Gothic" w:hAnsi="Century Gothic" w:cs="Arial"/>
          <w:sz w:val="22"/>
          <w:szCs w:val="22"/>
        </w:rPr>
        <w:t xml:space="preserve">Planned use of this </w:t>
      </w:r>
      <w:proofErr w:type="spellStart"/>
      <w:r w:rsidRPr="00F14A94">
        <w:rPr>
          <w:rFonts w:ascii="Century Gothic" w:hAnsi="Century Gothic" w:cs="Arial"/>
          <w:sz w:val="22"/>
          <w:szCs w:val="22"/>
        </w:rPr>
        <w:t>ecda</w:t>
      </w:r>
      <w:proofErr w:type="spellEnd"/>
      <w:r w:rsidRPr="00F14A94">
        <w:rPr>
          <w:rFonts w:ascii="Century Gothic" w:hAnsi="Century Gothic" w:cs="Arial"/>
          <w:sz w:val="22"/>
          <w:szCs w:val="22"/>
        </w:rPr>
        <w:t xml:space="preserve"> Physical Activity Dashboard by the ELDP and partners therefore includes profiling communities at granular, geographical levels, to identify such physical inactivity levels and its’ potential drivers. This, in turn, can provide the ELDP </w:t>
      </w:r>
      <w:proofErr w:type="gramStart"/>
      <w:r w:rsidRPr="00F14A94">
        <w:rPr>
          <w:rFonts w:ascii="Century Gothic" w:hAnsi="Century Gothic" w:cs="Arial"/>
          <w:sz w:val="22"/>
          <w:szCs w:val="22"/>
        </w:rPr>
        <w:t>with:</w:t>
      </w:r>
      <w:proofErr w:type="gramEnd"/>
      <w:r w:rsidRPr="00F14A94">
        <w:rPr>
          <w:rFonts w:ascii="Century Gothic" w:hAnsi="Century Gothic" w:cs="Arial"/>
          <w:sz w:val="22"/>
          <w:szCs w:val="22"/>
        </w:rPr>
        <w:t xml:space="preserve"> support for their case for need; actionable insight for specific communities; and an evidence-base for commissioning decisions and the development of interventions and pilot programmes across the Essex system and Districts. Overall, given the range of integrated data included in the </w:t>
      </w:r>
      <w:proofErr w:type="spellStart"/>
      <w:r w:rsidRPr="00F14A94">
        <w:rPr>
          <w:rFonts w:ascii="Century Gothic" w:hAnsi="Century Gothic" w:cs="Arial"/>
          <w:sz w:val="22"/>
          <w:szCs w:val="22"/>
        </w:rPr>
        <w:t>ecda</w:t>
      </w:r>
      <w:proofErr w:type="spellEnd"/>
      <w:r w:rsidRPr="00F14A94">
        <w:rPr>
          <w:rFonts w:ascii="Century Gothic" w:hAnsi="Century Gothic" w:cs="Arial"/>
          <w:sz w:val="22"/>
          <w:szCs w:val="22"/>
        </w:rPr>
        <w:t xml:space="preserve"> Physical Activity Dashboard, not only is this tool providing a unique opportunity to target determinants of physical activity in Essex, but also to identify and encourage new opportunities for cross-agency co-production to do so.</w:t>
      </w:r>
    </w:p>
    <w:p w14:paraId="190162C2" w14:textId="77777777" w:rsidR="003831BC" w:rsidRDefault="003831BC" w:rsidP="003831BC">
      <w:pPr>
        <w:pStyle w:val="Heading1"/>
        <w:numPr>
          <w:ilvl w:val="0"/>
          <w:numId w:val="9"/>
        </w:numPr>
        <w:jc w:val="both"/>
        <w:rPr>
          <w:rFonts w:ascii="Century Gothic" w:hAnsi="Century Gothic"/>
          <w:b/>
          <w:bCs/>
          <w:color w:val="D8117D"/>
        </w:rPr>
      </w:pPr>
      <w:bookmarkStart w:id="4" w:name="_Toc50553586"/>
      <w:r w:rsidRPr="287DE5FF">
        <w:rPr>
          <w:rFonts w:ascii="Century Gothic" w:hAnsi="Century Gothic"/>
          <w:b/>
          <w:bCs/>
          <w:color w:val="D8117D"/>
        </w:rPr>
        <w:t>Methodology</w:t>
      </w:r>
      <w:bookmarkEnd w:id="4"/>
    </w:p>
    <w:p w14:paraId="65367E72" w14:textId="77777777" w:rsidR="003831BC" w:rsidRDefault="003831BC" w:rsidP="003831BC">
      <w:pPr>
        <w:jc w:val="both"/>
      </w:pPr>
    </w:p>
    <w:p w14:paraId="769DD0AD"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This section of the report outlines the analytical steps taken used to create an overall ‘risk’ score summarising the challenges to increasing physical activity for each LSOA in the country. This involved:</w:t>
      </w:r>
    </w:p>
    <w:p w14:paraId="1F5B60F4" w14:textId="77777777" w:rsidR="003831BC" w:rsidRPr="00F14A94" w:rsidRDefault="003831BC" w:rsidP="003831BC">
      <w:pPr>
        <w:pStyle w:val="ListParagraph"/>
        <w:numPr>
          <w:ilvl w:val="0"/>
          <w:numId w:val="3"/>
        </w:numPr>
        <w:jc w:val="both"/>
        <w:rPr>
          <w:sz w:val="22"/>
          <w:szCs w:val="22"/>
        </w:rPr>
      </w:pPr>
      <w:r w:rsidRPr="00F14A94">
        <w:rPr>
          <w:rFonts w:ascii="Century Gothic" w:hAnsi="Century Gothic"/>
          <w:sz w:val="22"/>
          <w:szCs w:val="22"/>
        </w:rPr>
        <w:t>Reviewing existing literature to identify appropriate data sources</w:t>
      </w:r>
    </w:p>
    <w:p w14:paraId="0FA33DE5" w14:textId="77777777" w:rsidR="003831BC" w:rsidRPr="00F14A94" w:rsidRDefault="003831BC" w:rsidP="003831BC">
      <w:pPr>
        <w:pStyle w:val="ListParagraph"/>
        <w:numPr>
          <w:ilvl w:val="0"/>
          <w:numId w:val="3"/>
        </w:numPr>
        <w:jc w:val="both"/>
        <w:rPr>
          <w:sz w:val="22"/>
          <w:szCs w:val="22"/>
        </w:rPr>
      </w:pPr>
      <w:r w:rsidRPr="00F14A94">
        <w:rPr>
          <w:rFonts w:ascii="Century Gothic" w:hAnsi="Century Gothic"/>
          <w:sz w:val="22"/>
          <w:szCs w:val="22"/>
        </w:rPr>
        <w:t>Collecting data and cleansing ready for analysis</w:t>
      </w:r>
    </w:p>
    <w:p w14:paraId="048A3816" w14:textId="77777777" w:rsidR="003831BC" w:rsidRPr="00F14A94" w:rsidRDefault="003831BC" w:rsidP="003831BC">
      <w:pPr>
        <w:pStyle w:val="ListParagraph"/>
        <w:numPr>
          <w:ilvl w:val="0"/>
          <w:numId w:val="3"/>
        </w:numPr>
        <w:jc w:val="both"/>
        <w:rPr>
          <w:sz w:val="22"/>
          <w:szCs w:val="22"/>
        </w:rPr>
      </w:pPr>
      <w:r w:rsidRPr="00F14A94">
        <w:rPr>
          <w:rFonts w:ascii="Century Gothic" w:hAnsi="Century Gothic"/>
          <w:sz w:val="22"/>
          <w:szCs w:val="22"/>
        </w:rPr>
        <w:t>Theming this data and the creation of decile scores for each theme</w:t>
      </w:r>
    </w:p>
    <w:p w14:paraId="459658D1" w14:textId="77777777" w:rsidR="003831BC" w:rsidRPr="00E5353D" w:rsidRDefault="003831BC" w:rsidP="003831BC">
      <w:pPr>
        <w:pStyle w:val="ListParagraph"/>
        <w:numPr>
          <w:ilvl w:val="0"/>
          <w:numId w:val="3"/>
        </w:numPr>
        <w:jc w:val="both"/>
        <w:rPr>
          <w:sz w:val="22"/>
          <w:szCs w:val="22"/>
        </w:rPr>
      </w:pPr>
      <w:r w:rsidRPr="00F14A94">
        <w:rPr>
          <w:rFonts w:ascii="Century Gothic" w:hAnsi="Century Gothic"/>
          <w:sz w:val="22"/>
          <w:szCs w:val="22"/>
        </w:rPr>
        <w:t>Undertaking a regression to identify weightings to assign to each theme in order to create the physical activity risk score</w:t>
      </w:r>
    </w:p>
    <w:p w14:paraId="33DA25F0" w14:textId="77777777" w:rsidR="003831BC" w:rsidRPr="00F14A94" w:rsidRDefault="003831BC" w:rsidP="003831BC">
      <w:pPr>
        <w:pStyle w:val="ListParagraph"/>
        <w:jc w:val="both"/>
        <w:rPr>
          <w:sz w:val="22"/>
          <w:szCs w:val="22"/>
        </w:rPr>
      </w:pPr>
    </w:p>
    <w:p w14:paraId="52EE4420" w14:textId="77777777" w:rsidR="003831BC" w:rsidRDefault="003831BC" w:rsidP="003831BC">
      <w:pPr>
        <w:pStyle w:val="Heading2"/>
        <w:numPr>
          <w:ilvl w:val="1"/>
          <w:numId w:val="9"/>
        </w:numPr>
        <w:jc w:val="both"/>
        <w:rPr>
          <w:rFonts w:ascii="Century Gothic" w:hAnsi="Century Gothic"/>
          <w:b/>
          <w:bCs/>
          <w:i/>
          <w:iCs/>
          <w:color w:val="D8117D"/>
        </w:rPr>
      </w:pPr>
      <w:bookmarkStart w:id="5" w:name="_Toc50553587"/>
      <w:r w:rsidRPr="287DE5FF">
        <w:rPr>
          <w:rFonts w:ascii="Century Gothic" w:hAnsi="Century Gothic"/>
          <w:b/>
          <w:bCs/>
          <w:i/>
          <w:iCs/>
          <w:color w:val="D8117D"/>
        </w:rPr>
        <w:t>Summary of literature review</w:t>
      </w:r>
      <w:bookmarkEnd w:id="5"/>
    </w:p>
    <w:p w14:paraId="19B85499" w14:textId="77777777" w:rsidR="003831BC" w:rsidRDefault="003831BC" w:rsidP="003831BC">
      <w:pPr>
        <w:jc w:val="both"/>
      </w:pPr>
    </w:p>
    <w:p w14:paraId="4F92244F" w14:textId="77777777" w:rsidR="003831BC" w:rsidRPr="00F14A94" w:rsidRDefault="003831BC" w:rsidP="003831BC">
      <w:pPr>
        <w:jc w:val="both"/>
        <w:rPr>
          <w:rFonts w:ascii="Century Gothic" w:eastAsia="Century Gothic" w:hAnsi="Century Gothic" w:cs="Century Gothic"/>
          <w:sz w:val="22"/>
          <w:szCs w:val="22"/>
        </w:rPr>
      </w:pPr>
      <w:r w:rsidRPr="00F14A94">
        <w:rPr>
          <w:rFonts w:ascii="Century Gothic" w:hAnsi="Century Gothic"/>
          <w:sz w:val="22"/>
          <w:szCs w:val="22"/>
        </w:rPr>
        <w:t xml:space="preserve">A rapid systematic literature review was conducted in June 2019 of studies investigating the determinants and risk factors for physical inactivity. This, in turn, was used to inform the data to be used in the ELDP </w:t>
      </w:r>
      <w:proofErr w:type="spellStart"/>
      <w:r w:rsidRPr="00F14A94">
        <w:rPr>
          <w:rFonts w:ascii="Century Gothic" w:hAnsi="Century Gothic"/>
          <w:sz w:val="22"/>
          <w:szCs w:val="22"/>
        </w:rPr>
        <w:t>ecda</w:t>
      </w:r>
      <w:proofErr w:type="spellEnd"/>
      <w:r w:rsidRPr="00F14A94">
        <w:rPr>
          <w:rFonts w:ascii="Century Gothic" w:hAnsi="Century Gothic"/>
          <w:sz w:val="22"/>
          <w:szCs w:val="22"/>
        </w:rPr>
        <w:t xml:space="preserve"> Physical Inactivity </w:t>
      </w:r>
      <w:r w:rsidRPr="00F14A94">
        <w:rPr>
          <w:rFonts w:ascii="Century Gothic" w:eastAsia="Century Gothic" w:hAnsi="Century Gothic" w:cs="Century Gothic"/>
          <w:sz w:val="22"/>
          <w:szCs w:val="22"/>
        </w:rPr>
        <w:t xml:space="preserve">Dashboard and the underlying analyses. </w:t>
      </w:r>
    </w:p>
    <w:p w14:paraId="3487C36A" w14:textId="77777777" w:rsidR="003831BC" w:rsidRPr="00F14A94" w:rsidRDefault="003831BC" w:rsidP="003831BC">
      <w:pPr>
        <w:jc w:val="both"/>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The literature search was conducted on </w:t>
      </w:r>
      <w:proofErr w:type="gramStart"/>
      <w:r w:rsidRPr="00F14A94">
        <w:rPr>
          <w:rFonts w:ascii="Century Gothic" w:eastAsia="Century Gothic" w:hAnsi="Century Gothic" w:cs="Century Gothic"/>
          <w:sz w:val="22"/>
          <w:szCs w:val="22"/>
        </w:rPr>
        <w:t>a number of</w:t>
      </w:r>
      <w:proofErr w:type="gramEnd"/>
      <w:r w:rsidRPr="00F14A94">
        <w:rPr>
          <w:rFonts w:ascii="Century Gothic" w:eastAsia="Century Gothic" w:hAnsi="Century Gothic" w:cs="Century Gothic"/>
          <w:sz w:val="22"/>
          <w:szCs w:val="22"/>
        </w:rPr>
        <w:t xml:space="preserve"> electronic databases, including PubMed, Open Athens and Medline, and further searches on Google Scholar. Key words used in the search included: physical inactivity, determinants, risk factors, sedentary, health behaviour and activity. Citation chasing was also used, whereby the reference sections of obtained studies were searched for further relevant studies. Upon availability, the following information was abstracted from each publication: sample size and participant demographics, the study methodology and the study findings. Approximately 50 studies were obtained and reviewed. </w:t>
      </w:r>
    </w:p>
    <w:p w14:paraId="576095BE" w14:textId="77777777" w:rsidR="003831BC" w:rsidRDefault="003831BC" w:rsidP="003831BC">
      <w:pPr>
        <w:jc w:val="both"/>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Many studies obtained found that wider and individual level determinants were strongly and significantly associated with physical activity levels. This included factors such as neighbourhood safety, accessibility to facilities and recreational environments, social support, education levels, employment levels, health and mental health status, and health risk behaviours such as smoking and alcohol use. </w:t>
      </w:r>
    </w:p>
    <w:p w14:paraId="2F5D8ADE" w14:textId="77777777" w:rsidR="003831BC" w:rsidRDefault="003831BC" w:rsidP="003831BC">
      <w:pPr>
        <w:pStyle w:val="Heading2"/>
        <w:ind w:left="828"/>
        <w:jc w:val="both"/>
        <w:rPr>
          <w:rFonts w:ascii="Century Gothic" w:eastAsia="Century Gothic" w:hAnsi="Century Gothic" w:cs="Century Gothic"/>
          <w:b/>
          <w:bCs/>
          <w:i/>
          <w:iCs/>
          <w:color w:val="D8117D"/>
          <w:sz w:val="22"/>
          <w:szCs w:val="22"/>
        </w:rPr>
      </w:pPr>
    </w:p>
    <w:p w14:paraId="32A52F41" w14:textId="77777777" w:rsidR="003831BC" w:rsidRPr="00E5353D" w:rsidRDefault="003831BC" w:rsidP="003831BC">
      <w:pPr>
        <w:pStyle w:val="Heading2"/>
        <w:numPr>
          <w:ilvl w:val="1"/>
          <w:numId w:val="9"/>
        </w:numPr>
        <w:jc w:val="both"/>
        <w:rPr>
          <w:rFonts w:ascii="Century Gothic" w:eastAsia="Century Gothic" w:hAnsi="Century Gothic" w:cs="Century Gothic"/>
          <w:b/>
          <w:bCs/>
          <w:i/>
          <w:iCs/>
          <w:color w:val="D8117D"/>
        </w:rPr>
      </w:pPr>
      <w:bookmarkStart w:id="6" w:name="_Toc50553588"/>
      <w:r w:rsidRPr="00E5353D">
        <w:rPr>
          <w:rFonts w:ascii="Century Gothic" w:eastAsia="Century Gothic" w:hAnsi="Century Gothic" w:cs="Century Gothic"/>
          <w:b/>
          <w:bCs/>
          <w:i/>
          <w:iCs/>
          <w:color w:val="D8117D"/>
        </w:rPr>
        <w:t>Data collection and cleansing</w:t>
      </w:r>
      <w:bookmarkEnd w:id="6"/>
    </w:p>
    <w:p w14:paraId="0612AAD5" w14:textId="77777777" w:rsidR="003831BC" w:rsidRDefault="003831BC" w:rsidP="003831BC">
      <w:pPr>
        <w:rPr>
          <w:rFonts w:ascii="Century Gothic" w:eastAsia="Century Gothic" w:hAnsi="Century Gothic" w:cs="Century Gothic"/>
          <w:sz w:val="22"/>
          <w:szCs w:val="22"/>
        </w:rPr>
      </w:pPr>
    </w:p>
    <w:p w14:paraId="1530552B" w14:textId="77777777" w:rsidR="003831BC" w:rsidRPr="00F14A94" w:rsidRDefault="003831BC" w:rsidP="003831BC">
      <w:pPr>
        <w:jc w:val="both"/>
        <w:rPr>
          <w:rFonts w:ascii="Century Gothic" w:eastAsia="Century Gothic" w:hAnsi="Century Gothic" w:cs="Century Gothic"/>
          <w:sz w:val="22"/>
          <w:szCs w:val="22"/>
        </w:rPr>
      </w:pPr>
      <w:proofErr w:type="gramStart"/>
      <w:r w:rsidRPr="00F14A94">
        <w:rPr>
          <w:rFonts w:ascii="Century Gothic" w:eastAsia="Century Gothic" w:hAnsi="Century Gothic" w:cs="Century Gothic"/>
          <w:sz w:val="22"/>
          <w:szCs w:val="22"/>
        </w:rPr>
        <w:t>Early on in the</w:t>
      </w:r>
      <w:proofErr w:type="gramEnd"/>
      <w:r w:rsidRPr="00F14A94">
        <w:rPr>
          <w:rFonts w:ascii="Century Gothic" w:eastAsia="Century Gothic" w:hAnsi="Century Gothic" w:cs="Century Gothic"/>
          <w:sz w:val="22"/>
          <w:szCs w:val="22"/>
        </w:rPr>
        <w:t xml:space="preserve"> project, open data sources were being located for data pertaining to the range of wider and individual factors found to associate with physical activity levels in the previously conducted literature review. </w:t>
      </w:r>
    </w:p>
    <w:p w14:paraId="7A401767"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Building on the findings of our literature review, we contacted Sport England who shared the data included in their </w:t>
      </w:r>
      <w:hyperlink r:id="rId10">
        <w:r w:rsidRPr="00F14A94">
          <w:rPr>
            <w:rStyle w:val="Hyperlink"/>
            <w:rFonts w:ascii="Century Gothic" w:eastAsia="Century Gothic" w:hAnsi="Century Gothic" w:cs="Century Gothic"/>
            <w:sz w:val="22"/>
            <w:szCs w:val="22"/>
          </w:rPr>
          <w:t>Local Insights tool</w:t>
        </w:r>
      </w:hyperlink>
      <w:r w:rsidRPr="00F14A94">
        <w:rPr>
          <w:rFonts w:ascii="Century Gothic" w:eastAsia="Century Gothic" w:hAnsi="Century Gothic" w:cs="Century Gothic"/>
          <w:sz w:val="22"/>
          <w:szCs w:val="22"/>
        </w:rPr>
        <w:t xml:space="preserve">. This tool contains information on wider and individual determinants of physical </w:t>
      </w:r>
      <w:proofErr w:type="gramStart"/>
      <w:r w:rsidRPr="00F14A94">
        <w:rPr>
          <w:rFonts w:ascii="Century Gothic" w:eastAsia="Century Gothic" w:hAnsi="Century Gothic" w:cs="Century Gothic"/>
          <w:sz w:val="22"/>
          <w:szCs w:val="22"/>
        </w:rPr>
        <w:t>activity, and</w:t>
      </w:r>
      <w:proofErr w:type="gramEnd"/>
      <w:r w:rsidRPr="00F14A94">
        <w:rPr>
          <w:rFonts w:ascii="Century Gothic" w:eastAsia="Century Gothic" w:hAnsi="Century Gothic" w:cs="Century Gothic"/>
          <w:sz w:val="22"/>
          <w:szCs w:val="22"/>
        </w:rPr>
        <w:t xml:space="preserve"> estimated physical activity levels. However, this tool does not provide physical activity estimates at an LSOA level and does not bring together the variables included to estimate the impact of determinants on physical activity.  </w:t>
      </w:r>
    </w:p>
    <w:p w14:paraId="07CEC0E2"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This dataset geographically covered across England, and where possible this was all at LSOA level. Where LSOA level data was not available, the geographical level of data available was then used such as MSOA and Ward level (see section 2.3 for more information and definitions of geographies). The data in this dataset provided was all obtained from open data sources and consisted of the most recent time point and the time points </w:t>
      </w:r>
      <w:proofErr w:type="gramStart"/>
      <w:r w:rsidRPr="00F14A94">
        <w:rPr>
          <w:rFonts w:ascii="Century Gothic" w:eastAsia="Century Gothic" w:hAnsi="Century Gothic" w:cs="Century Gothic"/>
          <w:sz w:val="22"/>
          <w:szCs w:val="22"/>
        </w:rPr>
        <w:t>previous to</w:t>
      </w:r>
      <w:proofErr w:type="gramEnd"/>
      <w:r w:rsidRPr="00F14A94">
        <w:rPr>
          <w:rFonts w:ascii="Century Gothic" w:eastAsia="Century Gothic" w:hAnsi="Century Gothic" w:cs="Century Gothic"/>
          <w:sz w:val="22"/>
          <w:szCs w:val="22"/>
        </w:rPr>
        <w:t xml:space="preserve"> this if available. </w:t>
      </w:r>
    </w:p>
    <w:p w14:paraId="21CA5853"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Theming of data</w:t>
      </w:r>
    </w:p>
    <w:p w14:paraId="6AAB20CC"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Before any analysis was undertaken, each indicator was themed to align with the themes identified by Sport England within this tool. Namely, these themes are:</w:t>
      </w:r>
    </w:p>
    <w:p w14:paraId="4216183D"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Health</w:t>
      </w:r>
      <w:r w:rsidRPr="00F14A94">
        <w:rPr>
          <w:rFonts w:ascii="Century Gothic" w:eastAsia="Century Gothic" w:hAnsi="Century Gothic" w:cs="Century Gothic"/>
          <w:sz w:val="22"/>
          <w:szCs w:val="22"/>
        </w:rPr>
        <w:t xml:space="preserve"> indicates the level of health of the Essex LSOAs, with measures covering life expectancy, health outcome prevalence such as obesity and cardiovascular disease, self-reported mental health and wellbeing, hospital admissions and mortality.</w:t>
      </w:r>
    </w:p>
    <w:p w14:paraId="64ACA5BD"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Economy</w:t>
      </w:r>
      <w:r w:rsidRPr="00F14A94">
        <w:rPr>
          <w:rFonts w:ascii="Century Gothic" w:eastAsia="Century Gothic" w:hAnsi="Century Gothic" w:cs="Century Gothic"/>
          <w:sz w:val="22"/>
          <w:szCs w:val="22"/>
        </w:rPr>
        <w:t xml:space="preserve"> indicates the state of the economy of Essex LSOAs, including information around the workforce and employment, income and debt.</w:t>
      </w:r>
    </w:p>
    <w:p w14:paraId="4E5F2BBC"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Vulnerable groups</w:t>
      </w:r>
      <w:r w:rsidRPr="00F14A94">
        <w:rPr>
          <w:rFonts w:ascii="Century Gothic" w:eastAsia="Century Gothic" w:hAnsi="Century Gothic" w:cs="Century Gothic"/>
          <w:sz w:val="22"/>
          <w:szCs w:val="22"/>
        </w:rPr>
        <w:t xml:space="preserve"> </w:t>
      </w:r>
      <w:proofErr w:type="gramStart"/>
      <w:r w:rsidRPr="00F14A94">
        <w:rPr>
          <w:rFonts w:ascii="Century Gothic" w:eastAsia="Century Gothic" w:hAnsi="Century Gothic" w:cs="Century Gothic"/>
          <w:sz w:val="22"/>
          <w:szCs w:val="22"/>
        </w:rPr>
        <w:t>includes</w:t>
      </w:r>
      <w:proofErr w:type="gramEnd"/>
      <w:r w:rsidRPr="00F14A94">
        <w:rPr>
          <w:rFonts w:ascii="Century Gothic" w:eastAsia="Century Gothic" w:hAnsi="Century Gothic" w:cs="Century Gothic"/>
          <w:sz w:val="22"/>
          <w:szCs w:val="22"/>
        </w:rPr>
        <w:t xml:space="preserve"> information around claimants of a range of benefits including for disabilities, carers, pensioners, lone-parents, and child and household poverty. </w:t>
      </w:r>
    </w:p>
    <w:p w14:paraId="341DB09A"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Active Lives</w:t>
      </w:r>
      <w:r w:rsidRPr="00F14A94">
        <w:rPr>
          <w:rFonts w:ascii="Century Gothic" w:eastAsia="Century Gothic" w:hAnsi="Century Gothic" w:cs="Century Gothic"/>
          <w:sz w:val="22"/>
          <w:szCs w:val="22"/>
        </w:rPr>
        <w:t xml:space="preserve"> indicates the level of physical inactivity and activity at MSOA level, across Essex with measures including Sport England’s MSOA modelled estimates of whether an area has high participation in sport.</w:t>
      </w:r>
    </w:p>
    <w:p w14:paraId="720CCD99"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 xml:space="preserve">Crime </w:t>
      </w:r>
      <w:r w:rsidRPr="00F14A94">
        <w:rPr>
          <w:rFonts w:ascii="Century Gothic" w:eastAsia="Century Gothic" w:hAnsi="Century Gothic" w:cs="Century Gothic"/>
          <w:sz w:val="22"/>
          <w:szCs w:val="22"/>
        </w:rPr>
        <w:t>indicates the level of a range reported crimes across the Essex LSOAs, including rates of anti-social behaviour, drug crime and violent crime per 1,000 population.</w:t>
      </w:r>
    </w:p>
    <w:p w14:paraId="703855A0"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Access and transport</w:t>
      </w:r>
      <w:r w:rsidRPr="00F14A94">
        <w:rPr>
          <w:rFonts w:ascii="Century Gothic" w:eastAsia="Century Gothic" w:hAnsi="Century Gothic" w:cs="Century Gothic"/>
          <w:sz w:val="22"/>
          <w:szCs w:val="22"/>
        </w:rPr>
        <w:t xml:space="preserve"> </w:t>
      </w:r>
      <w:proofErr w:type="gramStart"/>
      <w:r w:rsidRPr="00F14A94">
        <w:rPr>
          <w:rFonts w:ascii="Century Gothic" w:eastAsia="Century Gothic" w:hAnsi="Century Gothic" w:cs="Century Gothic"/>
          <w:sz w:val="22"/>
          <w:szCs w:val="22"/>
        </w:rPr>
        <w:t>indicates</w:t>
      </w:r>
      <w:proofErr w:type="gramEnd"/>
      <w:r w:rsidRPr="00F14A94">
        <w:rPr>
          <w:rFonts w:ascii="Century Gothic" w:eastAsia="Century Gothic" w:hAnsi="Century Gothic" w:cs="Century Gothic"/>
          <w:sz w:val="22"/>
          <w:szCs w:val="22"/>
        </w:rPr>
        <w:t xml:space="preserve"> how well-connected the Essex LSOAs are in terms of accessibility such as through the internet, use of cars, and travel times by public transport and walking. </w:t>
      </w:r>
    </w:p>
    <w:p w14:paraId="3C39BC75"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Housing</w:t>
      </w:r>
      <w:r w:rsidRPr="00F14A94">
        <w:rPr>
          <w:rFonts w:ascii="Century Gothic" w:eastAsia="Century Gothic" w:hAnsi="Century Gothic" w:cs="Century Gothic"/>
          <w:sz w:val="22"/>
          <w:szCs w:val="22"/>
        </w:rPr>
        <w:t xml:space="preserve"> provides an overview of the housing sector and market, including in type of housing tenure, ownership, house prices and affordability, in the Essex LSOAs. </w:t>
      </w:r>
    </w:p>
    <w:p w14:paraId="0DFFAC8C"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Education and skills</w:t>
      </w:r>
      <w:r w:rsidRPr="00F14A94">
        <w:rPr>
          <w:rFonts w:ascii="Century Gothic" w:eastAsia="Century Gothic" w:hAnsi="Century Gothic" w:cs="Century Gothic"/>
          <w:sz w:val="22"/>
          <w:szCs w:val="22"/>
        </w:rPr>
        <w:t xml:space="preserve"> </w:t>
      </w:r>
      <w:proofErr w:type="gramStart"/>
      <w:r w:rsidRPr="00F14A94">
        <w:rPr>
          <w:rFonts w:ascii="Century Gothic" w:eastAsia="Century Gothic" w:hAnsi="Century Gothic" w:cs="Century Gothic"/>
          <w:sz w:val="22"/>
          <w:szCs w:val="22"/>
        </w:rPr>
        <w:t>indicates</w:t>
      </w:r>
      <w:proofErr w:type="gramEnd"/>
      <w:r w:rsidRPr="00F14A94">
        <w:rPr>
          <w:rFonts w:ascii="Century Gothic" w:eastAsia="Century Gothic" w:hAnsi="Century Gothic" w:cs="Century Gothic"/>
          <w:sz w:val="22"/>
          <w:szCs w:val="22"/>
        </w:rPr>
        <w:t xml:space="preserve"> the level of education and skills of the Essex LSOAs, with a range of information provided around pupil attainment and absences, and qualification levels.</w:t>
      </w:r>
    </w:p>
    <w:p w14:paraId="248B3ABF"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Communities and environment</w:t>
      </w:r>
      <w:r w:rsidRPr="00F14A94">
        <w:rPr>
          <w:rFonts w:ascii="Century Gothic" w:eastAsia="Century Gothic" w:hAnsi="Century Gothic" w:cs="Century Gothic"/>
          <w:sz w:val="22"/>
          <w:szCs w:val="22"/>
        </w:rPr>
        <w:t xml:space="preserve"> </w:t>
      </w:r>
      <w:proofErr w:type="gramStart"/>
      <w:r w:rsidRPr="00F14A94">
        <w:rPr>
          <w:rFonts w:ascii="Century Gothic" w:eastAsia="Century Gothic" w:hAnsi="Century Gothic" w:cs="Century Gothic"/>
          <w:sz w:val="22"/>
          <w:szCs w:val="22"/>
        </w:rPr>
        <w:t>includes</w:t>
      </w:r>
      <w:proofErr w:type="gramEnd"/>
      <w:r w:rsidRPr="00F14A94">
        <w:rPr>
          <w:rFonts w:ascii="Century Gothic" w:eastAsia="Century Gothic" w:hAnsi="Century Gothic" w:cs="Century Gothic"/>
          <w:sz w:val="22"/>
          <w:szCs w:val="22"/>
        </w:rPr>
        <w:t xml:space="preserve"> a range of information such as road safety, community cohesion and satisfaction, and the physical environment such as air quality and green space coverage. </w:t>
      </w:r>
    </w:p>
    <w:p w14:paraId="0C597A98" w14:textId="77777777" w:rsidR="003831BC" w:rsidRPr="00F14A94" w:rsidRDefault="003831BC" w:rsidP="003831BC">
      <w:pPr>
        <w:pStyle w:val="ListParagraph"/>
        <w:numPr>
          <w:ilvl w:val="0"/>
          <w:numId w:val="33"/>
        </w:numPr>
        <w:rPr>
          <w:rFonts w:ascii="Century Gothic" w:eastAsia="Century Gothic" w:hAnsi="Century Gothic" w:cs="Century Gothic"/>
          <w:sz w:val="22"/>
          <w:szCs w:val="22"/>
        </w:rPr>
      </w:pPr>
      <w:r w:rsidRPr="00F14A94">
        <w:rPr>
          <w:rFonts w:ascii="Century Gothic" w:eastAsia="Century Gothic" w:hAnsi="Century Gothic" w:cs="Century Gothic"/>
          <w:b/>
          <w:bCs/>
          <w:sz w:val="22"/>
          <w:szCs w:val="22"/>
        </w:rPr>
        <w:t xml:space="preserve">Population </w:t>
      </w:r>
      <w:r w:rsidRPr="00F14A94">
        <w:rPr>
          <w:rFonts w:ascii="Century Gothic" w:eastAsia="Century Gothic" w:hAnsi="Century Gothic" w:cs="Century Gothic"/>
          <w:sz w:val="22"/>
          <w:szCs w:val="22"/>
        </w:rPr>
        <w:t>provides demographic information of the population of the Essex LSOAs, including information on age, gender, ethnic groups and marital status.</w:t>
      </w:r>
    </w:p>
    <w:p w14:paraId="5FC0DE73"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The dataset we received from Sport England contained 1,258 variables. We conducted a manual review of indicators and drew up criteria to exclude variables from the data provided to us. Variables were removed on the following basis:</w:t>
      </w:r>
    </w:p>
    <w:p w14:paraId="0522DBB1" w14:textId="77777777" w:rsidR="003831BC" w:rsidRPr="00F14A94" w:rsidRDefault="003831BC" w:rsidP="003831BC">
      <w:pPr>
        <w:pStyle w:val="ListParagraph"/>
        <w:numPr>
          <w:ilvl w:val="0"/>
          <w:numId w:val="2"/>
        </w:numPr>
        <w:rPr>
          <w:sz w:val="22"/>
          <w:szCs w:val="22"/>
        </w:rPr>
      </w:pPr>
      <w:r w:rsidRPr="00F14A94">
        <w:rPr>
          <w:rFonts w:ascii="Century Gothic" w:eastAsia="Century Gothic" w:hAnsi="Century Gothic" w:cs="Century Gothic"/>
          <w:sz w:val="22"/>
          <w:szCs w:val="22"/>
        </w:rPr>
        <w:t>If they were more than 5 years out of date (some exceptions were made for 2011 Census variables, which were included as they are the only robust data source available for some measures)</w:t>
      </w:r>
    </w:p>
    <w:p w14:paraId="2552B6B9" w14:textId="77777777" w:rsidR="003831BC" w:rsidRPr="00F14A94" w:rsidRDefault="003831BC" w:rsidP="003831BC">
      <w:pPr>
        <w:pStyle w:val="ListParagraph"/>
        <w:numPr>
          <w:ilvl w:val="0"/>
          <w:numId w:val="2"/>
        </w:numPr>
        <w:rPr>
          <w:sz w:val="22"/>
          <w:szCs w:val="22"/>
        </w:rPr>
      </w:pPr>
      <w:r w:rsidRPr="00F14A94">
        <w:rPr>
          <w:rFonts w:ascii="Century Gothic" w:eastAsia="Century Gothic" w:hAnsi="Century Gothic" w:cs="Century Gothic"/>
          <w:sz w:val="22"/>
          <w:szCs w:val="22"/>
        </w:rPr>
        <w:t>If the variable is a one-off measure with no planned updates</w:t>
      </w:r>
    </w:p>
    <w:p w14:paraId="71388B21" w14:textId="77777777" w:rsidR="003831BC" w:rsidRPr="00F14A94" w:rsidRDefault="003831BC" w:rsidP="003831BC">
      <w:pPr>
        <w:pStyle w:val="ListParagraph"/>
        <w:numPr>
          <w:ilvl w:val="0"/>
          <w:numId w:val="2"/>
        </w:numPr>
        <w:rPr>
          <w:sz w:val="22"/>
          <w:szCs w:val="22"/>
        </w:rPr>
      </w:pPr>
      <w:r w:rsidRPr="00F14A94">
        <w:rPr>
          <w:rFonts w:ascii="Century Gothic" w:eastAsia="Century Gothic" w:hAnsi="Century Gothic" w:cs="Century Gothic"/>
          <w:sz w:val="22"/>
          <w:szCs w:val="22"/>
        </w:rPr>
        <w:t>If data is infrequently collected (again, an exception was made for census variables)</w:t>
      </w:r>
    </w:p>
    <w:p w14:paraId="213E6C79"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In the end we were left with 832 variables, split across the ten themes, as shown in the table below.</w:t>
      </w:r>
    </w:p>
    <w:tbl>
      <w:tblPr>
        <w:tblStyle w:val="TableGrid"/>
        <w:tblW w:w="0" w:type="auto"/>
        <w:tblLook w:val="06A0" w:firstRow="1" w:lastRow="0" w:firstColumn="1" w:lastColumn="0" w:noHBand="1" w:noVBand="1"/>
      </w:tblPr>
      <w:tblGrid>
        <w:gridCol w:w="4513"/>
        <w:gridCol w:w="4513"/>
      </w:tblGrid>
      <w:tr w:rsidR="003831BC" w:rsidRPr="00F14A94" w14:paraId="0C6EFCF0" w14:textId="77777777" w:rsidTr="00DA302A">
        <w:tc>
          <w:tcPr>
            <w:tcW w:w="4513" w:type="dxa"/>
            <w:tcBorders>
              <w:top w:val="nil"/>
              <w:left w:val="nil"/>
              <w:bottom w:val="single" w:sz="4" w:space="0" w:color="auto"/>
              <w:right w:val="nil"/>
            </w:tcBorders>
          </w:tcPr>
          <w:p w14:paraId="72D41E9E"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Theme</w:t>
            </w:r>
            <w:r>
              <w:rPr>
                <w:rFonts w:ascii="Century Gothic" w:eastAsia="Century Gothic" w:hAnsi="Century Gothic" w:cs="Century Gothic"/>
                <w:sz w:val="22"/>
                <w:szCs w:val="22"/>
              </w:rPr>
              <w:t>:</w:t>
            </w:r>
          </w:p>
        </w:tc>
        <w:tc>
          <w:tcPr>
            <w:tcW w:w="4513" w:type="dxa"/>
            <w:tcBorders>
              <w:top w:val="nil"/>
              <w:left w:val="nil"/>
              <w:bottom w:val="single" w:sz="4" w:space="0" w:color="auto"/>
              <w:right w:val="nil"/>
            </w:tcBorders>
          </w:tcPr>
          <w:p w14:paraId="4EA78A3C"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Number of indicators</w:t>
            </w:r>
            <w:r>
              <w:rPr>
                <w:rFonts w:ascii="Century Gothic" w:eastAsia="Century Gothic" w:hAnsi="Century Gothic" w:cs="Century Gothic"/>
                <w:sz w:val="22"/>
                <w:szCs w:val="22"/>
              </w:rPr>
              <w:t>:</w:t>
            </w:r>
          </w:p>
        </w:tc>
      </w:tr>
      <w:tr w:rsidR="003831BC" w:rsidRPr="00F14A94" w14:paraId="3DD63CB5" w14:textId="77777777" w:rsidTr="00DA302A">
        <w:tc>
          <w:tcPr>
            <w:tcW w:w="4513" w:type="dxa"/>
            <w:tcBorders>
              <w:top w:val="single" w:sz="4" w:space="0" w:color="auto"/>
            </w:tcBorders>
          </w:tcPr>
          <w:p w14:paraId="18EA2E33"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Access and Transport</w:t>
            </w:r>
          </w:p>
        </w:tc>
        <w:tc>
          <w:tcPr>
            <w:tcW w:w="4513" w:type="dxa"/>
            <w:tcBorders>
              <w:top w:val="single" w:sz="4" w:space="0" w:color="auto"/>
            </w:tcBorders>
          </w:tcPr>
          <w:p w14:paraId="6AFB180B"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13</w:t>
            </w:r>
          </w:p>
        </w:tc>
      </w:tr>
      <w:tr w:rsidR="003831BC" w:rsidRPr="00F14A94" w14:paraId="4ABDDFF6" w14:textId="77777777" w:rsidTr="00DA302A">
        <w:tc>
          <w:tcPr>
            <w:tcW w:w="4513" w:type="dxa"/>
          </w:tcPr>
          <w:p w14:paraId="5EE3B602"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Active Lives</w:t>
            </w:r>
          </w:p>
        </w:tc>
        <w:tc>
          <w:tcPr>
            <w:tcW w:w="4513" w:type="dxa"/>
          </w:tcPr>
          <w:p w14:paraId="60CA44CA"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4</w:t>
            </w:r>
          </w:p>
        </w:tc>
      </w:tr>
      <w:tr w:rsidR="003831BC" w:rsidRPr="00F14A94" w14:paraId="0D8F2643" w14:textId="77777777" w:rsidTr="00DA302A">
        <w:tc>
          <w:tcPr>
            <w:tcW w:w="4513" w:type="dxa"/>
          </w:tcPr>
          <w:p w14:paraId="7145AD64"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Communities and Environment</w:t>
            </w:r>
          </w:p>
        </w:tc>
        <w:tc>
          <w:tcPr>
            <w:tcW w:w="4513" w:type="dxa"/>
          </w:tcPr>
          <w:p w14:paraId="1919CB0B"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31</w:t>
            </w:r>
          </w:p>
        </w:tc>
      </w:tr>
      <w:tr w:rsidR="003831BC" w:rsidRPr="00F14A94" w14:paraId="1BABE346" w14:textId="77777777" w:rsidTr="00DA302A">
        <w:tc>
          <w:tcPr>
            <w:tcW w:w="4513" w:type="dxa"/>
          </w:tcPr>
          <w:p w14:paraId="47BB93D5"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Crime</w:t>
            </w:r>
          </w:p>
        </w:tc>
        <w:tc>
          <w:tcPr>
            <w:tcW w:w="4513" w:type="dxa"/>
          </w:tcPr>
          <w:p w14:paraId="022334C4"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41</w:t>
            </w:r>
          </w:p>
        </w:tc>
      </w:tr>
      <w:tr w:rsidR="003831BC" w:rsidRPr="00F14A94" w14:paraId="5FE850C7" w14:textId="77777777" w:rsidTr="00DA302A">
        <w:tc>
          <w:tcPr>
            <w:tcW w:w="4513" w:type="dxa"/>
          </w:tcPr>
          <w:p w14:paraId="2C3AC462"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Economy</w:t>
            </w:r>
          </w:p>
        </w:tc>
        <w:tc>
          <w:tcPr>
            <w:tcW w:w="4513" w:type="dxa"/>
          </w:tcPr>
          <w:p w14:paraId="658CA6CF"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96</w:t>
            </w:r>
          </w:p>
        </w:tc>
      </w:tr>
      <w:tr w:rsidR="003831BC" w:rsidRPr="00F14A94" w14:paraId="55555DAA" w14:textId="77777777" w:rsidTr="00DA302A">
        <w:tc>
          <w:tcPr>
            <w:tcW w:w="4513" w:type="dxa"/>
          </w:tcPr>
          <w:p w14:paraId="6E6FCC9D"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Education and Skills</w:t>
            </w:r>
          </w:p>
        </w:tc>
        <w:tc>
          <w:tcPr>
            <w:tcW w:w="4513" w:type="dxa"/>
          </w:tcPr>
          <w:p w14:paraId="52099992"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29</w:t>
            </w:r>
          </w:p>
        </w:tc>
      </w:tr>
      <w:tr w:rsidR="003831BC" w:rsidRPr="00F14A94" w14:paraId="688C384D" w14:textId="77777777" w:rsidTr="00DA302A">
        <w:tc>
          <w:tcPr>
            <w:tcW w:w="4513" w:type="dxa"/>
          </w:tcPr>
          <w:p w14:paraId="46F7249D"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Health</w:t>
            </w:r>
          </w:p>
        </w:tc>
        <w:tc>
          <w:tcPr>
            <w:tcW w:w="4513" w:type="dxa"/>
          </w:tcPr>
          <w:p w14:paraId="12447D6B"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102</w:t>
            </w:r>
          </w:p>
        </w:tc>
      </w:tr>
      <w:tr w:rsidR="003831BC" w:rsidRPr="00F14A94" w14:paraId="14DDC1A4" w14:textId="77777777" w:rsidTr="00DA302A">
        <w:tc>
          <w:tcPr>
            <w:tcW w:w="4513" w:type="dxa"/>
          </w:tcPr>
          <w:p w14:paraId="6658D848"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Housing</w:t>
            </w:r>
          </w:p>
        </w:tc>
        <w:tc>
          <w:tcPr>
            <w:tcW w:w="4513" w:type="dxa"/>
          </w:tcPr>
          <w:p w14:paraId="796E3B16"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71</w:t>
            </w:r>
          </w:p>
        </w:tc>
      </w:tr>
      <w:tr w:rsidR="003831BC" w:rsidRPr="00F14A94" w14:paraId="24E04EE8" w14:textId="77777777" w:rsidTr="00DA302A">
        <w:tc>
          <w:tcPr>
            <w:tcW w:w="4513" w:type="dxa"/>
          </w:tcPr>
          <w:p w14:paraId="1A5A73CB"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Population</w:t>
            </w:r>
          </w:p>
        </w:tc>
        <w:tc>
          <w:tcPr>
            <w:tcW w:w="4513" w:type="dxa"/>
          </w:tcPr>
          <w:p w14:paraId="1B18E39A"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132</w:t>
            </w:r>
          </w:p>
        </w:tc>
      </w:tr>
      <w:tr w:rsidR="003831BC" w:rsidRPr="00F14A94" w14:paraId="17EBC052" w14:textId="77777777" w:rsidTr="00DA302A">
        <w:tc>
          <w:tcPr>
            <w:tcW w:w="4513" w:type="dxa"/>
          </w:tcPr>
          <w:p w14:paraId="4C3FEA74"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Vulnerable groups</w:t>
            </w:r>
          </w:p>
        </w:tc>
        <w:tc>
          <w:tcPr>
            <w:tcW w:w="4513" w:type="dxa"/>
          </w:tcPr>
          <w:p w14:paraId="4B124B9E" w14:textId="77777777" w:rsidR="003831BC" w:rsidRPr="00F14A94" w:rsidRDefault="003831BC" w:rsidP="00DA302A">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313</w:t>
            </w:r>
          </w:p>
        </w:tc>
      </w:tr>
    </w:tbl>
    <w:p w14:paraId="4A3DCE0C" w14:textId="77777777" w:rsidR="003831BC" w:rsidRPr="00F14A94" w:rsidRDefault="003831BC" w:rsidP="003831BC">
      <w:pPr>
        <w:rPr>
          <w:rFonts w:ascii="Century Gothic" w:eastAsia="Century Gothic" w:hAnsi="Century Gothic" w:cs="Century Gothic"/>
          <w:sz w:val="22"/>
          <w:szCs w:val="22"/>
        </w:rPr>
      </w:pPr>
    </w:p>
    <w:p w14:paraId="40168E68"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Not all of these were included in the creation of deciles by theme, more information about which can be found later in this report.</w:t>
      </w:r>
    </w:p>
    <w:p w14:paraId="3C6202C6"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The appendix to this report contains a full list of all the variables included in this analysis, showing:</w:t>
      </w:r>
    </w:p>
    <w:p w14:paraId="17113B5A" w14:textId="77777777" w:rsidR="003831BC" w:rsidRPr="00F14A94" w:rsidRDefault="003831BC" w:rsidP="003831BC">
      <w:pPr>
        <w:pStyle w:val="ListParagraph"/>
        <w:numPr>
          <w:ilvl w:val="0"/>
          <w:numId w:val="4"/>
        </w:num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The theme of each indicator</w:t>
      </w:r>
    </w:p>
    <w:p w14:paraId="0B1EA1DF" w14:textId="77777777" w:rsidR="003831BC" w:rsidRPr="00F14A94" w:rsidRDefault="003831BC" w:rsidP="003831BC">
      <w:pPr>
        <w:pStyle w:val="ListParagraph"/>
        <w:numPr>
          <w:ilvl w:val="0"/>
          <w:numId w:val="4"/>
        </w:numPr>
        <w:rPr>
          <w:sz w:val="22"/>
          <w:szCs w:val="22"/>
        </w:rPr>
      </w:pPr>
      <w:r w:rsidRPr="00F14A94">
        <w:rPr>
          <w:rFonts w:ascii="Century Gothic" w:eastAsia="Century Gothic" w:hAnsi="Century Gothic" w:cs="Century Gothic"/>
          <w:sz w:val="22"/>
          <w:szCs w:val="22"/>
        </w:rPr>
        <w:t>Name of indicator</w:t>
      </w:r>
    </w:p>
    <w:p w14:paraId="3134A800" w14:textId="77777777" w:rsidR="003831BC" w:rsidRPr="00F14A94" w:rsidRDefault="003831BC" w:rsidP="003831BC">
      <w:pPr>
        <w:pStyle w:val="ListParagraph"/>
        <w:numPr>
          <w:ilvl w:val="0"/>
          <w:numId w:val="4"/>
        </w:numPr>
        <w:rPr>
          <w:sz w:val="22"/>
          <w:szCs w:val="22"/>
        </w:rPr>
      </w:pPr>
      <w:r w:rsidRPr="00F14A94">
        <w:rPr>
          <w:rFonts w:ascii="Century Gothic" w:eastAsia="Century Gothic" w:hAnsi="Century Gothic" w:cs="Century Gothic"/>
          <w:sz w:val="22"/>
          <w:szCs w:val="22"/>
        </w:rPr>
        <w:t>The date the data was collected</w:t>
      </w:r>
    </w:p>
    <w:p w14:paraId="4C1DE67C" w14:textId="77777777" w:rsidR="003831BC" w:rsidRPr="00F14A94" w:rsidRDefault="003831BC" w:rsidP="003831BC">
      <w:pPr>
        <w:pStyle w:val="ListParagraph"/>
        <w:numPr>
          <w:ilvl w:val="0"/>
          <w:numId w:val="4"/>
        </w:numPr>
        <w:rPr>
          <w:sz w:val="22"/>
          <w:szCs w:val="22"/>
        </w:rPr>
      </w:pPr>
      <w:r w:rsidRPr="00F14A94">
        <w:rPr>
          <w:rFonts w:ascii="Century Gothic" w:eastAsia="Century Gothic" w:hAnsi="Century Gothic" w:cs="Century Gothic"/>
          <w:sz w:val="22"/>
          <w:szCs w:val="22"/>
        </w:rPr>
        <w:t>The data source</w:t>
      </w:r>
    </w:p>
    <w:p w14:paraId="321FFEC3" w14:textId="77777777" w:rsidR="003831BC" w:rsidRPr="00F14A94" w:rsidRDefault="003831BC" w:rsidP="003831BC">
      <w:pPr>
        <w:pStyle w:val="ListParagraph"/>
        <w:numPr>
          <w:ilvl w:val="0"/>
          <w:numId w:val="4"/>
        </w:numPr>
        <w:rPr>
          <w:sz w:val="22"/>
          <w:szCs w:val="22"/>
        </w:rPr>
      </w:pPr>
      <w:r w:rsidRPr="00F14A94">
        <w:rPr>
          <w:rFonts w:ascii="Century Gothic" w:eastAsia="Century Gothic" w:hAnsi="Century Gothic" w:cs="Century Gothic"/>
          <w:sz w:val="22"/>
          <w:szCs w:val="22"/>
        </w:rPr>
        <w:t>The level of geography the data is available at</w:t>
      </w:r>
    </w:p>
    <w:p w14:paraId="107D3EE8" w14:textId="77777777" w:rsidR="003831BC" w:rsidRPr="00F14A94" w:rsidRDefault="003831BC" w:rsidP="003831BC">
      <w:pPr>
        <w:pStyle w:val="ListParagraph"/>
        <w:numPr>
          <w:ilvl w:val="0"/>
          <w:numId w:val="4"/>
        </w:numPr>
        <w:rPr>
          <w:sz w:val="22"/>
          <w:szCs w:val="22"/>
        </w:rPr>
      </w:pPr>
      <w:r w:rsidRPr="00F14A94">
        <w:rPr>
          <w:rFonts w:ascii="Century Gothic" w:eastAsia="Century Gothic" w:hAnsi="Century Gothic" w:cs="Century Gothic"/>
          <w:sz w:val="22"/>
          <w:szCs w:val="22"/>
        </w:rPr>
        <w:t>Whether this indicator was included in the creation of theme deciles.</w:t>
      </w:r>
    </w:p>
    <w:p w14:paraId="2FE3095F" w14:textId="77777777" w:rsidR="003831BC" w:rsidRPr="00F14A94" w:rsidRDefault="003831BC" w:rsidP="003831BC">
      <w:pPr>
        <w:rPr>
          <w:rFonts w:ascii="Century Gothic" w:eastAsia="Century Gothic" w:hAnsi="Century Gothic" w:cs="Century Gothic"/>
          <w:sz w:val="22"/>
          <w:szCs w:val="22"/>
        </w:rPr>
      </w:pPr>
      <w:r w:rsidRPr="00F14A94">
        <w:rPr>
          <w:rFonts w:ascii="Century Gothic" w:eastAsia="Century Gothic" w:hAnsi="Century Gothic" w:cs="Century Gothic"/>
          <w:sz w:val="22"/>
          <w:szCs w:val="22"/>
        </w:rPr>
        <w:t xml:space="preserve">More information can also be found in the meta dataset published on Essex County Council’s open data platform: </w:t>
      </w:r>
      <w:hyperlink r:id="rId11">
        <w:r w:rsidRPr="00F14A94">
          <w:rPr>
            <w:rStyle w:val="Hyperlink"/>
            <w:rFonts w:ascii="Century Gothic" w:eastAsia="Century Gothic" w:hAnsi="Century Gothic" w:cs="Century Gothic"/>
            <w:sz w:val="22"/>
            <w:szCs w:val="22"/>
          </w:rPr>
          <w:t>https://data.essex.gov.uk/dataset/emkw5/eldp-physical-activity-dashboard</w:t>
        </w:r>
      </w:hyperlink>
    </w:p>
    <w:p w14:paraId="33EB591B" w14:textId="77777777" w:rsidR="003831BC" w:rsidRPr="00F14A94" w:rsidRDefault="003831BC" w:rsidP="003831BC">
      <w:pPr>
        <w:rPr>
          <w:rFonts w:ascii="Century Gothic" w:eastAsia="Century Gothic" w:hAnsi="Century Gothic" w:cs="Century Gothic"/>
          <w:b/>
          <w:bCs/>
          <w:sz w:val="22"/>
          <w:szCs w:val="22"/>
        </w:rPr>
      </w:pPr>
      <w:r w:rsidRPr="00F14A94">
        <w:rPr>
          <w:rFonts w:ascii="Century Gothic" w:eastAsia="Century Gothic" w:hAnsi="Century Gothic" w:cs="Century Gothic"/>
          <w:b/>
          <w:bCs/>
          <w:sz w:val="22"/>
          <w:szCs w:val="22"/>
        </w:rPr>
        <w:t>Transformation of data for analysis</w:t>
      </w:r>
    </w:p>
    <w:p w14:paraId="66C6213F"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 xml:space="preserve">This dataset was originally in a wide format, whereby every England LSOA was represented in a row, with a column for every variable and time point. Meta-data for each variable was included within the column headers. Firstly, we conducted a transformation of this dataset into a long format. This involved creating a row for the value of each indicator for each LSOA and for each time point where data was available. This was conducted in R Studio, and the code can be obtained by contacting the report authors. </w:t>
      </w:r>
    </w:p>
    <w:p w14:paraId="59F64FD1"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Once this transformation was completed, each variable was assigned a variable number. The meta-data was then removed from the transformed dataset into a separate file, and the variable number used to provide a join between the raw dataset and meta-data for the dashboard.</w:t>
      </w:r>
    </w:p>
    <w:p w14:paraId="5960EE46" w14:textId="77777777" w:rsidR="003831BC" w:rsidRDefault="003831BC" w:rsidP="003831BC">
      <w:pPr>
        <w:jc w:val="both"/>
        <w:rPr>
          <w:rFonts w:ascii="Century Gothic" w:hAnsi="Century Gothic"/>
        </w:rPr>
      </w:pPr>
    </w:p>
    <w:p w14:paraId="76A1DC1A" w14:textId="77777777" w:rsidR="003831BC" w:rsidRDefault="003831BC" w:rsidP="003831BC">
      <w:pPr>
        <w:pStyle w:val="Heading2"/>
        <w:numPr>
          <w:ilvl w:val="1"/>
          <w:numId w:val="9"/>
        </w:numPr>
        <w:jc w:val="both"/>
        <w:rPr>
          <w:rFonts w:ascii="Century Gothic" w:hAnsi="Century Gothic"/>
          <w:b/>
          <w:bCs/>
          <w:i/>
          <w:iCs/>
          <w:color w:val="D8117D"/>
        </w:rPr>
      </w:pPr>
      <w:bookmarkStart w:id="7" w:name="_Toc50553589"/>
      <w:r w:rsidRPr="54C5D6D6">
        <w:rPr>
          <w:rFonts w:ascii="Century Gothic" w:hAnsi="Century Gothic"/>
          <w:b/>
          <w:bCs/>
          <w:i/>
          <w:iCs/>
          <w:color w:val="D8117D"/>
        </w:rPr>
        <w:t>Geography of data</w:t>
      </w:r>
      <w:bookmarkEnd w:id="7"/>
    </w:p>
    <w:p w14:paraId="3A85C822" w14:textId="77777777" w:rsidR="003831BC" w:rsidRDefault="003831BC" w:rsidP="003831BC">
      <w:pPr>
        <w:jc w:val="both"/>
      </w:pPr>
    </w:p>
    <w:p w14:paraId="395B8F67"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 xml:space="preserve">Our aim for the project was to provide insight at as low a level as possible, in order to provide insight into small areas and neighbourhoods. As such, we aimed to use LSOA data wherever possible. </w:t>
      </w:r>
    </w:p>
    <w:p w14:paraId="08992E19"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These units of geography are defined as follows:</w:t>
      </w:r>
    </w:p>
    <w:p w14:paraId="778A3A17" w14:textId="77777777" w:rsidR="003831BC" w:rsidRPr="00F14A94" w:rsidRDefault="003831BC" w:rsidP="003831BC">
      <w:pPr>
        <w:pStyle w:val="ListParagraph"/>
        <w:numPr>
          <w:ilvl w:val="0"/>
          <w:numId w:val="31"/>
        </w:numPr>
        <w:jc w:val="both"/>
        <w:rPr>
          <w:rFonts w:ascii="Century Gothic" w:hAnsi="Century Gothic"/>
          <w:sz w:val="22"/>
          <w:szCs w:val="22"/>
        </w:rPr>
      </w:pPr>
      <w:r w:rsidRPr="00F14A94">
        <w:rPr>
          <w:rFonts w:ascii="Century Gothic" w:hAnsi="Century Gothic"/>
          <w:b/>
          <w:bCs/>
          <w:sz w:val="22"/>
          <w:szCs w:val="22"/>
        </w:rPr>
        <w:t>LSOA</w:t>
      </w:r>
      <w:r w:rsidRPr="00F14A94">
        <w:rPr>
          <w:rFonts w:ascii="Century Gothic" w:hAnsi="Century Gothic"/>
          <w:sz w:val="22"/>
          <w:szCs w:val="22"/>
        </w:rPr>
        <w:t xml:space="preserve"> – A </w:t>
      </w:r>
      <w:r w:rsidRPr="00F14A94">
        <w:rPr>
          <w:rFonts w:ascii="Century Gothic" w:hAnsi="Century Gothic" w:cs="Tahoma"/>
          <w:sz w:val="22"/>
          <w:szCs w:val="22"/>
          <w:shd w:val="clear" w:color="auto" w:fill="FFFFFF"/>
        </w:rPr>
        <w:t>Lower Layer Super Output Area (LSOA) is a small, low-level geographical area. LSOAs typically consist of a 1,000 minimum – 3,000 maximum population, and 400 minimum – 1,200 maximum households. LSOAs align to other geographical boundaries and can be aggregated up, including to MSOAs, Wards and Local Authority Districts.</w:t>
      </w:r>
    </w:p>
    <w:p w14:paraId="0CE3695D" w14:textId="77777777" w:rsidR="003831BC" w:rsidRPr="00F14A94" w:rsidRDefault="003831BC" w:rsidP="003831BC">
      <w:pPr>
        <w:pStyle w:val="ListParagraph"/>
        <w:numPr>
          <w:ilvl w:val="0"/>
          <w:numId w:val="31"/>
        </w:numPr>
        <w:jc w:val="both"/>
        <w:rPr>
          <w:rFonts w:ascii="Century Gothic" w:hAnsi="Century Gothic"/>
          <w:sz w:val="22"/>
          <w:szCs w:val="22"/>
        </w:rPr>
      </w:pPr>
      <w:r w:rsidRPr="00F14A94">
        <w:rPr>
          <w:rFonts w:ascii="Century Gothic" w:hAnsi="Century Gothic"/>
          <w:b/>
          <w:bCs/>
          <w:sz w:val="22"/>
          <w:szCs w:val="22"/>
        </w:rPr>
        <w:t>MSOA</w:t>
      </w:r>
      <w:r w:rsidRPr="00F14A94">
        <w:rPr>
          <w:rFonts w:ascii="Century Gothic" w:hAnsi="Century Gothic"/>
          <w:sz w:val="22"/>
          <w:szCs w:val="22"/>
        </w:rPr>
        <w:t xml:space="preserve"> - </w:t>
      </w:r>
      <w:r w:rsidRPr="00F14A94">
        <w:rPr>
          <w:rFonts w:ascii="Century Gothic" w:hAnsi="Century Gothic" w:cs="Tahoma"/>
          <w:sz w:val="22"/>
          <w:szCs w:val="22"/>
          <w:shd w:val="clear" w:color="auto" w:fill="FFFFFF"/>
        </w:rPr>
        <w:t>A Middle Layer Super Output Area (MSOA) is a geographical unit constructed from groups of LSOAs. They consist of a 5,000 minimum – 15,000 maximum population, and 2,000 minimum – 6,000 maximum households. MSOAs align to other geographical boundaries, including Local Authority Districts.</w:t>
      </w:r>
    </w:p>
    <w:p w14:paraId="0B4DC292" w14:textId="77777777" w:rsidR="003831BC" w:rsidRDefault="003831BC" w:rsidP="003831BC">
      <w:pPr>
        <w:jc w:val="both"/>
        <w:rPr>
          <w:rFonts w:ascii="Century Gothic" w:hAnsi="Century Gothic"/>
          <w:sz w:val="22"/>
          <w:szCs w:val="22"/>
        </w:rPr>
      </w:pPr>
      <w:r w:rsidRPr="00F14A94">
        <w:rPr>
          <w:rFonts w:ascii="Century Gothic" w:hAnsi="Century Gothic"/>
          <w:sz w:val="22"/>
          <w:szCs w:val="22"/>
        </w:rPr>
        <w:t>Where LSOA data was not available, outputs at larger geographies (MSOA for example) were used for LSOAs where figures were not available. Below is a summary of the indicators where the outputs of larger geographies were used as LSOA figures:</w:t>
      </w:r>
    </w:p>
    <w:p w14:paraId="412E0DD7" w14:textId="77777777" w:rsidR="003831BC" w:rsidRDefault="003831BC" w:rsidP="003831BC">
      <w:pPr>
        <w:jc w:val="both"/>
        <w:rPr>
          <w:rFonts w:ascii="Century Gothic" w:hAnsi="Century Gothic"/>
          <w:sz w:val="22"/>
          <w:szCs w:val="22"/>
        </w:rPr>
      </w:pPr>
    </w:p>
    <w:p w14:paraId="1ED5D0CB" w14:textId="77777777" w:rsidR="003831BC" w:rsidRPr="00F14A94" w:rsidRDefault="003831BC" w:rsidP="003831BC">
      <w:pPr>
        <w:jc w:val="both"/>
        <w:rPr>
          <w:rFonts w:ascii="Century Gothic" w:hAnsi="Century Gothic"/>
          <w:sz w:val="22"/>
          <w:szCs w:val="22"/>
        </w:rPr>
      </w:pPr>
    </w:p>
    <w:tbl>
      <w:tblPr>
        <w:tblStyle w:val="TableGrid"/>
        <w:tblW w:w="0" w:type="auto"/>
        <w:tblLayout w:type="fixed"/>
        <w:tblLook w:val="06A0" w:firstRow="1" w:lastRow="0" w:firstColumn="1" w:lastColumn="0" w:noHBand="1" w:noVBand="1"/>
      </w:tblPr>
      <w:tblGrid>
        <w:gridCol w:w="3009"/>
        <w:gridCol w:w="3009"/>
        <w:gridCol w:w="3009"/>
      </w:tblGrid>
      <w:tr w:rsidR="003831BC" w:rsidRPr="00F14A94" w14:paraId="5DC7FB0C" w14:textId="77777777" w:rsidTr="00DA302A">
        <w:tc>
          <w:tcPr>
            <w:tcW w:w="3009" w:type="dxa"/>
            <w:tcBorders>
              <w:top w:val="nil"/>
              <w:left w:val="nil"/>
              <w:bottom w:val="single" w:sz="4" w:space="0" w:color="auto"/>
              <w:right w:val="nil"/>
            </w:tcBorders>
          </w:tcPr>
          <w:p w14:paraId="0BB7AD81"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Theme</w:t>
            </w:r>
            <w:r>
              <w:rPr>
                <w:rFonts w:ascii="Century Gothic" w:hAnsi="Century Gothic"/>
                <w:sz w:val="22"/>
                <w:szCs w:val="22"/>
              </w:rPr>
              <w:t>:</w:t>
            </w:r>
          </w:p>
        </w:tc>
        <w:tc>
          <w:tcPr>
            <w:tcW w:w="3009" w:type="dxa"/>
            <w:tcBorders>
              <w:top w:val="nil"/>
              <w:left w:val="nil"/>
              <w:bottom w:val="single" w:sz="4" w:space="0" w:color="auto"/>
              <w:right w:val="nil"/>
            </w:tcBorders>
          </w:tcPr>
          <w:p w14:paraId="2087D25B"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Indicator(s)</w:t>
            </w:r>
            <w:r>
              <w:rPr>
                <w:rFonts w:ascii="Century Gothic" w:hAnsi="Century Gothic"/>
                <w:sz w:val="22"/>
                <w:szCs w:val="22"/>
              </w:rPr>
              <w:t>:</w:t>
            </w:r>
          </w:p>
        </w:tc>
        <w:tc>
          <w:tcPr>
            <w:tcW w:w="3009" w:type="dxa"/>
            <w:tcBorders>
              <w:top w:val="nil"/>
              <w:left w:val="nil"/>
              <w:bottom w:val="single" w:sz="4" w:space="0" w:color="auto"/>
              <w:right w:val="nil"/>
            </w:tcBorders>
          </w:tcPr>
          <w:p w14:paraId="159DB225"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Level of geography data collected at</w:t>
            </w:r>
            <w:r>
              <w:rPr>
                <w:rFonts w:ascii="Century Gothic" w:hAnsi="Century Gothic"/>
                <w:sz w:val="22"/>
                <w:szCs w:val="22"/>
              </w:rPr>
              <w:t>:</w:t>
            </w:r>
          </w:p>
        </w:tc>
      </w:tr>
      <w:tr w:rsidR="003831BC" w:rsidRPr="00F14A94" w14:paraId="7E2B9AD9" w14:textId="77777777" w:rsidTr="00DA302A">
        <w:tc>
          <w:tcPr>
            <w:tcW w:w="3009" w:type="dxa"/>
            <w:tcBorders>
              <w:top w:val="single" w:sz="4" w:space="0" w:color="auto"/>
            </w:tcBorders>
          </w:tcPr>
          <w:p w14:paraId="5BF6F1BF"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Active Lives</w:t>
            </w:r>
          </w:p>
        </w:tc>
        <w:tc>
          <w:tcPr>
            <w:tcW w:w="3009" w:type="dxa"/>
            <w:tcBorders>
              <w:top w:val="single" w:sz="4" w:space="0" w:color="auto"/>
            </w:tcBorders>
          </w:tcPr>
          <w:p w14:paraId="2BA505ED"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Modelled estimates of physical inactivity</w:t>
            </w:r>
          </w:p>
        </w:tc>
        <w:tc>
          <w:tcPr>
            <w:tcW w:w="3009" w:type="dxa"/>
            <w:tcBorders>
              <w:top w:val="single" w:sz="4" w:space="0" w:color="auto"/>
            </w:tcBorders>
          </w:tcPr>
          <w:p w14:paraId="74E13142"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7D617D62" w14:textId="77777777" w:rsidTr="00DA302A">
        <w:tc>
          <w:tcPr>
            <w:tcW w:w="3009" w:type="dxa"/>
          </w:tcPr>
          <w:p w14:paraId="69E069FF"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Communities and Environment</w:t>
            </w:r>
          </w:p>
        </w:tc>
        <w:tc>
          <w:tcPr>
            <w:tcW w:w="3009" w:type="dxa"/>
          </w:tcPr>
          <w:p w14:paraId="614F3C84"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Total income of registered Charities by Area of Benefit</w:t>
            </w:r>
          </w:p>
        </w:tc>
        <w:tc>
          <w:tcPr>
            <w:tcW w:w="3009" w:type="dxa"/>
          </w:tcPr>
          <w:p w14:paraId="37D18ED6"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Ward</w:t>
            </w:r>
          </w:p>
        </w:tc>
      </w:tr>
      <w:tr w:rsidR="003831BC" w:rsidRPr="00F14A94" w14:paraId="168FC376" w14:textId="77777777" w:rsidTr="00DA302A">
        <w:tc>
          <w:tcPr>
            <w:tcW w:w="3009" w:type="dxa"/>
          </w:tcPr>
          <w:p w14:paraId="20140A0C"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Communities and Environment</w:t>
            </w:r>
          </w:p>
        </w:tc>
        <w:tc>
          <w:tcPr>
            <w:tcW w:w="3009" w:type="dxa"/>
          </w:tcPr>
          <w:p w14:paraId="3BD22223"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Voter turnout</w:t>
            </w:r>
          </w:p>
        </w:tc>
        <w:tc>
          <w:tcPr>
            <w:tcW w:w="3009" w:type="dxa"/>
          </w:tcPr>
          <w:p w14:paraId="07745FE7"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Ward/Electoral division</w:t>
            </w:r>
          </w:p>
        </w:tc>
      </w:tr>
      <w:tr w:rsidR="003831BC" w:rsidRPr="00F14A94" w14:paraId="475736C3" w14:textId="77777777" w:rsidTr="00DA302A">
        <w:tc>
          <w:tcPr>
            <w:tcW w:w="3009" w:type="dxa"/>
          </w:tcPr>
          <w:p w14:paraId="244A5598"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Economy</w:t>
            </w:r>
          </w:p>
        </w:tc>
        <w:tc>
          <w:tcPr>
            <w:tcW w:w="3009" w:type="dxa"/>
          </w:tcPr>
          <w:p w14:paraId="52C265E2"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Annual household income estimates</w:t>
            </w:r>
          </w:p>
        </w:tc>
        <w:tc>
          <w:tcPr>
            <w:tcW w:w="3009" w:type="dxa"/>
          </w:tcPr>
          <w:p w14:paraId="06CB7BC0"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09D19182" w14:textId="77777777" w:rsidTr="00DA302A">
        <w:tc>
          <w:tcPr>
            <w:tcW w:w="3009" w:type="dxa"/>
          </w:tcPr>
          <w:p w14:paraId="77DCB1A6"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68983333"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Female &amp; Male life expectancy</w:t>
            </w:r>
          </w:p>
        </w:tc>
        <w:tc>
          <w:tcPr>
            <w:tcW w:w="3009" w:type="dxa"/>
          </w:tcPr>
          <w:p w14:paraId="31F11C25"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16C26897" w14:textId="77777777" w:rsidTr="00DA302A">
        <w:tc>
          <w:tcPr>
            <w:tcW w:w="3009" w:type="dxa"/>
          </w:tcPr>
          <w:p w14:paraId="47C7E871"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5B2D0413"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Anxiety, happiness and life satisfaction measures</w:t>
            </w:r>
          </w:p>
        </w:tc>
        <w:tc>
          <w:tcPr>
            <w:tcW w:w="3009" w:type="dxa"/>
          </w:tcPr>
          <w:p w14:paraId="6902429D" w14:textId="77777777" w:rsidR="003831BC" w:rsidRPr="00F14A94" w:rsidRDefault="003831BC" w:rsidP="00DA302A">
            <w:pPr>
              <w:rPr>
                <w:sz w:val="22"/>
                <w:szCs w:val="22"/>
              </w:rPr>
            </w:pPr>
            <w:r w:rsidRPr="00F14A94">
              <w:rPr>
                <w:rFonts w:ascii="Century Gothic" w:hAnsi="Century Gothic"/>
                <w:sz w:val="22"/>
                <w:szCs w:val="22"/>
              </w:rPr>
              <w:t>County/Unitary</w:t>
            </w:r>
          </w:p>
        </w:tc>
      </w:tr>
      <w:tr w:rsidR="003831BC" w:rsidRPr="00F14A94" w14:paraId="708A9419" w14:textId="77777777" w:rsidTr="00DA302A">
        <w:tc>
          <w:tcPr>
            <w:tcW w:w="3009" w:type="dxa"/>
          </w:tcPr>
          <w:p w14:paraId="3B331D61"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32FAF8BE"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Prevalence of various medical conditions (21 indicators)</w:t>
            </w:r>
          </w:p>
        </w:tc>
        <w:tc>
          <w:tcPr>
            <w:tcW w:w="3009" w:type="dxa"/>
          </w:tcPr>
          <w:p w14:paraId="61255714"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4B819A32" w14:textId="77777777" w:rsidTr="00DA302A">
        <w:tc>
          <w:tcPr>
            <w:tcW w:w="3009" w:type="dxa"/>
          </w:tcPr>
          <w:p w14:paraId="0F606A43"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00D94477"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Rate of emergency hospital admissions &amp; A&amp;E attendance for children under 5</w:t>
            </w:r>
          </w:p>
        </w:tc>
        <w:tc>
          <w:tcPr>
            <w:tcW w:w="3009" w:type="dxa"/>
          </w:tcPr>
          <w:p w14:paraId="2A243E95"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4A9E7F69" w14:textId="77777777" w:rsidTr="00DA302A">
        <w:tc>
          <w:tcPr>
            <w:tcW w:w="3009" w:type="dxa"/>
          </w:tcPr>
          <w:p w14:paraId="46053AC1"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51ABE451"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Aged 15 modelled smoking prevalence</w:t>
            </w:r>
          </w:p>
        </w:tc>
        <w:tc>
          <w:tcPr>
            <w:tcW w:w="3009" w:type="dxa"/>
          </w:tcPr>
          <w:p w14:paraId="4A62C7F9"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3B35388F" w14:textId="77777777" w:rsidTr="00DA302A">
        <w:tc>
          <w:tcPr>
            <w:tcW w:w="3009" w:type="dxa"/>
          </w:tcPr>
          <w:p w14:paraId="3D8AC4D3"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Health</w:t>
            </w:r>
          </w:p>
        </w:tc>
        <w:tc>
          <w:tcPr>
            <w:tcW w:w="3009" w:type="dxa"/>
          </w:tcPr>
          <w:p w14:paraId="0FAD98CA"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Childhood obesity measures at reception year and year 6</w:t>
            </w:r>
          </w:p>
        </w:tc>
        <w:tc>
          <w:tcPr>
            <w:tcW w:w="3009" w:type="dxa"/>
          </w:tcPr>
          <w:p w14:paraId="11CB3176"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6313D7ED" w14:textId="77777777" w:rsidTr="00DA302A">
        <w:tc>
          <w:tcPr>
            <w:tcW w:w="3009" w:type="dxa"/>
          </w:tcPr>
          <w:p w14:paraId="03C7A4BD"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Vulnerable groups</w:t>
            </w:r>
          </w:p>
        </w:tc>
        <w:tc>
          <w:tcPr>
            <w:tcW w:w="3009" w:type="dxa"/>
          </w:tcPr>
          <w:p w14:paraId="1D079186"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Households in poverty</w:t>
            </w:r>
          </w:p>
        </w:tc>
        <w:tc>
          <w:tcPr>
            <w:tcW w:w="3009" w:type="dxa"/>
          </w:tcPr>
          <w:p w14:paraId="46667142"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MSOA</w:t>
            </w:r>
          </w:p>
        </w:tc>
      </w:tr>
      <w:tr w:rsidR="003831BC" w:rsidRPr="00F14A94" w14:paraId="5CAA33E6" w14:textId="77777777" w:rsidTr="00DA302A">
        <w:tc>
          <w:tcPr>
            <w:tcW w:w="3009" w:type="dxa"/>
          </w:tcPr>
          <w:p w14:paraId="0B4F8EF8"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Vulnerable groups</w:t>
            </w:r>
          </w:p>
        </w:tc>
        <w:tc>
          <w:tcPr>
            <w:tcW w:w="3009" w:type="dxa"/>
          </w:tcPr>
          <w:p w14:paraId="062C7AD7" w14:textId="77777777" w:rsidR="003831BC" w:rsidRPr="00F14A94" w:rsidRDefault="003831BC" w:rsidP="00DA302A">
            <w:pPr>
              <w:pStyle w:val="ListParagraph"/>
              <w:ind w:left="0"/>
              <w:rPr>
                <w:rFonts w:ascii="Century Gothic" w:hAnsi="Century Gothic"/>
                <w:sz w:val="22"/>
                <w:szCs w:val="22"/>
              </w:rPr>
            </w:pPr>
            <w:r w:rsidRPr="00F14A94">
              <w:rPr>
                <w:rFonts w:ascii="Century Gothic" w:hAnsi="Century Gothic"/>
                <w:sz w:val="22"/>
                <w:szCs w:val="22"/>
              </w:rPr>
              <w:t>Social benefits as a percentage of total household income</w:t>
            </w:r>
          </w:p>
        </w:tc>
        <w:tc>
          <w:tcPr>
            <w:tcW w:w="3009" w:type="dxa"/>
          </w:tcPr>
          <w:p w14:paraId="73714D2A" w14:textId="77777777" w:rsidR="003831BC" w:rsidRPr="00F14A94" w:rsidRDefault="003831BC" w:rsidP="00DA302A">
            <w:pPr>
              <w:rPr>
                <w:rFonts w:ascii="Century Gothic" w:hAnsi="Century Gothic"/>
                <w:sz w:val="22"/>
                <w:szCs w:val="22"/>
              </w:rPr>
            </w:pPr>
            <w:r w:rsidRPr="00F14A94">
              <w:rPr>
                <w:rFonts w:ascii="Century Gothic" w:hAnsi="Century Gothic"/>
                <w:sz w:val="22"/>
                <w:szCs w:val="22"/>
              </w:rPr>
              <w:t>NUTS3</w:t>
            </w:r>
            <w:r w:rsidRPr="00F14A94">
              <w:rPr>
                <w:rStyle w:val="FootnoteReference"/>
                <w:rFonts w:ascii="Century Gothic" w:hAnsi="Century Gothic"/>
                <w:sz w:val="22"/>
                <w:szCs w:val="22"/>
              </w:rPr>
              <w:footnoteReference w:id="1"/>
            </w:r>
          </w:p>
        </w:tc>
      </w:tr>
    </w:tbl>
    <w:p w14:paraId="0895F146" w14:textId="77777777" w:rsidR="003831BC" w:rsidRPr="00F14A94" w:rsidRDefault="003831BC" w:rsidP="003831BC">
      <w:pPr>
        <w:jc w:val="both"/>
        <w:rPr>
          <w:rFonts w:ascii="Century Gothic" w:hAnsi="Century Gothic"/>
          <w:sz w:val="22"/>
          <w:szCs w:val="22"/>
        </w:rPr>
      </w:pPr>
    </w:p>
    <w:p w14:paraId="7B55C16C"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In a small amount of cases, some LSOAs had data missing for some measures. Where this was the case, these missing values were excluded from the creation of decile scores.</w:t>
      </w:r>
    </w:p>
    <w:p w14:paraId="23EA58E0" w14:textId="77777777" w:rsidR="003831BC" w:rsidRPr="00F14A94" w:rsidRDefault="003831BC" w:rsidP="003831BC">
      <w:pPr>
        <w:jc w:val="both"/>
        <w:rPr>
          <w:rFonts w:ascii="Century Gothic" w:hAnsi="Century Gothic"/>
          <w:sz w:val="22"/>
          <w:szCs w:val="22"/>
        </w:rPr>
      </w:pPr>
      <w:r w:rsidRPr="00F14A94">
        <w:rPr>
          <w:rFonts w:ascii="Century Gothic" w:hAnsi="Century Gothic"/>
          <w:sz w:val="22"/>
          <w:szCs w:val="22"/>
        </w:rPr>
        <w:t>For more information on each indicator, please consult the appendix, which provides a full list.</w:t>
      </w:r>
    </w:p>
    <w:p w14:paraId="706060F7" w14:textId="77777777" w:rsidR="003831BC" w:rsidRDefault="003831BC" w:rsidP="003831BC">
      <w:pPr>
        <w:jc w:val="both"/>
      </w:pPr>
    </w:p>
    <w:p w14:paraId="3C74CA88" w14:textId="77777777" w:rsidR="003831BC" w:rsidRDefault="003831BC" w:rsidP="003831BC">
      <w:pPr>
        <w:pStyle w:val="Heading2"/>
        <w:numPr>
          <w:ilvl w:val="1"/>
          <w:numId w:val="9"/>
        </w:numPr>
        <w:jc w:val="both"/>
        <w:rPr>
          <w:rFonts w:ascii="Century Gothic" w:hAnsi="Century Gothic"/>
          <w:b/>
          <w:bCs/>
          <w:i/>
          <w:iCs/>
          <w:color w:val="D8117D"/>
        </w:rPr>
      </w:pPr>
      <w:bookmarkStart w:id="8" w:name="_Toc50553590"/>
      <w:r w:rsidRPr="54C5D6D6">
        <w:rPr>
          <w:rFonts w:ascii="Century Gothic" w:hAnsi="Century Gothic"/>
          <w:b/>
          <w:bCs/>
          <w:i/>
          <w:iCs/>
          <w:color w:val="D8117D"/>
        </w:rPr>
        <w:t>Creation of deciles for indicators</w:t>
      </w:r>
      <w:bookmarkEnd w:id="8"/>
    </w:p>
    <w:p w14:paraId="678AA556" w14:textId="77777777" w:rsidR="003831BC" w:rsidRDefault="003831BC" w:rsidP="003831BC">
      <w:pPr>
        <w:spacing w:line="257" w:lineRule="auto"/>
        <w:jc w:val="both"/>
        <w:rPr>
          <w:rFonts w:ascii="Century Gothic" w:eastAsia="Century Gothic" w:hAnsi="Century Gothic" w:cs="Century Gothic"/>
          <w:sz w:val="22"/>
          <w:szCs w:val="22"/>
        </w:rPr>
      </w:pPr>
    </w:p>
    <w:p w14:paraId="4CF5BD97" w14:textId="77777777" w:rsidR="003831BC" w:rsidRDefault="003831BC" w:rsidP="003831BC">
      <w:pPr>
        <w:spacing w:line="257" w:lineRule="auto"/>
        <w:jc w:val="both"/>
        <w:rPr>
          <w:rFonts w:ascii="Century Gothic" w:eastAsia="Century Gothic" w:hAnsi="Century Gothic" w:cs="Century Gothic"/>
          <w:sz w:val="22"/>
          <w:szCs w:val="22"/>
        </w:rPr>
      </w:pPr>
      <w:r w:rsidRPr="590059EA">
        <w:rPr>
          <w:rFonts w:ascii="Century Gothic" w:eastAsia="Century Gothic" w:hAnsi="Century Gothic" w:cs="Century Gothic"/>
          <w:sz w:val="22"/>
          <w:szCs w:val="22"/>
        </w:rPr>
        <w:t xml:space="preserve">All the data we had </w:t>
      </w:r>
      <w:r>
        <w:rPr>
          <w:rFonts w:ascii="Century Gothic" w:eastAsia="Century Gothic" w:hAnsi="Century Gothic" w:cs="Century Gothic"/>
          <w:sz w:val="22"/>
          <w:szCs w:val="22"/>
        </w:rPr>
        <w:t>were in different formats</w:t>
      </w:r>
      <w:r w:rsidRPr="590059EA">
        <w:rPr>
          <w:rFonts w:ascii="Century Gothic" w:eastAsia="Century Gothic" w:hAnsi="Century Gothic" w:cs="Century Gothic"/>
          <w:sz w:val="22"/>
          <w:szCs w:val="22"/>
        </w:rPr>
        <w:t xml:space="preserve">, including rates, percentages and counts. We needed to standardise this data to allow comparison between areas, and so we converted the data into deciles. Data included in this process was restricted to the most recent time points and variables in which </w:t>
      </w:r>
      <w:r>
        <w:rPr>
          <w:rFonts w:ascii="Century Gothic" w:eastAsia="Century Gothic" w:hAnsi="Century Gothic" w:cs="Century Gothic"/>
          <w:sz w:val="22"/>
          <w:szCs w:val="22"/>
        </w:rPr>
        <w:t xml:space="preserve">determining a </w:t>
      </w:r>
      <w:r w:rsidRPr="590059EA">
        <w:rPr>
          <w:rFonts w:ascii="Century Gothic" w:eastAsia="Century Gothic" w:hAnsi="Century Gothic" w:cs="Century Gothic"/>
          <w:sz w:val="22"/>
          <w:szCs w:val="22"/>
        </w:rPr>
        <w:t>polarity was appropriate. This therefore excluded historic data and contextual variables, such as counts of ethnic groups within populations</w:t>
      </w:r>
      <w:r>
        <w:rPr>
          <w:rFonts w:ascii="Century Gothic" w:eastAsia="Century Gothic" w:hAnsi="Century Gothic" w:cs="Century Gothic"/>
          <w:sz w:val="22"/>
          <w:szCs w:val="22"/>
        </w:rPr>
        <w:t xml:space="preserve"> where there is no obvious polarity</w:t>
      </w:r>
      <w:r w:rsidRPr="590059EA">
        <w:rPr>
          <w:rFonts w:ascii="Century Gothic" w:eastAsia="Century Gothic" w:hAnsi="Century Gothic" w:cs="Century Gothic"/>
          <w:sz w:val="22"/>
          <w:szCs w:val="22"/>
        </w:rPr>
        <w:t xml:space="preserve">. This left us with 253 variables to convert into deciles. </w:t>
      </w:r>
    </w:p>
    <w:p w14:paraId="0A773289" w14:textId="77777777" w:rsidR="003831BC" w:rsidRDefault="003831BC" w:rsidP="003831BC">
      <w:pPr>
        <w:spacing w:line="257" w:lineRule="auto"/>
        <w:jc w:val="both"/>
        <w:rPr>
          <w:rFonts w:ascii="Century Gothic" w:eastAsia="Century Gothic" w:hAnsi="Century Gothic" w:cs="Century Gothic"/>
          <w:sz w:val="22"/>
          <w:szCs w:val="22"/>
        </w:rPr>
      </w:pPr>
      <w:r w:rsidRPr="590059EA">
        <w:rPr>
          <w:rFonts w:ascii="Century Gothic" w:eastAsia="Century Gothic" w:hAnsi="Century Gothic" w:cs="Century Gothic"/>
          <w:sz w:val="22"/>
          <w:szCs w:val="22"/>
        </w:rPr>
        <w:t xml:space="preserve">Initially all deciles were calculated in excel, whereby 1 represented a low score and 10 represented a high score.  This was done by using the percent rank function. A low score on some variables may have indicated relatively poor performance, but on other variables a low score may have indicated a relatively good performance. Likewise, a high score could be bad on some measures and good on others. For example, a low score on an income variable represents a bad thing for that area, whilst a low score on crime would represent a good thing. </w:t>
      </w:r>
    </w:p>
    <w:p w14:paraId="19DA5BBB" w14:textId="77777777" w:rsidR="003831BC" w:rsidRDefault="003831BC" w:rsidP="003831BC">
      <w:pPr>
        <w:spacing w:line="257" w:lineRule="auto"/>
        <w:jc w:val="both"/>
        <w:rPr>
          <w:rFonts w:ascii="Century Gothic" w:eastAsia="Century Gothic" w:hAnsi="Century Gothic" w:cs="Century Gothic"/>
          <w:sz w:val="22"/>
          <w:szCs w:val="22"/>
        </w:rPr>
      </w:pPr>
      <w:r w:rsidRPr="590059EA">
        <w:rPr>
          <w:rFonts w:ascii="Century Gothic" w:eastAsia="Century Gothic" w:hAnsi="Century Gothic" w:cs="Century Gothic"/>
          <w:sz w:val="22"/>
          <w:szCs w:val="22"/>
        </w:rPr>
        <w:t xml:space="preserve">As such, we next manually reviewed all 253 variables to decide upon their polarity (e.g. whether a high score indicates poor or good performance and vice versa). All variables data was then re-coded in SPSS to reflect this assigned polarity, so that a score of 1 consistently showed relatively bad performance and a score of 10 showed relatively good performance. This was done using the re-code function in SPSS v23. </w:t>
      </w:r>
    </w:p>
    <w:p w14:paraId="68FDE3FB" w14:textId="77777777" w:rsidR="003831BC" w:rsidRDefault="003831BC" w:rsidP="003831BC">
      <w:pPr>
        <w:spacing w:line="257" w:lineRule="auto"/>
        <w:jc w:val="both"/>
        <w:rPr>
          <w:rFonts w:ascii="Century Gothic" w:eastAsia="Century Gothic" w:hAnsi="Century Gothic" w:cs="Century Gothic"/>
          <w:sz w:val="22"/>
          <w:szCs w:val="22"/>
        </w:rPr>
      </w:pPr>
      <w:r w:rsidRPr="590059EA">
        <w:rPr>
          <w:rFonts w:ascii="Century Gothic" w:eastAsia="Century Gothic" w:hAnsi="Century Gothic" w:cs="Century Gothic"/>
          <w:sz w:val="22"/>
          <w:szCs w:val="22"/>
        </w:rPr>
        <w:t xml:space="preserve">These deciles are not calculated as Essex specific. We calculated the deciles based on data for the whole of England, so that we could see in the deciles for Essex how the areas are performing nationally. </w:t>
      </w:r>
    </w:p>
    <w:p w14:paraId="6F200639" w14:textId="77777777" w:rsidR="003831BC" w:rsidRPr="007D6085" w:rsidRDefault="003831BC" w:rsidP="003831BC">
      <w:pPr>
        <w:jc w:val="both"/>
        <w:rPr>
          <w:rFonts w:ascii="Century Gothic" w:hAnsi="Century Gothic"/>
          <w:sz w:val="22"/>
          <w:szCs w:val="22"/>
        </w:rPr>
      </w:pPr>
      <w:r w:rsidRPr="35F6A85B">
        <w:rPr>
          <w:rFonts w:ascii="Century Gothic" w:eastAsia="Century Gothic" w:hAnsi="Century Gothic" w:cs="Century Gothic"/>
          <w:sz w:val="22"/>
          <w:szCs w:val="22"/>
        </w:rPr>
        <w:t>Once we</w:t>
      </w:r>
      <w:r>
        <w:rPr>
          <w:rFonts w:ascii="Century Gothic" w:eastAsia="Century Gothic" w:hAnsi="Century Gothic" w:cs="Century Gothic"/>
          <w:sz w:val="22"/>
          <w:szCs w:val="22"/>
        </w:rPr>
        <w:t xml:space="preserve"> had</w:t>
      </w:r>
      <w:r w:rsidRPr="35F6A85B">
        <w:rPr>
          <w:rFonts w:ascii="Century Gothic" w:eastAsia="Century Gothic" w:hAnsi="Century Gothic" w:cs="Century Gothic"/>
          <w:sz w:val="22"/>
          <w:szCs w:val="22"/>
        </w:rPr>
        <w:t xml:space="preserve"> calculated the individual variable deciles, we had then grouped </w:t>
      </w:r>
      <w:proofErr w:type="gramStart"/>
      <w:r w:rsidRPr="35F6A85B">
        <w:rPr>
          <w:rFonts w:ascii="Century Gothic" w:eastAsia="Century Gothic" w:hAnsi="Century Gothic" w:cs="Century Gothic"/>
          <w:sz w:val="22"/>
          <w:szCs w:val="22"/>
        </w:rPr>
        <w:t>all of</w:t>
      </w:r>
      <w:proofErr w:type="gramEnd"/>
      <w:r w:rsidRPr="35F6A85B">
        <w:rPr>
          <w:rFonts w:ascii="Century Gothic" w:eastAsia="Century Gothic" w:hAnsi="Century Gothic" w:cs="Century Gothic"/>
          <w:sz w:val="22"/>
          <w:szCs w:val="22"/>
        </w:rPr>
        <w:t xml:space="preserve"> the variables into 10 driver themes</w:t>
      </w:r>
      <w:r>
        <w:rPr>
          <w:rFonts w:ascii="Century Gothic" w:eastAsia="Century Gothic" w:hAnsi="Century Gothic" w:cs="Century Gothic"/>
          <w:sz w:val="22"/>
          <w:szCs w:val="22"/>
        </w:rPr>
        <w:t xml:space="preserve">. </w:t>
      </w:r>
      <w:r w:rsidRPr="35F6A85B">
        <w:rPr>
          <w:rFonts w:ascii="Century Gothic" w:eastAsia="Century Gothic" w:hAnsi="Century Gothic" w:cs="Century Gothic"/>
          <w:sz w:val="22"/>
          <w:szCs w:val="22"/>
        </w:rPr>
        <w:t xml:space="preserve">The decile for each variable within each theme was then averaged to produce an average decile by theme for every Essex LSOA. These average theme deciles were then again averaged to produce an overall average decile, termed the physical inactivity </w:t>
      </w:r>
      <w:r w:rsidRPr="007D6085">
        <w:rPr>
          <w:rFonts w:ascii="Century Gothic" w:eastAsia="Century Gothic" w:hAnsi="Century Gothic" w:cs="Century Gothic"/>
          <w:sz w:val="22"/>
          <w:szCs w:val="22"/>
        </w:rPr>
        <w:t>score; a score of 1 reflects the area to be likely inactive, and a score of 10 likely active. This score is therefore an abstraction based on proxy indicators as a measure of the likely presence of drivers to physical activity within each LSOA.</w:t>
      </w:r>
      <w:r w:rsidRPr="007D6085">
        <w:rPr>
          <w:rFonts w:ascii="Century Gothic" w:hAnsi="Century Gothic"/>
          <w:sz w:val="22"/>
          <w:szCs w:val="22"/>
        </w:rPr>
        <w:t xml:space="preserve"> </w:t>
      </w:r>
      <w:r w:rsidRPr="007D6085">
        <w:rPr>
          <w:rFonts w:ascii="Century Gothic" w:eastAsia="Century Gothic" w:hAnsi="Century Gothic" w:cs="Century Gothic"/>
          <w:sz w:val="22"/>
          <w:szCs w:val="22"/>
        </w:rPr>
        <w:t>This last process of producing the overall physical inactivity score also required outputs gained from conducting a regression analysis, as outlined below.</w:t>
      </w:r>
    </w:p>
    <w:p w14:paraId="3A9BA414" w14:textId="77777777" w:rsidR="003831BC" w:rsidRDefault="003831BC" w:rsidP="003831BC">
      <w:pPr>
        <w:spacing w:line="257" w:lineRule="auto"/>
        <w:jc w:val="both"/>
        <w:rPr>
          <w:rFonts w:ascii="Century Gothic" w:eastAsia="Century Gothic" w:hAnsi="Century Gothic" w:cs="Century Gothic"/>
          <w:sz w:val="22"/>
          <w:szCs w:val="22"/>
        </w:rPr>
      </w:pPr>
    </w:p>
    <w:p w14:paraId="7FF27857" w14:textId="77777777" w:rsidR="003831BC" w:rsidRDefault="003831BC" w:rsidP="003831BC">
      <w:pPr>
        <w:pStyle w:val="Heading2"/>
        <w:numPr>
          <w:ilvl w:val="1"/>
          <w:numId w:val="9"/>
        </w:numPr>
        <w:jc w:val="both"/>
        <w:rPr>
          <w:rFonts w:ascii="Century Gothic" w:hAnsi="Century Gothic"/>
          <w:b/>
          <w:bCs/>
          <w:i/>
          <w:iCs/>
          <w:color w:val="D8117D"/>
        </w:rPr>
      </w:pPr>
      <w:bookmarkStart w:id="9" w:name="_Toc50553591"/>
      <w:r w:rsidRPr="38655EA8">
        <w:rPr>
          <w:rFonts w:ascii="Century Gothic" w:hAnsi="Century Gothic"/>
          <w:b/>
          <w:bCs/>
          <w:i/>
          <w:iCs/>
          <w:color w:val="D8117D"/>
        </w:rPr>
        <w:t>Regression and weighting of variables</w:t>
      </w:r>
      <w:bookmarkEnd w:id="9"/>
    </w:p>
    <w:p w14:paraId="13FFA316" w14:textId="77777777" w:rsidR="003831BC" w:rsidRDefault="003831BC" w:rsidP="003831BC">
      <w:pPr>
        <w:jc w:val="both"/>
      </w:pPr>
    </w:p>
    <w:p w14:paraId="512031AC" w14:textId="77777777" w:rsidR="003831BC" w:rsidRPr="00280067" w:rsidRDefault="003831BC" w:rsidP="003831BC">
      <w:pPr>
        <w:jc w:val="both"/>
        <w:rPr>
          <w:rFonts w:ascii="Century Gothic" w:hAnsi="Century Gothic"/>
          <w:sz w:val="22"/>
          <w:szCs w:val="22"/>
        </w:rPr>
      </w:pPr>
      <w:proofErr w:type="gramStart"/>
      <w:r w:rsidRPr="00280067">
        <w:rPr>
          <w:rFonts w:ascii="Century Gothic" w:hAnsi="Century Gothic"/>
          <w:sz w:val="22"/>
          <w:szCs w:val="22"/>
        </w:rPr>
        <w:t>Early on in the</w:t>
      </w:r>
      <w:proofErr w:type="gramEnd"/>
      <w:r w:rsidRPr="00280067">
        <w:rPr>
          <w:rFonts w:ascii="Century Gothic" w:hAnsi="Century Gothic"/>
          <w:sz w:val="22"/>
          <w:szCs w:val="22"/>
        </w:rPr>
        <w:t xml:space="preserve"> project, a literature review was conducted to gain understanding into the key drivers and associated factors of physical activity. Whilst this was useful in focusing efforts on sourcing data, the impact of each key driver was needed to be understood in more detail to allow the production of a more accurate overall weighted average decile by area. This was done by conducting a regression analysis with the outcomes used to produce weightings that could be applied at an LSOA level to estimate how likely that area is to be physically inactive. The data included in the analysis covered the whole of England, so that the weighting of how much impact each driver had of physical activity levels was informed by national evidence. </w:t>
      </w:r>
    </w:p>
    <w:p w14:paraId="5B1E738B"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There was no data currently available relating to physical activity at an LSOA level. Instead, modelled figures of physical inactivity at an MSOA level, derived from Sport England’s Active Lives survey, was used as the dependent variable in the regression analysis with each LSOA within each MSOA assigned that MSOA value. </w:t>
      </w:r>
    </w:p>
    <w:p w14:paraId="3A437017"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253 variables previously selected to transform into deciles were used as the bases for the predictor values in the regression model. This data was a mixture of counts, percentages and rates, so first the data was standardised, creating z-scores for each indicator. </w:t>
      </w:r>
    </w:p>
    <w:p w14:paraId="482FFEF7"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A multiple linear regression model was then conducted using the modelled MSOA physical inactivity variable as the dependant variable. The 253 variables z-scores were used as the predictor variables in this model. This analysis was conducted in R Studio, and the code available from report authors.</w:t>
      </w:r>
    </w:p>
    <w:p w14:paraId="7455370C"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Once analysis was completed, the overall R2 of the model was observed to see how much variance in the dependant variable, physical activity, was explained by </w:t>
      </w:r>
      <w:proofErr w:type="gramStart"/>
      <w:r w:rsidRPr="00280067">
        <w:rPr>
          <w:rFonts w:ascii="Century Gothic" w:hAnsi="Century Gothic"/>
          <w:sz w:val="22"/>
          <w:szCs w:val="22"/>
        </w:rPr>
        <w:t>all of</w:t>
      </w:r>
      <w:proofErr w:type="gramEnd"/>
      <w:r w:rsidRPr="00280067">
        <w:rPr>
          <w:rFonts w:ascii="Century Gothic" w:hAnsi="Century Gothic"/>
          <w:sz w:val="22"/>
          <w:szCs w:val="22"/>
        </w:rPr>
        <w:t xml:space="preserve"> the predictor variables. The individual variable coefficients were the collected to assess how much the outcome variable changes according each of the predictor variables. The resulting coefficients were grouped by the ten themes to allow us to see which themes have the biggest cumulative impact on rates of inactivity by producing an average coefficient per theme. The weightings derived from the regression analysis were then applied to each theme decile at LSOA level to then produce an overall weighted average decile score for every LSOA (aka risk of being inactive in that LSOA). The lower the average score, the more likely the population of that area is to be inactive.</w:t>
      </w:r>
    </w:p>
    <w:p w14:paraId="042DC817" w14:textId="77777777" w:rsidR="003831BC" w:rsidRDefault="003831BC" w:rsidP="003831BC">
      <w:pPr>
        <w:jc w:val="both"/>
        <w:rPr>
          <w:rFonts w:ascii="Century Gothic" w:eastAsia="Century Gothic" w:hAnsi="Century Gothic" w:cs="Century Gothic"/>
        </w:rPr>
      </w:pPr>
    </w:p>
    <w:p w14:paraId="6B61D03A" w14:textId="77777777" w:rsidR="003831BC" w:rsidRDefault="003831BC" w:rsidP="003831BC">
      <w:pPr>
        <w:pStyle w:val="Heading2"/>
        <w:numPr>
          <w:ilvl w:val="1"/>
          <w:numId w:val="9"/>
        </w:numPr>
        <w:jc w:val="both"/>
        <w:rPr>
          <w:rFonts w:ascii="Century Gothic" w:eastAsia="Century Gothic" w:hAnsi="Century Gothic" w:cs="Century Gothic"/>
          <w:b/>
          <w:bCs/>
          <w:i/>
          <w:iCs/>
          <w:color w:val="D8117D"/>
        </w:rPr>
      </w:pPr>
      <w:bookmarkStart w:id="10" w:name="_Toc50553592"/>
      <w:r w:rsidRPr="54C5D6D6">
        <w:rPr>
          <w:rFonts w:ascii="Century Gothic" w:eastAsia="Century Gothic" w:hAnsi="Century Gothic" w:cs="Century Gothic"/>
          <w:b/>
          <w:bCs/>
          <w:i/>
          <w:iCs/>
          <w:color w:val="D8117D"/>
        </w:rPr>
        <w:t>Creation of LSOA clusters</w:t>
      </w:r>
      <w:bookmarkEnd w:id="10"/>
    </w:p>
    <w:p w14:paraId="227E31EA" w14:textId="77777777" w:rsidR="003831BC" w:rsidRPr="00BA313B" w:rsidRDefault="003831BC" w:rsidP="003831BC">
      <w:pPr>
        <w:jc w:val="both"/>
        <w:rPr>
          <w:rFonts w:ascii="Century Gothic" w:eastAsia="Century Gothic" w:hAnsi="Century Gothic" w:cs="Century Gothic"/>
        </w:rPr>
      </w:pPr>
    </w:p>
    <w:p w14:paraId="5E4DA6C3" w14:textId="77777777" w:rsidR="003831BC" w:rsidRPr="00280067" w:rsidRDefault="003831BC" w:rsidP="003831BC">
      <w:pPr>
        <w:jc w:val="both"/>
        <w:rPr>
          <w:rFonts w:ascii="Century Gothic" w:eastAsia="Century Gothic" w:hAnsi="Century Gothic" w:cs="Century Gothic"/>
          <w:sz w:val="22"/>
          <w:szCs w:val="22"/>
        </w:rPr>
      </w:pPr>
      <w:r w:rsidRPr="00280067">
        <w:rPr>
          <w:rFonts w:ascii="Century Gothic" w:eastAsia="Century Gothic" w:hAnsi="Century Gothic" w:cs="Century Gothic"/>
          <w:sz w:val="22"/>
          <w:szCs w:val="22"/>
        </w:rPr>
        <w:t xml:space="preserve">Cluster analysis was next conducted to investigate whether the 872 LSOAs across all the Essex Districts ‘cluster’, or group, together based upon any similarities or differences between them on the average decile by theme in the data for each LSOA. This analysis would identify LSOAs with similar barriers in the driver themes to physical activity that may require addressing to reduce physical inactivity levels, which are then also distinct to the barriers present in another of the clusters of LSOAs. Such insights gained from these outputs can therefore show the LSOAs across Essex, even spanning across different Districts within Essex, that could benefit from similar pilot programmes and interventions. For example, the cluster analysis outputs presented may suggest that a cluster of LSOAs may require targeted interventions to specific </w:t>
      </w:r>
      <w:proofErr w:type="spellStart"/>
      <w:r w:rsidRPr="00280067">
        <w:rPr>
          <w:rFonts w:ascii="Century Gothic" w:eastAsia="Century Gothic" w:hAnsi="Century Gothic" w:cs="Century Gothic"/>
          <w:sz w:val="22"/>
          <w:szCs w:val="22"/>
        </w:rPr>
        <w:t>barries</w:t>
      </w:r>
      <w:proofErr w:type="spellEnd"/>
      <w:r w:rsidRPr="00280067">
        <w:rPr>
          <w:rFonts w:ascii="Century Gothic" w:eastAsia="Century Gothic" w:hAnsi="Century Gothic" w:cs="Century Gothic"/>
          <w:sz w:val="22"/>
          <w:szCs w:val="22"/>
        </w:rPr>
        <w:t xml:space="preserve"> whilst another of the cluster of LSOAs may require a holistic intervention approach to cover a range of potential physical activity barriers. </w:t>
      </w:r>
    </w:p>
    <w:p w14:paraId="64036EFD"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 xml:space="preserve">Firstly. the optimal number of clusters that were needed to describe the Essex LSOAs was determined using the elbow method. Based on the within and between similarity measures, N = 4 clusters were decided upon. This was the point in which the distance decrease levelled off as the number of clusters required increased - the difference in distance between N = 4 - 5 was much smaller in comparison to the difference in distance between N = 1 – 2, N = 2 – 3 and N = 3 – 4. This is shown in the graphs below. </w:t>
      </w:r>
    </w:p>
    <w:p w14:paraId="72C5CC2E" w14:textId="77777777" w:rsidR="003831BC" w:rsidRPr="00280067" w:rsidRDefault="003831BC" w:rsidP="003831BC">
      <w:pPr>
        <w:jc w:val="center"/>
        <w:rPr>
          <w:rFonts w:ascii="Century Gothic" w:eastAsia="Century Gothic" w:hAnsi="Century Gothic" w:cs="Century Gothic"/>
          <w:sz w:val="22"/>
          <w:szCs w:val="22"/>
        </w:rPr>
      </w:pPr>
      <w:r w:rsidRPr="00280067">
        <w:rPr>
          <w:noProof/>
          <w:sz w:val="22"/>
          <w:szCs w:val="22"/>
        </w:rPr>
        <w:drawing>
          <wp:inline distT="0" distB="0" distL="0" distR="0" wp14:anchorId="46AFD506" wp14:editId="628C146E">
            <wp:extent cx="3958552" cy="2605374"/>
            <wp:effectExtent l="0" t="0" r="3810" b="0"/>
            <wp:docPr id="1484112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3958552" cy="2605374"/>
                    </a:xfrm>
                    <a:prstGeom prst="rect">
                      <a:avLst/>
                    </a:prstGeom>
                  </pic:spPr>
                </pic:pic>
              </a:graphicData>
            </a:graphic>
          </wp:inline>
        </w:drawing>
      </w:r>
      <w:r w:rsidRPr="00280067">
        <w:rPr>
          <w:noProof/>
          <w:sz w:val="22"/>
          <w:szCs w:val="22"/>
        </w:rPr>
        <w:drawing>
          <wp:inline distT="0" distB="0" distL="0" distR="0" wp14:anchorId="32F8A437" wp14:editId="07C0AD2C">
            <wp:extent cx="3975281" cy="2787434"/>
            <wp:effectExtent l="0" t="0" r="0" b="0"/>
            <wp:docPr id="65586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975281" cy="2787434"/>
                    </a:xfrm>
                    <a:prstGeom prst="rect">
                      <a:avLst/>
                    </a:prstGeom>
                  </pic:spPr>
                </pic:pic>
              </a:graphicData>
            </a:graphic>
          </wp:inline>
        </w:drawing>
      </w:r>
    </w:p>
    <w:p w14:paraId="2936EC9C" w14:textId="77777777" w:rsidR="003831BC" w:rsidRPr="00280067" w:rsidRDefault="003831BC" w:rsidP="003831BC">
      <w:pPr>
        <w:jc w:val="both"/>
        <w:rPr>
          <w:rFonts w:ascii="Century Gothic" w:eastAsia="Century Gothic" w:hAnsi="Century Gothic" w:cs="Century Gothic"/>
          <w:sz w:val="22"/>
          <w:szCs w:val="22"/>
        </w:rPr>
      </w:pPr>
      <w:r w:rsidRPr="00280067">
        <w:rPr>
          <w:rFonts w:ascii="Century Gothic" w:eastAsia="Century Gothic" w:hAnsi="Century Gothic" w:cs="Century Gothic"/>
          <w:sz w:val="22"/>
          <w:szCs w:val="22"/>
        </w:rPr>
        <w:t xml:space="preserve">K-means clustering was then conducted to identify the 4 clusters of LSOAs based across the 10 driver theme decile data, and then subsequently categorised each of the Essex LSOAs into one of these 4 distinct clusters. </w:t>
      </w:r>
      <w:proofErr w:type="gramStart"/>
      <w:r w:rsidRPr="00280067">
        <w:rPr>
          <w:rFonts w:ascii="Century Gothic" w:eastAsia="Century Gothic" w:hAnsi="Century Gothic" w:cs="Century Gothic"/>
          <w:sz w:val="22"/>
          <w:szCs w:val="22"/>
        </w:rPr>
        <w:t>All of</w:t>
      </w:r>
      <w:proofErr w:type="gramEnd"/>
      <w:r w:rsidRPr="00280067">
        <w:rPr>
          <w:rFonts w:ascii="Century Gothic" w:eastAsia="Century Gothic" w:hAnsi="Century Gothic" w:cs="Century Gothic"/>
          <w:sz w:val="22"/>
          <w:szCs w:val="22"/>
        </w:rPr>
        <w:t xml:space="preserve"> the above Cluster Analyses processes was conducted in R Studio. The full code can be obtained via contacting the technical report authors.</w:t>
      </w:r>
    </w:p>
    <w:p w14:paraId="3B1FE5BA" w14:textId="77777777" w:rsidR="003831BC" w:rsidRPr="00280067" w:rsidRDefault="003831BC" w:rsidP="003831BC">
      <w:pPr>
        <w:jc w:val="both"/>
        <w:rPr>
          <w:rFonts w:ascii="Century Gothic" w:eastAsia="Century Gothic" w:hAnsi="Century Gothic" w:cs="Century Gothic"/>
          <w:sz w:val="22"/>
          <w:szCs w:val="22"/>
        </w:rPr>
      </w:pPr>
      <w:r w:rsidRPr="00280067">
        <w:rPr>
          <w:rFonts w:ascii="Century Gothic" w:eastAsia="Century Gothic" w:hAnsi="Century Gothic" w:cs="Century Gothic"/>
          <w:sz w:val="22"/>
          <w:szCs w:val="22"/>
        </w:rPr>
        <w:t xml:space="preserve">The graph below shows a scatterplot of PC1 and PC2 outputs of the cluster analysis. Each LSOA is represented by a dot, and the graph visualises the variances between the LSOAs which places them in different places in the graph. This allows us to visualise which LSOAs are most </w:t>
      </w:r>
      <w:proofErr w:type="gramStart"/>
      <w:r w:rsidRPr="00280067">
        <w:rPr>
          <w:rFonts w:ascii="Century Gothic" w:eastAsia="Century Gothic" w:hAnsi="Century Gothic" w:cs="Century Gothic"/>
          <w:sz w:val="22"/>
          <w:szCs w:val="22"/>
        </w:rPr>
        <w:t>similar to</w:t>
      </w:r>
      <w:proofErr w:type="gramEnd"/>
      <w:r w:rsidRPr="00280067">
        <w:rPr>
          <w:rFonts w:ascii="Century Gothic" w:eastAsia="Century Gothic" w:hAnsi="Century Gothic" w:cs="Century Gothic"/>
          <w:sz w:val="22"/>
          <w:szCs w:val="22"/>
        </w:rPr>
        <w:t xml:space="preserve"> each other. LSOAs are colour coded by the cluster they are placed into.</w:t>
      </w:r>
    </w:p>
    <w:p w14:paraId="51BCEE3B" w14:textId="77777777" w:rsidR="003831BC" w:rsidRPr="00280067" w:rsidRDefault="003831BC" w:rsidP="003831BC">
      <w:pPr>
        <w:jc w:val="both"/>
        <w:rPr>
          <w:rFonts w:ascii="Century Gothic" w:eastAsia="Century Gothic" w:hAnsi="Century Gothic" w:cs="Century Gothic"/>
          <w:sz w:val="22"/>
          <w:szCs w:val="22"/>
        </w:rPr>
      </w:pPr>
    </w:p>
    <w:p w14:paraId="580C2938" w14:textId="77777777" w:rsidR="003831BC" w:rsidRPr="00280067" w:rsidRDefault="003831BC" w:rsidP="003831BC">
      <w:pPr>
        <w:jc w:val="center"/>
        <w:rPr>
          <w:sz w:val="22"/>
          <w:szCs w:val="22"/>
        </w:rPr>
      </w:pPr>
      <w:r w:rsidRPr="00280067">
        <w:rPr>
          <w:noProof/>
          <w:sz w:val="22"/>
          <w:szCs w:val="22"/>
        </w:rPr>
        <w:drawing>
          <wp:inline distT="0" distB="0" distL="0" distR="0" wp14:anchorId="05C026A3" wp14:editId="3796F0CA">
            <wp:extent cx="4827932" cy="297123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4827932" cy="2971232"/>
                    </a:xfrm>
                    <a:prstGeom prst="rect">
                      <a:avLst/>
                    </a:prstGeom>
                  </pic:spPr>
                </pic:pic>
              </a:graphicData>
            </a:graphic>
          </wp:inline>
        </w:drawing>
      </w:r>
    </w:p>
    <w:p w14:paraId="659636BD" w14:textId="77777777" w:rsidR="003831BC" w:rsidRPr="00BA313B" w:rsidRDefault="003831BC" w:rsidP="003831BC">
      <w:pPr>
        <w:jc w:val="both"/>
        <w:rPr>
          <w:rFonts w:ascii="Century Gothic" w:eastAsia="Century Gothic" w:hAnsi="Century Gothic" w:cs="Century Gothic"/>
        </w:rPr>
      </w:pPr>
      <w:r w:rsidRPr="00280067">
        <w:rPr>
          <w:rFonts w:ascii="Century Gothic" w:eastAsia="Century Gothic" w:hAnsi="Century Gothic" w:cs="Century Gothic"/>
          <w:sz w:val="22"/>
          <w:szCs w:val="22"/>
        </w:rPr>
        <w:t xml:space="preserve">A definition to represent each cluster, including potential physical inactivity levels and its’ drivers, was then produced. This was developed by obtaining the average decile by theme for each LSOA within each of the 4 clusters, and then averaging these figures to give an average decile by theme overall for each cluster.  This is provided in the table below. A lower number indicates a relatively poor performance, a potential barrier, in that theme that applies across </w:t>
      </w:r>
      <w:proofErr w:type="gramStart"/>
      <w:r w:rsidRPr="00280067">
        <w:rPr>
          <w:rFonts w:ascii="Century Gothic" w:eastAsia="Century Gothic" w:hAnsi="Century Gothic" w:cs="Century Gothic"/>
          <w:sz w:val="22"/>
          <w:szCs w:val="22"/>
        </w:rPr>
        <w:t>all of</w:t>
      </w:r>
      <w:proofErr w:type="gramEnd"/>
      <w:r w:rsidRPr="00280067">
        <w:rPr>
          <w:rFonts w:ascii="Century Gothic" w:eastAsia="Century Gothic" w:hAnsi="Century Gothic" w:cs="Century Gothic"/>
          <w:sz w:val="22"/>
          <w:szCs w:val="22"/>
        </w:rPr>
        <w:t xml:space="preserve"> the Essex LSOAs that are classified as being in that cluster. </w:t>
      </w:r>
    </w:p>
    <w:p w14:paraId="4EBED1FE" w14:textId="77777777" w:rsidR="003831BC" w:rsidRPr="00BA313B" w:rsidRDefault="003831BC" w:rsidP="003831BC">
      <w:pPr>
        <w:jc w:val="both"/>
        <w:rPr>
          <w:rFonts w:ascii="Century Gothic" w:hAnsi="Century Gothic"/>
        </w:rPr>
      </w:pPr>
      <w:r>
        <w:rPr>
          <w:noProof/>
        </w:rPr>
        <w:drawing>
          <wp:inline distT="0" distB="0" distL="0" distR="0" wp14:anchorId="34A04A5A" wp14:editId="045137CA">
            <wp:extent cx="5731510" cy="1040722"/>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731510" cy="1040722"/>
                    </a:xfrm>
                    <a:prstGeom prst="rect">
                      <a:avLst/>
                    </a:prstGeom>
                  </pic:spPr>
                </pic:pic>
              </a:graphicData>
            </a:graphic>
          </wp:inline>
        </w:drawing>
      </w:r>
    </w:p>
    <w:p w14:paraId="098AD53E" w14:textId="77777777" w:rsidR="003831BC" w:rsidRDefault="003831BC" w:rsidP="003831BC">
      <w:pPr>
        <w:jc w:val="both"/>
      </w:pPr>
    </w:p>
    <w:p w14:paraId="2E236871" w14:textId="77777777" w:rsidR="003831BC" w:rsidRDefault="003831BC" w:rsidP="003831BC">
      <w:pPr>
        <w:pStyle w:val="Heading2"/>
        <w:numPr>
          <w:ilvl w:val="1"/>
          <w:numId w:val="9"/>
        </w:numPr>
        <w:jc w:val="both"/>
        <w:rPr>
          <w:rFonts w:ascii="Century Gothic" w:hAnsi="Century Gothic"/>
          <w:b/>
          <w:bCs/>
          <w:i/>
          <w:iCs/>
          <w:color w:val="D8117D"/>
        </w:rPr>
      </w:pPr>
      <w:bookmarkStart w:id="11" w:name="_Toc50553593"/>
      <w:r w:rsidRPr="54C5D6D6">
        <w:rPr>
          <w:rFonts w:ascii="Century Gothic" w:hAnsi="Century Gothic"/>
          <w:b/>
          <w:bCs/>
          <w:i/>
          <w:iCs/>
          <w:color w:val="D8117D"/>
        </w:rPr>
        <w:t>Dashboard and data relationships</w:t>
      </w:r>
      <w:bookmarkEnd w:id="11"/>
    </w:p>
    <w:p w14:paraId="1F6A8461" w14:textId="77777777" w:rsidR="003831BC" w:rsidRDefault="003831BC" w:rsidP="003831BC">
      <w:pPr>
        <w:jc w:val="both"/>
      </w:pPr>
    </w:p>
    <w:p w14:paraId="54654219"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 xml:space="preserve">In order to display and visualise the data, deciles and clusters, a dashboard was created in Microsoft Power BI. This dashboard enables the user to see a profile of each LSOA in Essex and its associated physical activity risk score and data by theme. Other tabs in the dashboard allow the user to view the spread of our LSOA clusters throughout </w:t>
      </w:r>
      <w:proofErr w:type="gramStart"/>
      <w:r w:rsidRPr="00280067">
        <w:rPr>
          <w:rFonts w:ascii="Century Gothic" w:eastAsia="Century Gothic" w:hAnsi="Century Gothic" w:cs="Century Gothic"/>
          <w:sz w:val="22"/>
          <w:szCs w:val="22"/>
        </w:rPr>
        <w:t>Essex, and</w:t>
      </w:r>
      <w:proofErr w:type="gramEnd"/>
      <w:r w:rsidRPr="00280067">
        <w:rPr>
          <w:rFonts w:ascii="Century Gothic" w:eastAsia="Century Gothic" w:hAnsi="Century Gothic" w:cs="Century Gothic"/>
          <w:sz w:val="22"/>
          <w:szCs w:val="22"/>
        </w:rPr>
        <w:t xml:space="preserve"> provides hotspot maps for each indicator used in the analysis.</w:t>
      </w:r>
    </w:p>
    <w:p w14:paraId="4BA59026"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 xml:space="preserve">In order to achieve this, the data was structured in a way so that each dataset can be separately updated. A table with geographical codes and labels was used as the central table, with all other data tables joined to this using LSOA code as the basis of the relationship, as shown in the image below. </w:t>
      </w:r>
    </w:p>
    <w:p w14:paraId="2997DE31"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 xml:space="preserve">The only exception to this </w:t>
      </w:r>
      <w:proofErr w:type="gramStart"/>
      <w:r w:rsidRPr="00280067">
        <w:rPr>
          <w:rFonts w:ascii="Century Gothic" w:eastAsia="Century Gothic" w:hAnsi="Century Gothic" w:cs="Century Gothic"/>
          <w:sz w:val="22"/>
          <w:szCs w:val="22"/>
        </w:rPr>
        <w:t>are</w:t>
      </w:r>
      <w:proofErr w:type="gramEnd"/>
      <w:r w:rsidRPr="00280067">
        <w:rPr>
          <w:rFonts w:ascii="Century Gothic" w:eastAsia="Century Gothic" w:hAnsi="Century Gothic" w:cs="Century Gothic"/>
          <w:sz w:val="22"/>
          <w:szCs w:val="22"/>
        </w:rPr>
        <w:t xml:space="preserve"> the two metadata tables, which were joined to their corresponding datasets by variable number. Two metadata tables were created, one for the full dataset, and the other only for indicators which had been included in deciles. A separate metadata table was required as there are fewer indicators within the decile dataset. </w:t>
      </w:r>
    </w:p>
    <w:p w14:paraId="4233D637"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 xml:space="preserve">All tables can be replaced with updated datasets, </w:t>
      </w:r>
      <w:proofErr w:type="gramStart"/>
      <w:r w:rsidRPr="00280067">
        <w:rPr>
          <w:rFonts w:ascii="Century Gothic" w:eastAsia="Century Gothic" w:hAnsi="Century Gothic" w:cs="Century Gothic"/>
          <w:sz w:val="22"/>
          <w:szCs w:val="22"/>
        </w:rPr>
        <w:t>as long as</w:t>
      </w:r>
      <w:proofErr w:type="gramEnd"/>
      <w:r w:rsidRPr="00280067">
        <w:rPr>
          <w:rFonts w:ascii="Century Gothic" w:eastAsia="Century Gothic" w:hAnsi="Century Gothic" w:cs="Century Gothic"/>
          <w:sz w:val="22"/>
          <w:szCs w:val="22"/>
        </w:rPr>
        <w:t xml:space="preserve"> the previous relationships have been re-established.</w:t>
      </w:r>
    </w:p>
    <w:p w14:paraId="59ADE2B5"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All relationships were created on a many to one cardinality. This cardinality ensures the data structure remains stable, keeping the relationships in this dashboard as simple as possible.</w:t>
      </w:r>
    </w:p>
    <w:p w14:paraId="7EDF14B7" w14:textId="77777777" w:rsidR="003831BC" w:rsidRDefault="003831BC" w:rsidP="003831BC">
      <w:pPr>
        <w:jc w:val="both"/>
        <w:rPr>
          <w:rFonts w:ascii="Century Gothic" w:hAnsi="Century Gothic"/>
          <w:highlight w:val="yellow"/>
        </w:rPr>
      </w:pPr>
    </w:p>
    <w:p w14:paraId="4F2A9DF3" w14:textId="77777777" w:rsidR="003831BC" w:rsidRDefault="003831BC" w:rsidP="003831BC">
      <w:pPr>
        <w:jc w:val="both"/>
      </w:pPr>
      <w:r>
        <w:rPr>
          <w:noProof/>
        </w:rPr>
        <w:drawing>
          <wp:inline distT="0" distB="0" distL="0" distR="0" wp14:anchorId="3AD5F2BC" wp14:editId="3CCDF289">
            <wp:extent cx="5731510" cy="4140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4140200"/>
                    </a:xfrm>
                    <a:prstGeom prst="rect">
                      <a:avLst/>
                    </a:prstGeom>
                  </pic:spPr>
                </pic:pic>
              </a:graphicData>
            </a:graphic>
          </wp:inline>
        </w:drawing>
      </w:r>
    </w:p>
    <w:p w14:paraId="30FA5BA7" w14:textId="77777777" w:rsidR="003831BC" w:rsidRDefault="003831BC" w:rsidP="003831BC">
      <w:pPr>
        <w:pStyle w:val="Heading1"/>
        <w:numPr>
          <w:ilvl w:val="0"/>
          <w:numId w:val="9"/>
        </w:numPr>
        <w:jc w:val="both"/>
        <w:rPr>
          <w:rFonts w:ascii="Century Gothic" w:hAnsi="Century Gothic"/>
          <w:b/>
          <w:bCs/>
          <w:color w:val="D8117D"/>
        </w:rPr>
      </w:pPr>
      <w:bookmarkStart w:id="12" w:name="_Toc50553594"/>
      <w:r w:rsidRPr="7623FC04">
        <w:rPr>
          <w:rFonts w:ascii="Century Gothic" w:hAnsi="Century Gothic"/>
          <w:b/>
          <w:bCs/>
          <w:color w:val="D8117D"/>
        </w:rPr>
        <w:t>Findings</w:t>
      </w:r>
      <w:bookmarkEnd w:id="12"/>
    </w:p>
    <w:p w14:paraId="0F9AF07C" w14:textId="77777777" w:rsidR="003831BC" w:rsidRDefault="003831BC" w:rsidP="003831BC"/>
    <w:p w14:paraId="46087E38" w14:textId="77777777" w:rsidR="003831BC" w:rsidRPr="00280067" w:rsidRDefault="003831BC" w:rsidP="003831BC">
      <w:pPr>
        <w:jc w:val="both"/>
        <w:rPr>
          <w:sz w:val="22"/>
          <w:szCs w:val="22"/>
        </w:rPr>
      </w:pPr>
      <w:r w:rsidRPr="00280067">
        <w:rPr>
          <w:rFonts w:ascii="Century Gothic" w:eastAsia="Century Gothic" w:hAnsi="Century Gothic" w:cs="Century Gothic"/>
          <w:sz w:val="22"/>
          <w:szCs w:val="22"/>
        </w:rPr>
        <w:t>Our analysis looked at quantifying the drivers and barriers to physical inactivity at LSOA level. The dashboard, and accompanying datasets produced as part of this project, provides our findings for each of the 872 LSOAs in Essex. This section of the report outlines the headline findings of our analysis, outlining:</w:t>
      </w:r>
    </w:p>
    <w:p w14:paraId="4EDEF486" w14:textId="77777777" w:rsidR="003831BC" w:rsidRPr="00280067" w:rsidRDefault="003831BC" w:rsidP="003831BC">
      <w:pPr>
        <w:pStyle w:val="ListParagraph"/>
        <w:numPr>
          <w:ilvl w:val="0"/>
          <w:numId w:val="7"/>
        </w:numPr>
        <w:rPr>
          <w:sz w:val="22"/>
          <w:szCs w:val="22"/>
        </w:rPr>
      </w:pPr>
      <w:r w:rsidRPr="00280067">
        <w:rPr>
          <w:rFonts w:ascii="Century Gothic" w:eastAsia="Century Gothic" w:hAnsi="Century Gothic" w:cs="Century Gothic"/>
          <w:sz w:val="22"/>
          <w:szCs w:val="22"/>
        </w:rPr>
        <w:t>The findings of our regression analysis used to weight the data to create a physical activity risk score for each LSOA</w:t>
      </w:r>
    </w:p>
    <w:p w14:paraId="5A578BC6" w14:textId="77777777" w:rsidR="003831BC" w:rsidRPr="00280067" w:rsidRDefault="003831BC" w:rsidP="003831BC">
      <w:pPr>
        <w:pStyle w:val="ListParagraph"/>
        <w:numPr>
          <w:ilvl w:val="0"/>
          <w:numId w:val="7"/>
        </w:numPr>
        <w:rPr>
          <w:sz w:val="22"/>
          <w:szCs w:val="22"/>
        </w:rPr>
      </w:pPr>
      <w:r w:rsidRPr="00280067">
        <w:rPr>
          <w:rFonts w:ascii="Century Gothic" w:eastAsia="Century Gothic" w:hAnsi="Century Gothic" w:cs="Century Gothic"/>
          <w:sz w:val="22"/>
          <w:szCs w:val="22"/>
        </w:rPr>
        <w:t>The findings of each data theme, showing data summarised at district level, and maps which show the lowest and highest scoring areas</w:t>
      </w:r>
    </w:p>
    <w:p w14:paraId="6B9A15A0" w14:textId="77777777" w:rsidR="003831BC" w:rsidRDefault="003831BC" w:rsidP="003831BC">
      <w:pPr>
        <w:pStyle w:val="ListParagraph"/>
        <w:numPr>
          <w:ilvl w:val="0"/>
          <w:numId w:val="7"/>
        </w:numPr>
        <w:jc w:val="both"/>
      </w:pPr>
      <w:r w:rsidRPr="001B2498">
        <w:rPr>
          <w:rFonts w:ascii="Century Gothic" w:eastAsia="Century Gothic" w:hAnsi="Century Gothic" w:cs="Century Gothic"/>
          <w:sz w:val="22"/>
          <w:szCs w:val="22"/>
        </w:rPr>
        <w:t>The outcomes of the cluster analysis to group similar LSOAs based on shared characteristics and barriers to physical activity.</w:t>
      </w:r>
    </w:p>
    <w:p w14:paraId="113C8E25" w14:textId="77777777" w:rsidR="003831BC" w:rsidRDefault="003831BC" w:rsidP="003831BC">
      <w:pPr>
        <w:pStyle w:val="Heading2"/>
        <w:numPr>
          <w:ilvl w:val="1"/>
          <w:numId w:val="9"/>
        </w:numPr>
        <w:jc w:val="both"/>
        <w:rPr>
          <w:rFonts w:ascii="Century Gothic" w:hAnsi="Century Gothic"/>
          <w:b/>
          <w:bCs/>
          <w:i/>
          <w:iCs/>
          <w:color w:val="D8117D"/>
        </w:rPr>
      </w:pPr>
      <w:bookmarkStart w:id="13" w:name="_Toc50553595"/>
      <w:r w:rsidRPr="7623FC04">
        <w:rPr>
          <w:rFonts w:ascii="Century Gothic" w:hAnsi="Century Gothic"/>
          <w:b/>
          <w:bCs/>
          <w:i/>
          <w:iCs/>
          <w:color w:val="D8117D"/>
        </w:rPr>
        <w:t>Regression outputs and weighting</w:t>
      </w:r>
      <w:bookmarkEnd w:id="13"/>
    </w:p>
    <w:p w14:paraId="5B25CE06" w14:textId="77777777" w:rsidR="003831BC" w:rsidRDefault="003831BC" w:rsidP="003831BC">
      <w:pPr>
        <w:jc w:val="both"/>
        <w:rPr>
          <w:rFonts w:ascii="Century Gothic" w:hAnsi="Century Gothic"/>
        </w:rPr>
      </w:pPr>
    </w:p>
    <w:p w14:paraId="545D98F1"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table provided below shows the average coefficients by theme, ranked from the theme found to have the highest impact to the lowest impact on the physical activity scores. It was found that the themes of Health, Economy and presence of Vulnerable Groups were the top three biggest drivers of physical inactivity at an MSOA level. The themes which were found to have the least impact on physical activity levels were Population, Community and Environment, and Education and Skills. The below ranking of the average R2 coefficients were then used as the basis of developing an amount of weighting to apply to the average decile by theme when these were averaged to produce the overall weighted average decile (e.g. the physical inactivity score) for every LSOA. </w:t>
      </w:r>
    </w:p>
    <w:p w14:paraId="25C12A72"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average coefficient and weightings applied are provided in the table below:</w:t>
      </w:r>
    </w:p>
    <w:tbl>
      <w:tblPr>
        <w:tblStyle w:val="TableGrid"/>
        <w:tblW w:w="0" w:type="auto"/>
        <w:tblLook w:val="04A0" w:firstRow="1" w:lastRow="0" w:firstColumn="1" w:lastColumn="0" w:noHBand="0" w:noVBand="1"/>
      </w:tblPr>
      <w:tblGrid>
        <w:gridCol w:w="846"/>
        <w:gridCol w:w="3544"/>
        <w:gridCol w:w="2372"/>
        <w:gridCol w:w="2254"/>
      </w:tblGrid>
      <w:tr w:rsidR="003831BC" w:rsidRPr="00280067" w14:paraId="0DE64E86" w14:textId="77777777" w:rsidTr="00DA302A">
        <w:tc>
          <w:tcPr>
            <w:tcW w:w="846" w:type="dxa"/>
          </w:tcPr>
          <w:p w14:paraId="7E862988"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Rank</w:t>
            </w:r>
          </w:p>
        </w:tc>
        <w:tc>
          <w:tcPr>
            <w:tcW w:w="3544" w:type="dxa"/>
          </w:tcPr>
          <w:p w14:paraId="7BF4499A"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Theme</w:t>
            </w:r>
          </w:p>
        </w:tc>
        <w:tc>
          <w:tcPr>
            <w:tcW w:w="2372" w:type="dxa"/>
          </w:tcPr>
          <w:p w14:paraId="65B89B3E"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Average coefficient</w:t>
            </w:r>
          </w:p>
        </w:tc>
        <w:tc>
          <w:tcPr>
            <w:tcW w:w="2254" w:type="dxa"/>
          </w:tcPr>
          <w:p w14:paraId="762894ED"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Weighting applied</w:t>
            </w:r>
          </w:p>
        </w:tc>
      </w:tr>
      <w:tr w:rsidR="003831BC" w:rsidRPr="00280067" w14:paraId="1067B023" w14:textId="77777777" w:rsidTr="00DA302A">
        <w:tc>
          <w:tcPr>
            <w:tcW w:w="846" w:type="dxa"/>
          </w:tcPr>
          <w:p w14:paraId="575F190F"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w:t>
            </w:r>
          </w:p>
        </w:tc>
        <w:tc>
          <w:tcPr>
            <w:tcW w:w="3544" w:type="dxa"/>
          </w:tcPr>
          <w:p w14:paraId="76513EFF"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Health</w:t>
            </w:r>
          </w:p>
        </w:tc>
        <w:tc>
          <w:tcPr>
            <w:tcW w:w="2372" w:type="dxa"/>
          </w:tcPr>
          <w:p w14:paraId="25EAA1B8"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0.170406924</w:t>
            </w:r>
          </w:p>
        </w:tc>
        <w:tc>
          <w:tcPr>
            <w:tcW w:w="2254" w:type="dxa"/>
          </w:tcPr>
          <w:p w14:paraId="354AC4AB"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3</w:t>
            </w:r>
          </w:p>
        </w:tc>
      </w:tr>
      <w:tr w:rsidR="003831BC" w:rsidRPr="00280067" w14:paraId="746F11F6" w14:textId="77777777" w:rsidTr="00DA302A">
        <w:tc>
          <w:tcPr>
            <w:tcW w:w="846" w:type="dxa"/>
          </w:tcPr>
          <w:p w14:paraId="74DCE449"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2</w:t>
            </w:r>
          </w:p>
        </w:tc>
        <w:tc>
          <w:tcPr>
            <w:tcW w:w="3544" w:type="dxa"/>
          </w:tcPr>
          <w:p w14:paraId="592EBFDA"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Economy</w:t>
            </w:r>
          </w:p>
        </w:tc>
        <w:tc>
          <w:tcPr>
            <w:tcW w:w="2372" w:type="dxa"/>
          </w:tcPr>
          <w:p w14:paraId="7182E76F"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0.022662018</w:t>
            </w:r>
          </w:p>
        </w:tc>
        <w:tc>
          <w:tcPr>
            <w:tcW w:w="2254" w:type="dxa"/>
          </w:tcPr>
          <w:p w14:paraId="45F573FA"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2</w:t>
            </w:r>
          </w:p>
        </w:tc>
      </w:tr>
      <w:tr w:rsidR="003831BC" w:rsidRPr="00280067" w14:paraId="43B57BB8" w14:textId="77777777" w:rsidTr="00DA302A">
        <w:tc>
          <w:tcPr>
            <w:tcW w:w="846" w:type="dxa"/>
          </w:tcPr>
          <w:p w14:paraId="641109E5"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3</w:t>
            </w:r>
          </w:p>
        </w:tc>
        <w:tc>
          <w:tcPr>
            <w:tcW w:w="3544" w:type="dxa"/>
          </w:tcPr>
          <w:p w14:paraId="7CB57605"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Vulnerable groups</w:t>
            </w:r>
          </w:p>
        </w:tc>
        <w:tc>
          <w:tcPr>
            <w:tcW w:w="2372" w:type="dxa"/>
          </w:tcPr>
          <w:p w14:paraId="587DAA3B"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0.009185299</w:t>
            </w:r>
          </w:p>
        </w:tc>
        <w:tc>
          <w:tcPr>
            <w:tcW w:w="2254" w:type="dxa"/>
          </w:tcPr>
          <w:p w14:paraId="67F8828E"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1.6</w:t>
            </w:r>
          </w:p>
        </w:tc>
      </w:tr>
      <w:tr w:rsidR="003831BC" w:rsidRPr="00280067" w14:paraId="70A64997" w14:textId="77777777" w:rsidTr="00DA302A">
        <w:tc>
          <w:tcPr>
            <w:tcW w:w="846" w:type="dxa"/>
          </w:tcPr>
          <w:p w14:paraId="24581E88"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4</w:t>
            </w:r>
          </w:p>
        </w:tc>
        <w:tc>
          <w:tcPr>
            <w:tcW w:w="3544" w:type="dxa"/>
          </w:tcPr>
          <w:p w14:paraId="63981554"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Active lives</w:t>
            </w:r>
          </w:p>
        </w:tc>
        <w:tc>
          <w:tcPr>
            <w:tcW w:w="2372" w:type="dxa"/>
          </w:tcPr>
          <w:p w14:paraId="5C77341F"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0.007342285</w:t>
            </w:r>
          </w:p>
        </w:tc>
        <w:tc>
          <w:tcPr>
            <w:tcW w:w="2254" w:type="dxa"/>
          </w:tcPr>
          <w:p w14:paraId="641765B9"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1.4</w:t>
            </w:r>
          </w:p>
        </w:tc>
      </w:tr>
      <w:tr w:rsidR="003831BC" w:rsidRPr="00280067" w14:paraId="7AF91B30" w14:textId="77777777" w:rsidTr="00DA302A">
        <w:tc>
          <w:tcPr>
            <w:tcW w:w="846" w:type="dxa"/>
          </w:tcPr>
          <w:p w14:paraId="36620876"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5</w:t>
            </w:r>
          </w:p>
        </w:tc>
        <w:tc>
          <w:tcPr>
            <w:tcW w:w="3544" w:type="dxa"/>
          </w:tcPr>
          <w:p w14:paraId="69EB7234"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Crime</w:t>
            </w:r>
          </w:p>
        </w:tc>
        <w:tc>
          <w:tcPr>
            <w:tcW w:w="2372" w:type="dxa"/>
          </w:tcPr>
          <w:p w14:paraId="08891ED8"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0.004904315</w:t>
            </w:r>
          </w:p>
        </w:tc>
        <w:tc>
          <w:tcPr>
            <w:tcW w:w="2254" w:type="dxa"/>
          </w:tcPr>
          <w:p w14:paraId="0F70F1CE"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w:t>
            </w:r>
          </w:p>
        </w:tc>
      </w:tr>
      <w:tr w:rsidR="003831BC" w:rsidRPr="00280067" w14:paraId="36B0A26B" w14:textId="77777777" w:rsidTr="00DA302A">
        <w:tc>
          <w:tcPr>
            <w:tcW w:w="846" w:type="dxa"/>
          </w:tcPr>
          <w:p w14:paraId="4194F8D9"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6</w:t>
            </w:r>
          </w:p>
        </w:tc>
        <w:tc>
          <w:tcPr>
            <w:tcW w:w="3544" w:type="dxa"/>
          </w:tcPr>
          <w:p w14:paraId="0B1B72C7"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Access</w:t>
            </w:r>
          </w:p>
        </w:tc>
        <w:tc>
          <w:tcPr>
            <w:tcW w:w="2372" w:type="dxa"/>
          </w:tcPr>
          <w:p w14:paraId="370EFCE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-0.011695172</w:t>
            </w:r>
          </w:p>
        </w:tc>
        <w:tc>
          <w:tcPr>
            <w:tcW w:w="2254" w:type="dxa"/>
          </w:tcPr>
          <w:p w14:paraId="5508339B"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w:t>
            </w:r>
          </w:p>
        </w:tc>
      </w:tr>
      <w:tr w:rsidR="003831BC" w:rsidRPr="00280067" w14:paraId="3961B8FB" w14:textId="77777777" w:rsidTr="00DA302A">
        <w:tc>
          <w:tcPr>
            <w:tcW w:w="846" w:type="dxa"/>
          </w:tcPr>
          <w:p w14:paraId="3153A5EF"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7</w:t>
            </w:r>
          </w:p>
        </w:tc>
        <w:tc>
          <w:tcPr>
            <w:tcW w:w="3544" w:type="dxa"/>
          </w:tcPr>
          <w:p w14:paraId="71118B1A"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Housing</w:t>
            </w:r>
          </w:p>
        </w:tc>
        <w:tc>
          <w:tcPr>
            <w:tcW w:w="2372" w:type="dxa"/>
          </w:tcPr>
          <w:p w14:paraId="49125703"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-0.009178436</w:t>
            </w:r>
          </w:p>
        </w:tc>
        <w:tc>
          <w:tcPr>
            <w:tcW w:w="2254" w:type="dxa"/>
          </w:tcPr>
          <w:p w14:paraId="5FA0DD96"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0.9</w:t>
            </w:r>
          </w:p>
        </w:tc>
      </w:tr>
      <w:tr w:rsidR="003831BC" w:rsidRPr="00280067" w14:paraId="69012CD3" w14:textId="77777777" w:rsidTr="00DA302A">
        <w:tc>
          <w:tcPr>
            <w:tcW w:w="846" w:type="dxa"/>
          </w:tcPr>
          <w:p w14:paraId="750247D4"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8</w:t>
            </w:r>
          </w:p>
        </w:tc>
        <w:tc>
          <w:tcPr>
            <w:tcW w:w="3544" w:type="dxa"/>
          </w:tcPr>
          <w:p w14:paraId="738A7744"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Education</w:t>
            </w:r>
          </w:p>
        </w:tc>
        <w:tc>
          <w:tcPr>
            <w:tcW w:w="2372" w:type="dxa"/>
          </w:tcPr>
          <w:p w14:paraId="220E513C"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-0.008926532</w:t>
            </w:r>
          </w:p>
        </w:tc>
        <w:tc>
          <w:tcPr>
            <w:tcW w:w="2254" w:type="dxa"/>
          </w:tcPr>
          <w:p w14:paraId="1A4F231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0.75</w:t>
            </w:r>
          </w:p>
        </w:tc>
      </w:tr>
      <w:tr w:rsidR="003831BC" w:rsidRPr="00280067" w14:paraId="4DB3E6F7" w14:textId="77777777" w:rsidTr="00DA302A">
        <w:tc>
          <w:tcPr>
            <w:tcW w:w="846" w:type="dxa"/>
          </w:tcPr>
          <w:p w14:paraId="6D2178D6"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9</w:t>
            </w:r>
          </w:p>
        </w:tc>
        <w:tc>
          <w:tcPr>
            <w:tcW w:w="3544" w:type="dxa"/>
          </w:tcPr>
          <w:p w14:paraId="38258FF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Community</w:t>
            </w:r>
          </w:p>
        </w:tc>
        <w:tc>
          <w:tcPr>
            <w:tcW w:w="2372" w:type="dxa"/>
          </w:tcPr>
          <w:p w14:paraId="14100777"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-0.004677807</w:t>
            </w:r>
          </w:p>
        </w:tc>
        <w:tc>
          <w:tcPr>
            <w:tcW w:w="2254" w:type="dxa"/>
          </w:tcPr>
          <w:p w14:paraId="45FB1DD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0.5</w:t>
            </w:r>
          </w:p>
        </w:tc>
      </w:tr>
      <w:tr w:rsidR="003831BC" w:rsidRPr="00280067" w14:paraId="625559C5" w14:textId="77777777" w:rsidTr="00DA302A">
        <w:tc>
          <w:tcPr>
            <w:tcW w:w="846" w:type="dxa"/>
          </w:tcPr>
          <w:p w14:paraId="09B07E3B"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10</w:t>
            </w:r>
          </w:p>
        </w:tc>
        <w:tc>
          <w:tcPr>
            <w:tcW w:w="3544" w:type="dxa"/>
          </w:tcPr>
          <w:p w14:paraId="52E7518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Population</w:t>
            </w:r>
          </w:p>
        </w:tc>
        <w:tc>
          <w:tcPr>
            <w:tcW w:w="2372" w:type="dxa"/>
          </w:tcPr>
          <w:p w14:paraId="0F2ECB49"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-0.001078081</w:t>
            </w:r>
          </w:p>
        </w:tc>
        <w:tc>
          <w:tcPr>
            <w:tcW w:w="2254" w:type="dxa"/>
          </w:tcPr>
          <w:p w14:paraId="113967F2" w14:textId="77777777" w:rsidR="003831BC" w:rsidRPr="00280067" w:rsidRDefault="003831BC" w:rsidP="00DA302A">
            <w:pPr>
              <w:jc w:val="both"/>
              <w:rPr>
                <w:rFonts w:ascii="Century Gothic" w:hAnsi="Century Gothic"/>
                <w:sz w:val="22"/>
                <w:szCs w:val="22"/>
              </w:rPr>
            </w:pPr>
            <w:r w:rsidRPr="00280067">
              <w:rPr>
                <w:rFonts w:ascii="Century Gothic" w:hAnsi="Century Gothic"/>
                <w:sz w:val="22"/>
                <w:szCs w:val="22"/>
              </w:rPr>
              <w:t>0.25</w:t>
            </w:r>
          </w:p>
        </w:tc>
      </w:tr>
    </w:tbl>
    <w:p w14:paraId="7F61D6DE" w14:textId="77777777" w:rsidR="003831BC" w:rsidRPr="00280067" w:rsidRDefault="003831BC" w:rsidP="003831BC">
      <w:pPr>
        <w:jc w:val="both"/>
        <w:rPr>
          <w:rFonts w:ascii="Century Gothic" w:hAnsi="Century Gothic"/>
          <w:i/>
          <w:iCs/>
          <w:sz w:val="22"/>
          <w:szCs w:val="22"/>
        </w:rPr>
      </w:pPr>
      <w:r w:rsidRPr="00280067">
        <w:rPr>
          <w:rFonts w:ascii="Century Gothic" w:hAnsi="Century Gothic"/>
          <w:i/>
          <w:iCs/>
          <w:sz w:val="22"/>
          <w:szCs w:val="22"/>
        </w:rPr>
        <w:t>Model adjusted R-square: 0.97</w:t>
      </w:r>
    </w:p>
    <w:p w14:paraId="677D0FF6"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872 LSOAs across Essex were then ranked according to the overall weighted average decile, to show the relative levels of physical inactivity present from most to least at risk of being inactive. </w:t>
      </w:r>
    </w:p>
    <w:p w14:paraId="43DA4063"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table below shows the ten areas with the top 10 lowest overall weighted average scores. </w:t>
      </w:r>
      <w:proofErr w:type="gramStart"/>
      <w:r w:rsidRPr="00280067">
        <w:rPr>
          <w:rFonts w:ascii="Century Gothic" w:hAnsi="Century Gothic"/>
          <w:sz w:val="22"/>
          <w:szCs w:val="22"/>
        </w:rPr>
        <w:t>All of</w:t>
      </w:r>
      <w:proofErr w:type="gramEnd"/>
      <w:r w:rsidRPr="00280067">
        <w:rPr>
          <w:rFonts w:ascii="Century Gothic" w:hAnsi="Century Gothic"/>
          <w:sz w:val="22"/>
          <w:szCs w:val="22"/>
        </w:rPr>
        <w:t xml:space="preserve"> these areas are ELDP target LSOAs within the ELDP target districts, with nine of these LSOAs located in Tendring and the tenth-placed LSOA found in central Basildon.</w:t>
      </w:r>
    </w:p>
    <w:p w14:paraId="26E4DEA6" w14:textId="77777777" w:rsidR="003831BC" w:rsidRPr="00280067" w:rsidRDefault="003831BC" w:rsidP="003831BC">
      <w:pPr>
        <w:jc w:val="both"/>
        <w:rPr>
          <w:rFonts w:ascii="Century Gothic" w:hAnsi="Century Gothic"/>
          <w:noProof/>
          <w:sz w:val="22"/>
          <w:szCs w:val="22"/>
        </w:rPr>
      </w:pPr>
      <w:r w:rsidRPr="00280067">
        <w:rPr>
          <w:rFonts w:ascii="Century Gothic" w:hAnsi="Century Gothic"/>
          <w:noProof/>
          <w:sz w:val="22"/>
          <w:szCs w:val="22"/>
        </w:rPr>
        <w:t>More information on the scores by theme are provided in the next section of the report.</w:t>
      </w:r>
    </w:p>
    <w:p w14:paraId="353E4120" w14:textId="77777777" w:rsidR="003831BC" w:rsidRDefault="003831BC" w:rsidP="003831BC">
      <w:pPr>
        <w:jc w:val="both"/>
        <w:rPr>
          <w:rFonts w:ascii="Century Gothic" w:hAnsi="Century Gothic"/>
          <w:sz w:val="22"/>
          <w:szCs w:val="22"/>
        </w:rPr>
      </w:pPr>
      <w:r w:rsidRPr="00280067">
        <w:rPr>
          <w:rFonts w:ascii="Century Gothic" w:hAnsi="Century Gothic"/>
          <w:sz w:val="22"/>
          <w:szCs w:val="22"/>
        </w:rPr>
        <w:t>These 10 LSOAs with the lowest overall weighted average (e.g. likely to be most inactive) score consistently low for presence of vulnerable groups, education and skills and health. There are also some extremes in crime and population with some areas scoring as low as decile 1, while others perform relatively better.</w:t>
      </w:r>
    </w:p>
    <w:p w14:paraId="305532A8" w14:textId="77777777" w:rsidR="003831BC" w:rsidRDefault="003831BC" w:rsidP="003831BC">
      <w:pPr>
        <w:jc w:val="both"/>
        <w:rPr>
          <w:rFonts w:ascii="Century Gothic" w:hAnsi="Century Gothic"/>
          <w:sz w:val="22"/>
          <w:szCs w:val="22"/>
        </w:rPr>
      </w:pPr>
    </w:p>
    <w:p w14:paraId="4F851C30" w14:textId="77777777" w:rsidR="003831BC" w:rsidRPr="00280067" w:rsidRDefault="003831BC" w:rsidP="003831BC">
      <w:pPr>
        <w:jc w:val="both"/>
        <w:rPr>
          <w:rFonts w:ascii="Century Gothic" w:hAnsi="Century Gothic"/>
          <w:sz w:val="22"/>
          <w:szCs w:val="22"/>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307"/>
        <w:gridCol w:w="693"/>
        <w:gridCol w:w="480"/>
        <w:gridCol w:w="645"/>
        <w:gridCol w:w="494"/>
        <w:gridCol w:w="867"/>
        <w:gridCol w:w="519"/>
        <w:gridCol w:w="520"/>
        <w:gridCol w:w="693"/>
        <w:gridCol w:w="693"/>
        <w:gridCol w:w="693"/>
        <w:gridCol w:w="693"/>
        <w:gridCol w:w="693"/>
      </w:tblGrid>
      <w:tr w:rsidR="003831BC" w:rsidRPr="00BA313B" w14:paraId="6790036A" w14:textId="77777777" w:rsidTr="00DA302A">
        <w:trPr>
          <w:cantSplit/>
          <w:trHeight w:val="1151"/>
        </w:trPr>
        <w:tc>
          <w:tcPr>
            <w:tcW w:w="595" w:type="dxa"/>
            <w:shd w:val="clear" w:color="auto" w:fill="auto"/>
            <w:noWrap/>
            <w:textDirection w:val="btLr"/>
            <w:hideMark/>
          </w:tcPr>
          <w:p w14:paraId="40975061"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Weighted average rank</w:t>
            </w:r>
          </w:p>
        </w:tc>
        <w:tc>
          <w:tcPr>
            <w:tcW w:w="1307" w:type="dxa"/>
            <w:shd w:val="clear" w:color="auto" w:fill="auto"/>
            <w:noWrap/>
            <w:textDirection w:val="btLr"/>
            <w:hideMark/>
          </w:tcPr>
          <w:p w14:paraId="07F36525"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LSOA Name</w:t>
            </w:r>
          </w:p>
        </w:tc>
        <w:tc>
          <w:tcPr>
            <w:tcW w:w="693" w:type="dxa"/>
            <w:shd w:val="clear" w:color="auto" w:fill="auto"/>
            <w:noWrap/>
            <w:textDirection w:val="btLr"/>
            <w:hideMark/>
          </w:tcPr>
          <w:p w14:paraId="1F7BEFFF"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IMD 2019 decile</w:t>
            </w:r>
          </w:p>
        </w:tc>
        <w:tc>
          <w:tcPr>
            <w:tcW w:w="504" w:type="dxa"/>
            <w:textDirection w:val="btLr"/>
          </w:tcPr>
          <w:p w14:paraId="70B2BBE9"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Weighted average</w:t>
            </w:r>
          </w:p>
        </w:tc>
        <w:tc>
          <w:tcPr>
            <w:tcW w:w="645" w:type="dxa"/>
            <w:shd w:val="clear" w:color="auto" w:fill="F2F2F2" w:themeFill="background1" w:themeFillShade="F2"/>
            <w:noWrap/>
            <w:textDirection w:val="btLr"/>
            <w:hideMark/>
          </w:tcPr>
          <w:p w14:paraId="13DFD547"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Access &amp; transport Average</w:t>
            </w:r>
          </w:p>
        </w:tc>
        <w:tc>
          <w:tcPr>
            <w:tcW w:w="470" w:type="dxa"/>
            <w:shd w:val="clear" w:color="auto" w:fill="F2F2F2" w:themeFill="background1" w:themeFillShade="F2"/>
            <w:noWrap/>
            <w:textDirection w:val="btLr"/>
            <w:hideMark/>
          </w:tcPr>
          <w:p w14:paraId="0D05D38C"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Active Lives Average</w:t>
            </w:r>
          </w:p>
        </w:tc>
        <w:tc>
          <w:tcPr>
            <w:tcW w:w="867" w:type="dxa"/>
            <w:shd w:val="clear" w:color="auto" w:fill="F2F2F2" w:themeFill="background1" w:themeFillShade="F2"/>
            <w:noWrap/>
            <w:textDirection w:val="btLr"/>
            <w:hideMark/>
          </w:tcPr>
          <w:p w14:paraId="339151AA"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Communities &amp; Environment Average</w:t>
            </w:r>
          </w:p>
        </w:tc>
        <w:tc>
          <w:tcPr>
            <w:tcW w:w="519" w:type="dxa"/>
            <w:shd w:val="clear" w:color="auto" w:fill="F2F2F2" w:themeFill="background1" w:themeFillShade="F2"/>
            <w:noWrap/>
            <w:textDirection w:val="btLr"/>
            <w:hideMark/>
          </w:tcPr>
          <w:p w14:paraId="68F6BC40"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Crime Average</w:t>
            </w:r>
          </w:p>
        </w:tc>
        <w:tc>
          <w:tcPr>
            <w:tcW w:w="520" w:type="dxa"/>
            <w:shd w:val="clear" w:color="auto" w:fill="F2F2F2" w:themeFill="background1" w:themeFillShade="F2"/>
            <w:noWrap/>
            <w:textDirection w:val="btLr"/>
            <w:hideMark/>
          </w:tcPr>
          <w:p w14:paraId="5CA0C6C1"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Economy Average</w:t>
            </w:r>
          </w:p>
        </w:tc>
        <w:tc>
          <w:tcPr>
            <w:tcW w:w="693" w:type="dxa"/>
            <w:shd w:val="clear" w:color="auto" w:fill="F2F2F2" w:themeFill="background1" w:themeFillShade="F2"/>
            <w:noWrap/>
            <w:textDirection w:val="btLr"/>
            <w:hideMark/>
          </w:tcPr>
          <w:p w14:paraId="1EF5BC59"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Education &amp; Skills Average</w:t>
            </w:r>
          </w:p>
        </w:tc>
        <w:tc>
          <w:tcPr>
            <w:tcW w:w="693" w:type="dxa"/>
            <w:shd w:val="clear" w:color="auto" w:fill="F2F2F2" w:themeFill="background1" w:themeFillShade="F2"/>
            <w:noWrap/>
            <w:textDirection w:val="btLr"/>
            <w:hideMark/>
          </w:tcPr>
          <w:p w14:paraId="54475AD4"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Health Average</w:t>
            </w:r>
          </w:p>
        </w:tc>
        <w:tc>
          <w:tcPr>
            <w:tcW w:w="693" w:type="dxa"/>
            <w:shd w:val="clear" w:color="auto" w:fill="F2F2F2" w:themeFill="background1" w:themeFillShade="F2"/>
            <w:noWrap/>
            <w:textDirection w:val="btLr"/>
            <w:hideMark/>
          </w:tcPr>
          <w:p w14:paraId="50744F35"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Housing Average</w:t>
            </w:r>
          </w:p>
        </w:tc>
        <w:tc>
          <w:tcPr>
            <w:tcW w:w="693" w:type="dxa"/>
            <w:shd w:val="clear" w:color="auto" w:fill="F2F2F2" w:themeFill="background1" w:themeFillShade="F2"/>
            <w:noWrap/>
            <w:textDirection w:val="btLr"/>
            <w:hideMark/>
          </w:tcPr>
          <w:p w14:paraId="190F7614"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Population Average</w:t>
            </w:r>
          </w:p>
        </w:tc>
        <w:tc>
          <w:tcPr>
            <w:tcW w:w="693" w:type="dxa"/>
            <w:shd w:val="clear" w:color="auto" w:fill="F2F2F2" w:themeFill="background1" w:themeFillShade="F2"/>
            <w:noWrap/>
            <w:textDirection w:val="btLr"/>
            <w:hideMark/>
          </w:tcPr>
          <w:p w14:paraId="01319E3C"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Vulnerable Groups Average</w:t>
            </w:r>
          </w:p>
        </w:tc>
      </w:tr>
      <w:tr w:rsidR="003831BC" w:rsidRPr="00BA313B" w14:paraId="192BE314" w14:textId="77777777" w:rsidTr="00DA302A">
        <w:trPr>
          <w:trHeight w:val="292"/>
        </w:trPr>
        <w:tc>
          <w:tcPr>
            <w:tcW w:w="595" w:type="dxa"/>
            <w:shd w:val="clear" w:color="auto" w:fill="auto"/>
            <w:noWrap/>
            <w:vAlign w:val="bottom"/>
            <w:hideMark/>
          </w:tcPr>
          <w:p w14:paraId="1ADFEC60"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1307" w:type="dxa"/>
            <w:shd w:val="clear" w:color="auto" w:fill="auto"/>
            <w:noWrap/>
            <w:vAlign w:val="bottom"/>
            <w:hideMark/>
          </w:tcPr>
          <w:p w14:paraId="1B7BEF47"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018A</w:t>
            </w:r>
          </w:p>
        </w:tc>
        <w:tc>
          <w:tcPr>
            <w:tcW w:w="693" w:type="dxa"/>
            <w:shd w:val="clear" w:color="auto" w:fill="auto"/>
            <w:noWrap/>
            <w:vAlign w:val="bottom"/>
            <w:hideMark/>
          </w:tcPr>
          <w:p w14:paraId="7C972672"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4DAAD155"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4.0</w:t>
            </w:r>
          </w:p>
        </w:tc>
        <w:tc>
          <w:tcPr>
            <w:tcW w:w="645" w:type="dxa"/>
            <w:tcBorders>
              <w:top w:val="nil"/>
              <w:left w:val="nil"/>
              <w:bottom w:val="nil"/>
              <w:right w:val="nil"/>
            </w:tcBorders>
            <w:shd w:val="clear" w:color="000000" w:fill="FBAB77"/>
            <w:noWrap/>
            <w:vAlign w:val="bottom"/>
            <w:hideMark/>
          </w:tcPr>
          <w:p w14:paraId="2D2D95B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470" w:type="dxa"/>
            <w:tcBorders>
              <w:top w:val="nil"/>
              <w:left w:val="nil"/>
              <w:bottom w:val="nil"/>
              <w:right w:val="nil"/>
            </w:tcBorders>
            <w:shd w:val="clear" w:color="000000" w:fill="FCC37C"/>
            <w:noWrap/>
            <w:vAlign w:val="bottom"/>
            <w:hideMark/>
          </w:tcPr>
          <w:p w14:paraId="48D4DC7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DEB84"/>
            <w:noWrap/>
            <w:vAlign w:val="bottom"/>
            <w:hideMark/>
          </w:tcPr>
          <w:p w14:paraId="291B161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5.3</w:t>
            </w:r>
          </w:p>
        </w:tc>
        <w:tc>
          <w:tcPr>
            <w:tcW w:w="519" w:type="dxa"/>
            <w:tcBorders>
              <w:top w:val="nil"/>
              <w:left w:val="nil"/>
              <w:bottom w:val="nil"/>
              <w:right w:val="nil"/>
            </w:tcBorders>
            <w:shd w:val="clear" w:color="000000" w:fill="F8756D"/>
            <w:noWrap/>
            <w:vAlign w:val="bottom"/>
            <w:hideMark/>
          </w:tcPr>
          <w:p w14:paraId="0F2BBED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1.5</w:t>
            </w:r>
          </w:p>
        </w:tc>
        <w:tc>
          <w:tcPr>
            <w:tcW w:w="520" w:type="dxa"/>
            <w:tcBorders>
              <w:top w:val="nil"/>
              <w:left w:val="nil"/>
              <w:bottom w:val="nil"/>
              <w:right w:val="nil"/>
            </w:tcBorders>
            <w:shd w:val="clear" w:color="000000" w:fill="FCB679"/>
            <w:noWrap/>
            <w:vAlign w:val="bottom"/>
            <w:hideMark/>
          </w:tcPr>
          <w:p w14:paraId="1C45C87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98370"/>
            <w:noWrap/>
            <w:vAlign w:val="bottom"/>
            <w:hideMark/>
          </w:tcPr>
          <w:p w14:paraId="3C28BFE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2.0</w:t>
            </w:r>
          </w:p>
        </w:tc>
        <w:tc>
          <w:tcPr>
            <w:tcW w:w="693" w:type="dxa"/>
            <w:tcBorders>
              <w:top w:val="nil"/>
              <w:left w:val="nil"/>
              <w:bottom w:val="nil"/>
              <w:right w:val="nil"/>
            </w:tcBorders>
            <w:shd w:val="clear" w:color="000000" w:fill="FBA977"/>
            <w:noWrap/>
            <w:vAlign w:val="bottom"/>
            <w:hideMark/>
          </w:tcPr>
          <w:p w14:paraId="02568A4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693" w:type="dxa"/>
            <w:tcBorders>
              <w:top w:val="nil"/>
              <w:left w:val="nil"/>
              <w:bottom w:val="nil"/>
              <w:right w:val="nil"/>
            </w:tcBorders>
            <w:shd w:val="clear" w:color="000000" w:fill="FEE783"/>
            <w:noWrap/>
            <w:vAlign w:val="bottom"/>
            <w:hideMark/>
          </w:tcPr>
          <w:p w14:paraId="4D03E10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5.2</w:t>
            </w:r>
          </w:p>
        </w:tc>
        <w:tc>
          <w:tcPr>
            <w:tcW w:w="693" w:type="dxa"/>
            <w:tcBorders>
              <w:top w:val="nil"/>
              <w:left w:val="nil"/>
              <w:bottom w:val="nil"/>
              <w:right w:val="nil"/>
            </w:tcBorders>
            <w:shd w:val="clear" w:color="000000" w:fill="F8696B"/>
            <w:noWrap/>
            <w:vAlign w:val="bottom"/>
            <w:hideMark/>
          </w:tcPr>
          <w:p w14:paraId="28DD4AA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1.1</w:t>
            </w:r>
          </w:p>
        </w:tc>
        <w:tc>
          <w:tcPr>
            <w:tcW w:w="693" w:type="dxa"/>
            <w:tcBorders>
              <w:top w:val="nil"/>
              <w:left w:val="nil"/>
              <w:bottom w:val="nil"/>
              <w:right w:val="nil"/>
            </w:tcBorders>
            <w:shd w:val="clear" w:color="000000" w:fill="FA8E72"/>
            <w:noWrap/>
            <w:vAlign w:val="bottom"/>
            <w:hideMark/>
          </w:tcPr>
          <w:p w14:paraId="4C84AE9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2.3</w:t>
            </w:r>
          </w:p>
        </w:tc>
      </w:tr>
      <w:tr w:rsidR="003831BC" w:rsidRPr="00BA313B" w14:paraId="2D57AF8D" w14:textId="77777777" w:rsidTr="00DA302A">
        <w:trPr>
          <w:trHeight w:val="292"/>
        </w:trPr>
        <w:tc>
          <w:tcPr>
            <w:tcW w:w="595" w:type="dxa"/>
            <w:shd w:val="clear" w:color="auto" w:fill="auto"/>
            <w:noWrap/>
            <w:vAlign w:val="bottom"/>
            <w:hideMark/>
          </w:tcPr>
          <w:p w14:paraId="43B33D86"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2</w:t>
            </w:r>
          </w:p>
        </w:tc>
        <w:tc>
          <w:tcPr>
            <w:tcW w:w="1307" w:type="dxa"/>
            <w:shd w:val="clear" w:color="auto" w:fill="auto"/>
            <w:noWrap/>
            <w:vAlign w:val="bottom"/>
            <w:hideMark/>
          </w:tcPr>
          <w:p w14:paraId="4E4C0D8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018D</w:t>
            </w:r>
          </w:p>
        </w:tc>
        <w:tc>
          <w:tcPr>
            <w:tcW w:w="693" w:type="dxa"/>
            <w:shd w:val="clear" w:color="auto" w:fill="auto"/>
            <w:noWrap/>
            <w:vAlign w:val="bottom"/>
            <w:hideMark/>
          </w:tcPr>
          <w:p w14:paraId="56B0CC30"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579631D7"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4.3</w:t>
            </w:r>
          </w:p>
        </w:tc>
        <w:tc>
          <w:tcPr>
            <w:tcW w:w="645" w:type="dxa"/>
            <w:tcBorders>
              <w:top w:val="nil"/>
              <w:left w:val="nil"/>
              <w:bottom w:val="nil"/>
              <w:right w:val="nil"/>
            </w:tcBorders>
            <w:shd w:val="clear" w:color="000000" w:fill="FBAD78"/>
            <w:noWrap/>
            <w:vAlign w:val="bottom"/>
            <w:hideMark/>
          </w:tcPr>
          <w:p w14:paraId="3802EE3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3.3</w:t>
            </w:r>
          </w:p>
        </w:tc>
        <w:tc>
          <w:tcPr>
            <w:tcW w:w="470" w:type="dxa"/>
            <w:tcBorders>
              <w:top w:val="nil"/>
              <w:left w:val="nil"/>
              <w:bottom w:val="nil"/>
              <w:right w:val="nil"/>
            </w:tcBorders>
            <w:shd w:val="clear" w:color="000000" w:fill="FCC37C"/>
            <w:noWrap/>
            <w:vAlign w:val="bottom"/>
            <w:hideMark/>
          </w:tcPr>
          <w:p w14:paraId="637A213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DCA7D"/>
            <w:noWrap/>
            <w:vAlign w:val="bottom"/>
            <w:hideMark/>
          </w:tcPr>
          <w:p w14:paraId="5F58A49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4.2</w:t>
            </w:r>
          </w:p>
        </w:tc>
        <w:tc>
          <w:tcPr>
            <w:tcW w:w="519" w:type="dxa"/>
            <w:tcBorders>
              <w:top w:val="nil"/>
              <w:left w:val="nil"/>
              <w:bottom w:val="nil"/>
              <w:right w:val="nil"/>
            </w:tcBorders>
            <w:shd w:val="clear" w:color="000000" w:fill="F98971"/>
            <w:noWrap/>
            <w:vAlign w:val="bottom"/>
            <w:hideMark/>
          </w:tcPr>
          <w:p w14:paraId="66AE8FB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2.1</w:t>
            </w:r>
          </w:p>
        </w:tc>
        <w:tc>
          <w:tcPr>
            <w:tcW w:w="520" w:type="dxa"/>
            <w:tcBorders>
              <w:top w:val="nil"/>
              <w:left w:val="nil"/>
              <w:bottom w:val="nil"/>
              <w:right w:val="nil"/>
            </w:tcBorders>
            <w:shd w:val="clear" w:color="000000" w:fill="FCBB7A"/>
            <w:noWrap/>
            <w:vAlign w:val="bottom"/>
            <w:hideMark/>
          </w:tcPr>
          <w:p w14:paraId="51CB4F8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693" w:type="dxa"/>
            <w:tcBorders>
              <w:top w:val="nil"/>
              <w:left w:val="nil"/>
              <w:bottom w:val="nil"/>
              <w:right w:val="nil"/>
            </w:tcBorders>
            <w:shd w:val="clear" w:color="000000" w:fill="FBB178"/>
            <w:noWrap/>
            <w:vAlign w:val="bottom"/>
            <w:hideMark/>
          </w:tcPr>
          <w:p w14:paraId="7FB763F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3.4</w:t>
            </w:r>
          </w:p>
        </w:tc>
        <w:tc>
          <w:tcPr>
            <w:tcW w:w="693" w:type="dxa"/>
            <w:tcBorders>
              <w:top w:val="nil"/>
              <w:left w:val="nil"/>
              <w:bottom w:val="nil"/>
              <w:right w:val="nil"/>
            </w:tcBorders>
            <w:shd w:val="clear" w:color="000000" w:fill="FBA977"/>
            <w:noWrap/>
            <w:vAlign w:val="bottom"/>
            <w:hideMark/>
          </w:tcPr>
          <w:p w14:paraId="39828D6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693" w:type="dxa"/>
            <w:tcBorders>
              <w:top w:val="nil"/>
              <w:left w:val="nil"/>
              <w:bottom w:val="nil"/>
              <w:right w:val="nil"/>
            </w:tcBorders>
            <w:shd w:val="clear" w:color="000000" w:fill="FEDD81"/>
            <w:noWrap/>
            <w:vAlign w:val="bottom"/>
            <w:hideMark/>
          </w:tcPr>
          <w:p w14:paraId="6076F1A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4.8</w:t>
            </w:r>
          </w:p>
        </w:tc>
        <w:tc>
          <w:tcPr>
            <w:tcW w:w="693" w:type="dxa"/>
            <w:tcBorders>
              <w:top w:val="nil"/>
              <w:left w:val="nil"/>
              <w:bottom w:val="nil"/>
              <w:right w:val="nil"/>
            </w:tcBorders>
            <w:shd w:val="clear" w:color="000000" w:fill="DCE182"/>
            <w:noWrap/>
            <w:vAlign w:val="bottom"/>
            <w:hideMark/>
          </w:tcPr>
          <w:p w14:paraId="4E21293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6.2</w:t>
            </w:r>
          </w:p>
        </w:tc>
        <w:tc>
          <w:tcPr>
            <w:tcW w:w="693" w:type="dxa"/>
            <w:tcBorders>
              <w:top w:val="nil"/>
              <w:left w:val="nil"/>
              <w:bottom w:val="nil"/>
              <w:right w:val="nil"/>
            </w:tcBorders>
            <w:shd w:val="clear" w:color="000000" w:fill="FA9E75"/>
            <w:noWrap/>
            <w:vAlign w:val="bottom"/>
            <w:hideMark/>
          </w:tcPr>
          <w:p w14:paraId="69383BB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2.8</w:t>
            </w:r>
          </w:p>
        </w:tc>
      </w:tr>
      <w:tr w:rsidR="003831BC" w:rsidRPr="00BA313B" w14:paraId="3D9EADC1" w14:textId="77777777" w:rsidTr="00DA302A">
        <w:trPr>
          <w:trHeight w:val="292"/>
        </w:trPr>
        <w:tc>
          <w:tcPr>
            <w:tcW w:w="595" w:type="dxa"/>
            <w:shd w:val="clear" w:color="auto" w:fill="auto"/>
            <w:noWrap/>
            <w:vAlign w:val="bottom"/>
            <w:hideMark/>
          </w:tcPr>
          <w:p w14:paraId="17F6866C"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3</w:t>
            </w:r>
          </w:p>
        </w:tc>
        <w:tc>
          <w:tcPr>
            <w:tcW w:w="1307" w:type="dxa"/>
            <w:shd w:val="clear" w:color="auto" w:fill="auto"/>
            <w:noWrap/>
            <w:vAlign w:val="bottom"/>
            <w:hideMark/>
          </w:tcPr>
          <w:p w14:paraId="678F9AAC"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015D</w:t>
            </w:r>
          </w:p>
        </w:tc>
        <w:tc>
          <w:tcPr>
            <w:tcW w:w="693" w:type="dxa"/>
            <w:shd w:val="clear" w:color="auto" w:fill="auto"/>
            <w:noWrap/>
            <w:vAlign w:val="bottom"/>
            <w:hideMark/>
          </w:tcPr>
          <w:p w14:paraId="0B2DB698"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73C28D3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4.5</w:t>
            </w:r>
          </w:p>
        </w:tc>
        <w:tc>
          <w:tcPr>
            <w:tcW w:w="645" w:type="dxa"/>
            <w:tcBorders>
              <w:top w:val="nil"/>
              <w:left w:val="nil"/>
              <w:bottom w:val="nil"/>
              <w:right w:val="nil"/>
            </w:tcBorders>
            <w:shd w:val="clear" w:color="000000" w:fill="FDCF7E"/>
            <w:noWrap/>
            <w:vAlign w:val="bottom"/>
            <w:hideMark/>
          </w:tcPr>
          <w:p w14:paraId="09B0EA2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4.4</w:t>
            </w:r>
          </w:p>
        </w:tc>
        <w:tc>
          <w:tcPr>
            <w:tcW w:w="470" w:type="dxa"/>
            <w:tcBorders>
              <w:top w:val="nil"/>
              <w:left w:val="nil"/>
              <w:bottom w:val="nil"/>
              <w:right w:val="nil"/>
            </w:tcBorders>
            <w:shd w:val="clear" w:color="000000" w:fill="FCC37C"/>
            <w:noWrap/>
            <w:vAlign w:val="bottom"/>
            <w:hideMark/>
          </w:tcPr>
          <w:p w14:paraId="6312916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EE182"/>
            <w:noWrap/>
            <w:vAlign w:val="bottom"/>
            <w:hideMark/>
          </w:tcPr>
          <w:p w14:paraId="5A6237E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5.0</w:t>
            </w:r>
          </w:p>
        </w:tc>
        <w:tc>
          <w:tcPr>
            <w:tcW w:w="519" w:type="dxa"/>
            <w:tcBorders>
              <w:top w:val="nil"/>
              <w:left w:val="nil"/>
              <w:bottom w:val="nil"/>
              <w:right w:val="nil"/>
            </w:tcBorders>
            <w:shd w:val="clear" w:color="000000" w:fill="F98B71"/>
            <w:noWrap/>
            <w:vAlign w:val="bottom"/>
            <w:hideMark/>
          </w:tcPr>
          <w:p w14:paraId="0508487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2.2</w:t>
            </w:r>
          </w:p>
        </w:tc>
        <w:tc>
          <w:tcPr>
            <w:tcW w:w="520" w:type="dxa"/>
            <w:tcBorders>
              <w:top w:val="nil"/>
              <w:left w:val="nil"/>
              <w:bottom w:val="nil"/>
              <w:right w:val="nil"/>
            </w:tcBorders>
            <w:shd w:val="clear" w:color="000000" w:fill="FCB679"/>
            <w:noWrap/>
            <w:vAlign w:val="bottom"/>
            <w:hideMark/>
          </w:tcPr>
          <w:p w14:paraId="29D05D5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98870"/>
            <w:noWrap/>
            <w:vAlign w:val="bottom"/>
            <w:hideMark/>
          </w:tcPr>
          <w:p w14:paraId="3998915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2.1</w:t>
            </w:r>
          </w:p>
        </w:tc>
        <w:tc>
          <w:tcPr>
            <w:tcW w:w="693" w:type="dxa"/>
            <w:tcBorders>
              <w:top w:val="nil"/>
              <w:left w:val="nil"/>
              <w:bottom w:val="nil"/>
              <w:right w:val="nil"/>
            </w:tcBorders>
            <w:shd w:val="clear" w:color="000000" w:fill="FCB679"/>
            <w:noWrap/>
            <w:vAlign w:val="bottom"/>
            <w:hideMark/>
          </w:tcPr>
          <w:p w14:paraId="2D0D8BA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EE683"/>
            <w:noWrap/>
            <w:vAlign w:val="bottom"/>
            <w:hideMark/>
          </w:tcPr>
          <w:p w14:paraId="7BB4657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693" w:type="dxa"/>
            <w:tcBorders>
              <w:top w:val="nil"/>
              <w:left w:val="nil"/>
              <w:bottom w:val="nil"/>
              <w:right w:val="nil"/>
            </w:tcBorders>
            <w:shd w:val="clear" w:color="000000" w:fill="F8696B"/>
            <w:noWrap/>
            <w:vAlign w:val="bottom"/>
            <w:hideMark/>
          </w:tcPr>
          <w:p w14:paraId="52A50BC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1.1</w:t>
            </w:r>
          </w:p>
        </w:tc>
        <w:tc>
          <w:tcPr>
            <w:tcW w:w="693" w:type="dxa"/>
            <w:tcBorders>
              <w:top w:val="nil"/>
              <w:left w:val="nil"/>
              <w:bottom w:val="nil"/>
              <w:right w:val="nil"/>
            </w:tcBorders>
            <w:shd w:val="clear" w:color="000000" w:fill="FCBD7B"/>
            <w:noWrap/>
            <w:vAlign w:val="bottom"/>
            <w:hideMark/>
          </w:tcPr>
          <w:p w14:paraId="20C195D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r>
      <w:tr w:rsidR="003831BC" w:rsidRPr="00BA313B" w14:paraId="10011EE6" w14:textId="77777777" w:rsidTr="00DA302A">
        <w:trPr>
          <w:trHeight w:val="292"/>
        </w:trPr>
        <w:tc>
          <w:tcPr>
            <w:tcW w:w="595" w:type="dxa"/>
            <w:shd w:val="clear" w:color="auto" w:fill="auto"/>
            <w:noWrap/>
            <w:vAlign w:val="bottom"/>
            <w:hideMark/>
          </w:tcPr>
          <w:p w14:paraId="0B7C8BA0"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w:t>
            </w:r>
          </w:p>
        </w:tc>
        <w:tc>
          <w:tcPr>
            <w:tcW w:w="1307" w:type="dxa"/>
            <w:shd w:val="clear" w:color="auto" w:fill="auto"/>
            <w:noWrap/>
            <w:vAlign w:val="bottom"/>
            <w:hideMark/>
          </w:tcPr>
          <w:p w14:paraId="440529A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015C</w:t>
            </w:r>
          </w:p>
        </w:tc>
        <w:tc>
          <w:tcPr>
            <w:tcW w:w="693" w:type="dxa"/>
            <w:shd w:val="clear" w:color="auto" w:fill="auto"/>
            <w:noWrap/>
            <w:vAlign w:val="bottom"/>
            <w:hideMark/>
          </w:tcPr>
          <w:p w14:paraId="151CC6A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0BFE220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4.5</w:t>
            </w:r>
          </w:p>
        </w:tc>
        <w:tc>
          <w:tcPr>
            <w:tcW w:w="645" w:type="dxa"/>
            <w:tcBorders>
              <w:top w:val="nil"/>
              <w:left w:val="nil"/>
              <w:bottom w:val="nil"/>
              <w:right w:val="nil"/>
            </w:tcBorders>
            <w:shd w:val="clear" w:color="000000" w:fill="FCC57C"/>
            <w:noWrap/>
            <w:vAlign w:val="bottom"/>
            <w:hideMark/>
          </w:tcPr>
          <w:p w14:paraId="2F6D32B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4.1</w:t>
            </w:r>
          </w:p>
        </w:tc>
        <w:tc>
          <w:tcPr>
            <w:tcW w:w="470" w:type="dxa"/>
            <w:tcBorders>
              <w:top w:val="nil"/>
              <w:left w:val="nil"/>
              <w:bottom w:val="nil"/>
              <w:right w:val="nil"/>
            </w:tcBorders>
            <w:shd w:val="clear" w:color="000000" w:fill="FCC37C"/>
            <w:noWrap/>
            <w:vAlign w:val="bottom"/>
            <w:hideMark/>
          </w:tcPr>
          <w:p w14:paraId="0B3EDF0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ED880"/>
            <w:noWrap/>
            <w:vAlign w:val="bottom"/>
            <w:hideMark/>
          </w:tcPr>
          <w:p w14:paraId="05FF263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4.7</w:t>
            </w:r>
          </w:p>
        </w:tc>
        <w:tc>
          <w:tcPr>
            <w:tcW w:w="519" w:type="dxa"/>
            <w:tcBorders>
              <w:top w:val="nil"/>
              <w:left w:val="nil"/>
              <w:bottom w:val="nil"/>
              <w:right w:val="nil"/>
            </w:tcBorders>
            <w:shd w:val="clear" w:color="000000" w:fill="FEE482"/>
            <w:noWrap/>
            <w:vAlign w:val="bottom"/>
            <w:hideMark/>
          </w:tcPr>
          <w:p w14:paraId="286A3D4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520" w:type="dxa"/>
            <w:tcBorders>
              <w:top w:val="nil"/>
              <w:left w:val="nil"/>
              <w:bottom w:val="nil"/>
              <w:right w:val="nil"/>
            </w:tcBorders>
            <w:shd w:val="clear" w:color="000000" w:fill="FBA977"/>
            <w:noWrap/>
            <w:vAlign w:val="bottom"/>
            <w:hideMark/>
          </w:tcPr>
          <w:p w14:paraId="0EBD040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693" w:type="dxa"/>
            <w:tcBorders>
              <w:top w:val="nil"/>
              <w:left w:val="nil"/>
              <w:bottom w:val="nil"/>
              <w:right w:val="nil"/>
            </w:tcBorders>
            <w:shd w:val="clear" w:color="000000" w:fill="F98570"/>
            <w:noWrap/>
            <w:vAlign w:val="bottom"/>
            <w:hideMark/>
          </w:tcPr>
          <w:p w14:paraId="0450BF2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2.0</w:t>
            </w:r>
          </w:p>
        </w:tc>
        <w:tc>
          <w:tcPr>
            <w:tcW w:w="693" w:type="dxa"/>
            <w:tcBorders>
              <w:top w:val="nil"/>
              <w:left w:val="nil"/>
              <w:bottom w:val="nil"/>
              <w:right w:val="nil"/>
            </w:tcBorders>
            <w:shd w:val="clear" w:color="000000" w:fill="FCB579"/>
            <w:noWrap/>
            <w:vAlign w:val="bottom"/>
            <w:hideMark/>
          </w:tcPr>
          <w:p w14:paraId="28C2655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3.5</w:t>
            </w:r>
          </w:p>
        </w:tc>
        <w:tc>
          <w:tcPr>
            <w:tcW w:w="693" w:type="dxa"/>
            <w:tcBorders>
              <w:top w:val="nil"/>
              <w:left w:val="nil"/>
              <w:bottom w:val="nil"/>
              <w:right w:val="nil"/>
            </w:tcBorders>
            <w:shd w:val="clear" w:color="000000" w:fill="FEE983"/>
            <w:noWrap/>
            <w:vAlign w:val="bottom"/>
            <w:hideMark/>
          </w:tcPr>
          <w:p w14:paraId="44B634C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5.2</w:t>
            </w:r>
          </w:p>
        </w:tc>
        <w:tc>
          <w:tcPr>
            <w:tcW w:w="693" w:type="dxa"/>
            <w:tcBorders>
              <w:top w:val="nil"/>
              <w:left w:val="nil"/>
              <w:bottom w:val="nil"/>
              <w:right w:val="nil"/>
            </w:tcBorders>
            <w:shd w:val="clear" w:color="000000" w:fill="F8736D"/>
            <w:noWrap/>
            <w:vAlign w:val="bottom"/>
            <w:hideMark/>
          </w:tcPr>
          <w:p w14:paraId="1D12F03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1.4</w:t>
            </w:r>
          </w:p>
        </w:tc>
        <w:tc>
          <w:tcPr>
            <w:tcW w:w="693" w:type="dxa"/>
            <w:tcBorders>
              <w:top w:val="nil"/>
              <w:left w:val="nil"/>
              <w:bottom w:val="nil"/>
              <w:right w:val="nil"/>
            </w:tcBorders>
            <w:shd w:val="clear" w:color="000000" w:fill="FBA476"/>
            <w:noWrap/>
            <w:vAlign w:val="bottom"/>
            <w:hideMark/>
          </w:tcPr>
          <w:p w14:paraId="7A970E0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3.0</w:t>
            </w:r>
          </w:p>
        </w:tc>
      </w:tr>
      <w:tr w:rsidR="003831BC" w:rsidRPr="00BA313B" w14:paraId="517ADDB6" w14:textId="77777777" w:rsidTr="00DA302A">
        <w:trPr>
          <w:trHeight w:val="292"/>
        </w:trPr>
        <w:tc>
          <w:tcPr>
            <w:tcW w:w="595" w:type="dxa"/>
            <w:shd w:val="clear" w:color="auto" w:fill="auto"/>
            <w:noWrap/>
            <w:vAlign w:val="bottom"/>
            <w:hideMark/>
          </w:tcPr>
          <w:p w14:paraId="160B0BA3"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5</w:t>
            </w:r>
          </w:p>
        </w:tc>
        <w:tc>
          <w:tcPr>
            <w:tcW w:w="1307" w:type="dxa"/>
            <w:shd w:val="clear" w:color="auto" w:fill="auto"/>
            <w:noWrap/>
            <w:vAlign w:val="bottom"/>
            <w:hideMark/>
          </w:tcPr>
          <w:p w14:paraId="40CA3AE4"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018C</w:t>
            </w:r>
          </w:p>
        </w:tc>
        <w:tc>
          <w:tcPr>
            <w:tcW w:w="693" w:type="dxa"/>
            <w:shd w:val="clear" w:color="auto" w:fill="auto"/>
            <w:noWrap/>
            <w:vAlign w:val="bottom"/>
            <w:hideMark/>
          </w:tcPr>
          <w:p w14:paraId="29420C07"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65D44228"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4.7</w:t>
            </w:r>
          </w:p>
        </w:tc>
        <w:tc>
          <w:tcPr>
            <w:tcW w:w="645" w:type="dxa"/>
            <w:tcBorders>
              <w:top w:val="nil"/>
              <w:left w:val="nil"/>
              <w:bottom w:val="nil"/>
              <w:right w:val="nil"/>
            </w:tcBorders>
            <w:shd w:val="clear" w:color="000000" w:fill="FCBC7A"/>
            <w:noWrap/>
            <w:vAlign w:val="bottom"/>
            <w:hideMark/>
          </w:tcPr>
          <w:p w14:paraId="1AFADBA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470" w:type="dxa"/>
            <w:tcBorders>
              <w:top w:val="nil"/>
              <w:left w:val="nil"/>
              <w:bottom w:val="nil"/>
              <w:right w:val="nil"/>
            </w:tcBorders>
            <w:shd w:val="clear" w:color="000000" w:fill="FCC37C"/>
            <w:noWrap/>
            <w:vAlign w:val="bottom"/>
            <w:hideMark/>
          </w:tcPr>
          <w:p w14:paraId="24C9C82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E5E483"/>
            <w:noWrap/>
            <w:vAlign w:val="bottom"/>
            <w:hideMark/>
          </w:tcPr>
          <w:p w14:paraId="6C1026E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6.0</w:t>
            </w:r>
          </w:p>
        </w:tc>
        <w:tc>
          <w:tcPr>
            <w:tcW w:w="519" w:type="dxa"/>
            <w:tcBorders>
              <w:top w:val="nil"/>
              <w:left w:val="nil"/>
              <w:bottom w:val="nil"/>
              <w:right w:val="nil"/>
            </w:tcBorders>
            <w:shd w:val="clear" w:color="000000" w:fill="FDCC7E"/>
            <w:noWrap/>
            <w:vAlign w:val="bottom"/>
            <w:hideMark/>
          </w:tcPr>
          <w:p w14:paraId="42B1689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4.3</w:t>
            </w:r>
          </w:p>
        </w:tc>
        <w:tc>
          <w:tcPr>
            <w:tcW w:w="520" w:type="dxa"/>
            <w:tcBorders>
              <w:top w:val="nil"/>
              <w:left w:val="nil"/>
              <w:bottom w:val="nil"/>
              <w:right w:val="nil"/>
            </w:tcBorders>
            <w:shd w:val="clear" w:color="000000" w:fill="FCBE7B"/>
            <w:noWrap/>
            <w:vAlign w:val="bottom"/>
            <w:hideMark/>
          </w:tcPr>
          <w:p w14:paraId="2B06990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693" w:type="dxa"/>
            <w:tcBorders>
              <w:top w:val="nil"/>
              <w:left w:val="nil"/>
              <w:bottom w:val="nil"/>
              <w:right w:val="nil"/>
            </w:tcBorders>
            <w:shd w:val="clear" w:color="000000" w:fill="F98B71"/>
            <w:noWrap/>
            <w:vAlign w:val="bottom"/>
            <w:hideMark/>
          </w:tcPr>
          <w:p w14:paraId="3728E35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2.2</w:t>
            </w:r>
          </w:p>
        </w:tc>
        <w:tc>
          <w:tcPr>
            <w:tcW w:w="693" w:type="dxa"/>
            <w:tcBorders>
              <w:top w:val="nil"/>
              <w:left w:val="nil"/>
              <w:bottom w:val="nil"/>
              <w:right w:val="nil"/>
            </w:tcBorders>
            <w:shd w:val="clear" w:color="000000" w:fill="FBAA77"/>
            <w:noWrap/>
            <w:vAlign w:val="bottom"/>
            <w:hideMark/>
          </w:tcPr>
          <w:p w14:paraId="36A6D6A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693" w:type="dxa"/>
            <w:tcBorders>
              <w:top w:val="nil"/>
              <w:left w:val="nil"/>
              <w:bottom w:val="nil"/>
              <w:right w:val="nil"/>
            </w:tcBorders>
            <w:shd w:val="clear" w:color="000000" w:fill="ECE683"/>
            <w:noWrap/>
            <w:vAlign w:val="bottom"/>
            <w:hideMark/>
          </w:tcPr>
          <w:p w14:paraId="398682A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5.8</w:t>
            </w:r>
          </w:p>
        </w:tc>
        <w:tc>
          <w:tcPr>
            <w:tcW w:w="693" w:type="dxa"/>
            <w:tcBorders>
              <w:top w:val="nil"/>
              <w:left w:val="nil"/>
              <w:bottom w:val="nil"/>
              <w:right w:val="nil"/>
            </w:tcBorders>
            <w:shd w:val="clear" w:color="000000" w:fill="F5E884"/>
            <w:noWrap/>
            <w:vAlign w:val="bottom"/>
            <w:hideMark/>
          </w:tcPr>
          <w:p w14:paraId="784F891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5.6</w:t>
            </w:r>
          </w:p>
        </w:tc>
        <w:tc>
          <w:tcPr>
            <w:tcW w:w="693" w:type="dxa"/>
            <w:tcBorders>
              <w:top w:val="nil"/>
              <w:left w:val="nil"/>
              <w:bottom w:val="nil"/>
              <w:right w:val="nil"/>
            </w:tcBorders>
            <w:shd w:val="clear" w:color="000000" w:fill="FAA075"/>
            <w:noWrap/>
            <w:vAlign w:val="bottom"/>
            <w:hideMark/>
          </w:tcPr>
          <w:p w14:paraId="1E4B800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2.9</w:t>
            </w:r>
          </w:p>
        </w:tc>
      </w:tr>
      <w:tr w:rsidR="003831BC" w:rsidRPr="00BA313B" w14:paraId="77E60246" w14:textId="77777777" w:rsidTr="00DA302A">
        <w:trPr>
          <w:trHeight w:val="292"/>
        </w:trPr>
        <w:tc>
          <w:tcPr>
            <w:tcW w:w="595" w:type="dxa"/>
            <w:shd w:val="clear" w:color="auto" w:fill="auto"/>
            <w:noWrap/>
            <w:vAlign w:val="bottom"/>
            <w:hideMark/>
          </w:tcPr>
          <w:p w14:paraId="71987B29"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6</w:t>
            </w:r>
          </w:p>
        </w:tc>
        <w:tc>
          <w:tcPr>
            <w:tcW w:w="1307" w:type="dxa"/>
            <w:shd w:val="clear" w:color="auto" w:fill="auto"/>
            <w:noWrap/>
            <w:vAlign w:val="bottom"/>
            <w:hideMark/>
          </w:tcPr>
          <w:p w14:paraId="01B9D14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015E</w:t>
            </w:r>
          </w:p>
        </w:tc>
        <w:tc>
          <w:tcPr>
            <w:tcW w:w="693" w:type="dxa"/>
            <w:shd w:val="clear" w:color="auto" w:fill="auto"/>
            <w:noWrap/>
            <w:vAlign w:val="bottom"/>
            <w:hideMark/>
          </w:tcPr>
          <w:p w14:paraId="509D59B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3F88B188"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4.7</w:t>
            </w:r>
          </w:p>
        </w:tc>
        <w:tc>
          <w:tcPr>
            <w:tcW w:w="645" w:type="dxa"/>
            <w:tcBorders>
              <w:top w:val="nil"/>
              <w:left w:val="nil"/>
              <w:bottom w:val="nil"/>
              <w:right w:val="nil"/>
            </w:tcBorders>
            <w:shd w:val="clear" w:color="000000" w:fill="FEE582"/>
            <w:noWrap/>
            <w:vAlign w:val="bottom"/>
            <w:hideMark/>
          </w:tcPr>
          <w:p w14:paraId="7A0F814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470" w:type="dxa"/>
            <w:tcBorders>
              <w:top w:val="nil"/>
              <w:left w:val="nil"/>
              <w:bottom w:val="nil"/>
              <w:right w:val="nil"/>
            </w:tcBorders>
            <w:shd w:val="clear" w:color="000000" w:fill="FCC37C"/>
            <w:noWrap/>
            <w:vAlign w:val="bottom"/>
            <w:hideMark/>
          </w:tcPr>
          <w:p w14:paraId="3FDF569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EE082"/>
            <w:noWrap/>
            <w:vAlign w:val="bottom"/>
            <w:hideMark/>
          </w:tcPr>
          <w:p w14:paraId="7609919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4.9</w:t>
            </w:r>
          </w:p>
        </w:tc>
        <w:tc>
          <w:tcPr>
            <w:tcW w:w="519" w:type="dxa"/>
            <w:tcBorders>
              <w:top w:val="nil"/>
              <w:left w:val="nil"/>
              <w:bottom w:val="nil"/>
              <w:right w:val="nil"/>
            </w:tcBorders>
            <w:shd w:val="clear" w:color="000000" w:fill="FDD07E"/>
            <w:noWrap/>
            <w:vAlign w:val="bottom"/>
            <w:hideMark/>
          </w:tcPr>
          <w:p w14:paraId="6822D9D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4.4</w:t>
            </w:r>
          </w:p>
        </w:tc>
        <w:tc>
          <w:tcPr>
            <w:tcW w:w="520" w:type="dxa"/>
            <w:tcBorders>
              <w:top w:val="nil"/>
              <w:left w:val="nil"/>
              <w:bottom w:val="nil"/>
              <w:right w:val="nil"/>
            </w:tcBorders>
            <w:shd w:val="clear" w:color="000000" w:fill="FCB679"/>
            <w:noWrap/>
            <w:vAlign w:val="bottom"/>
            <w:hideMark/>
          </w:tcPr>
          <w:p w14:paraId="1C0C0FB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BA175"/>
            <w:noWrap/>
            <w:vAlign w:val="bottom"/>
            <w:hideMark/>
          </w:tcPr>
          <w:p w14:paraId="15C35D3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2.9</w:t>
            </w:r>
          </w:p>
        </w:tc>
        <w:tc>
          <w:tcPr>
            <w:tcW w:w="693" w:type="dxa"/>
            <w:tcBorders>
              <w:top w:val="nil"/>
              <w:left w:val="nil"/>
              <w:bottom w:val="nil"/>
              <w:right w:val="nil"/>
            </w:tcBorders>
            <w:shd w:val="clear" w:color="000000" w:fill="FBB178"/>
            <w:noWrap/>
            <w:vAlign w:val="bottom"/>
            <w:hideMark/>
          </w:tcPr>
          <w:p w14:paraId="02DC8F6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3.4</w:t>
            </w:r>
          </w:p>
        </w:tc>
        <w:tc>
          <w:tcPr>
            <w:tcW w:w="693" w:type="dxa"/>
            <w:tcBorders>
              <w:top w:val="nil"/>
              <w:left w:val="nil"/>
              <w:bottom w:val="nil"/>
              <w:right w:val="nil"/>
            </w:tcBorders>
            <w:shd w:val="clear" w:color="000000" w:fill="FBEA84"/>
            <w:noWrap/>
            <w:vAlign w:val="bottom"/>
            <w:hideMark/>
          </w:tcPr>
          <w:p w14:paraId="62763CA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5.4</w:t>
            </w:r>
          </w:p>
        </w:tc>
        <w:tc>
          <w:tcPr>
            <w:tcW w:w="693" w:type="dxa"/>
            <w:tcBorders>
              <w:top w:val="nil"/>
              <w:left w:val="nil"/>
              <w:bottom w:val="nil"/>
              <w:right w:val="nil"/>
            </w:tcBorders>
            <w:shd w:val="clear" w:color="000000" w:fill="FA9673"/>
            <w:noWrap/>
            <w:vAlign w:val="bottom"/>
            <w:hideMark/>
          </w:tcPr>
          <w:p w14:paraId="6D00E10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2.6</w:t>
            </w:r>
          </w:p>
        </w:tc>
        <w:tc>
          <w:tcPr>
            <w:tcW w:w="693" w:type="dxa"/>
            <w:tcBorders>
              <w:top w:val="nil"/>
              <w:left w:val="nil"/>
              <w:bottom w:val="nil"/>
              <w:right w:val="nil"/>
            </w:tcBorders>
            <w:shd w:val="clear" w:color="000000" w:fill="FA9A74"/>
            <w:noWrap/>
            <w:vAlign w:val="bottom"/>
            <w:hideMark/>
          </w:tcPr>
          <w:p w14:paraId="55C4BF2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2.7</w:t>
            </w:r>
          </w:p>
        </w:tc>
      </w:tr>
      <w:tr w:rsidR="003831BC" w:rsidRPr="00BA313B" w14:paraId="6564B429" w14:textId="77777777" w:rsidTr="00DA302A">
        <w:trPr>
          <w:trHeight w:val="292"/>
        </w:trPr>
        <w:tc>
          <w:tcPr>
            <w:tcW w:w="595" w:type="dxa"/>
            <w:shd w:val="clear" w:color="auto" w:fill="auto"/>
            <w:noWrap/>
            <w:vAlign w:val="bottom"/>
            <w:hideMark/>
          </w:tcPr>
          <w:p w14:paraId="4DF21FB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7</w:t>
            </w:r>
          </w:p>
        </w:tc>
        <w:tc>
          <w:tcPr>
            <w:tcW w:w="1307" w:type="dxa"/>
            <w:shd w:val="clear" w:color="auto" w:fill="auto"/>
            <w:noWrap/>
            <w:vAlign w:val="bottom"/>
            <w:hideMark/>
          </w:tcPr>
          <w:p w14:paraId="5CB81CC7"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018E</w:t>
            </w:r>
          </w:p>
        </w:tc>
        <w:tc>
          <w:tcPr>
            <w:tcW w:w="693" w:type="dxa"/>
            <w:shd w:val="clear" w:color="auto" w:fill="auto"/>
            <w:noWrap/>
            <w:vAlign w:val="bottom"/>
            <w:hideMark/>
          </w:tcPr>
          <w:p w14:paraId="1E34E1F3"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3</w:t>
            </w:r>
          </w:p>
        </w:tc>
        <w:tc>
          <w:tcPr>
            <w:tcW w:w="504" w:type="dxa"/>
            <w:vAlign w:val="bottom"/>
          </w:tcPr>
          <w:p w14:paraId="6DCCF114"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4.8</w:t>
            </w:r>
          </w:p>
        </w:tc>
        <w:tc>
          <w:tcPr>
            <w:tcW w:w="645" w:type="dxa"/>
            <w:tcBorders>
              <w:top w:val="nil"/>
              <w:left w:val="nil"/>
              <w:bottom w:val="nil"/>
              <w:right w:val="nil"/>
            </w:tcBorders>
            <w:shd w:val="clear" w:color="000000" w:fill="FBA676"/>
            <w:noWrap/>
            <w:vAlign w:val="bottom"/>
            <w:hideMark/>
          </w:tcPr>
          <w:p w14:paraId="6A49893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3.1</w:t>
            </w:r>
          </w:p>
        </w:tc>
        <w:tc>
          <w:tcPr>
            <w:tcW w:w="470" w:type="dxa"/>
            <w:tcBorders>
              <w:top w:val="nil"/>
              <w:left w:val="nil"/>
              <w:bottom w:val="nil"/>
              <w:right w:val="nil"/>
            </w:tcBorders>
            <w:shd w:val="clear" w:color="000000" w:fill="FCC37C"/>
            <w:noWrap/>
            <w:vAlign w:val="bottom"/>
            <w:hideMark/>
          </w:tcPr>
          <w:p w14:paraId="22230ED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DC87D"/>
            <w:noWrap/>
            <w:vAlign w:val="bottom"/>
            <w:hideMark/>
          </w:tcPr>
          <w:p w14:paraId="35FCA5C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4.2</w:t>
            </w:r>
          </w:p>
        </w:tc>
        <w:tc>
          <w:tcPr>
            <w:tcW w:w="519" w:type="dxa"/>
            <w:tcBorders>
              <w:top w:val="nil"/>
              <w:left w:val="nil"/>
              <w:bottom w:val="nil"/>
              <w:right w:val="nil"/>
            </w:tcBorders>
            <w:shd w:val="clear" w:color="000000" w:fill="FDD07E"/>
            <w:noWrap/>
            <w:vAlign w:val="bottom"/>
            <w:hideMark/>
          </w:tcPr>
          <w:p w14:paraId="3871413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4.4</w:t>
            </w:r>
          </w:p>
        </w:tc>
        <w:tc>
          <w:tcPr>
            <w:tcW w:w="520" w:type="dxa"/>
            <w:tcBorders>
              <w:top w:val="nil"/>
              <w:left w:val="nil"/>
              <w:bottom w:val="nil"/>
              <w:right w:val="nil"/>
            </w:tcBorders>
            <w:shd w:val="clear" w:color="000000" w:fill="FCBB7A"/>
            <w:noWrap/>
            <w:vAlign w:val="bottom"/>
            <w:hideMark/>
          </w:tcPr>
          <w:p w14:paraId="6BE017C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693" w:type="dxa"/>
            <w:tcBorders>
              <w:top w:val="nil"/>
              <w:left w:val="nil"/>
              <w:bottom w:val="nil"/>
              <w:right w:val="nil"/>
            </w:tcBorders>
            <w:shd w:val="clear" w:color="000000" w:fill="FDCC7E"/>
            <w:noWrap/>
            <w:vAlign w:val="bottom"/>
            <w:hideMark/>
          </w:tcPr>
          <w:p w14:paraId="0EFDE32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4.3</w:t>
            </w:r>
          </w:p>
        </w:tc>
        <w:tc>
          <w:tcPr>
            <w:tcW w:w="693" w:type="dxa"/>
            <w:tcBorders>
              <w:top w:val="nil"/>
              <w:left w:val="nil"/>
              <w:bottom w:val="nil"/>
              <w:right w:val="nil"/>
            </w:tcBorders>
            <w:shd w:val="clear" w:color="000000" w:fill="FBAD78"/>
            <w:noWrap/>
            <w:vAlign w:val="bottom"/>
            <w:hideMark/>
          </w:tcPr>
          <w:p w14:paraId="3CFEF96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3.3</w:t>
            </w:r>
          </w:p>
        </w:tc>
        <w:tc>
          <w:tcPr>
            <w:tcW w:w="693" w:type="dxa"/>
            <w:tcBorders>
              <w:top w:val="nil"/>
              <w:left w:val="nil"/>
              <w:bottom w:val="nil"/>
              <w:right w:val="nil"/>
            </w:tcBorders>
            <w:shd w:val="clear" w:color="000000" w:fill="FEE182"/>
            <w:noWrap/>
            <w:vAlign w:val="bottom"/>
            <w:hideMark/>
          </w:tcPr>
          <w:p w14:paraId="1CB28F6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5.0</w:t>
            </w:r>
          </w:p>
        </w:tc>
        <w:tc>
          <w:tcPr>
            <w:tcW w:w="693" w:type="dxa"/>
            <w:tcBorders>
              <w:top w:val="nil"/>
              <w:left w:val="nil"/>
              <w:bottom w:val="nil"/>
              <w:right w:val="nil"/>
            </w:tcBorders>
            <w:shd w:val="clear" w:color="000000" w:fill="FEE683"/>
            <w:noWrap/>
            <w:vAlign w:val="bottom"/>
            <w:hideMark/>
          </w:tcPr>
          <w:p w14:paraId="09352C7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693" w:type="dxa"/>
            <w:tcBorders>
              <w:top w:val="nil"/>
              <w:left w:val="nil"/>
              <w:bottom w:val="nil"/>
              <w:right w:val="nil"/>
            </w:tcBorders>
            <w:shd w:val="clear" w:color="000000" w:fill="FCBC7B"/>
            <w:noWrap/>
            <w:vAlign w:val="bottom"/>
            <w:hideMark/>
          </w:tcPr>
          <w:p w14:paraId="57F8230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r>
      <w:tr w:rsidR="003831BC" w:rsidRPr="00BA313B" w14:paraId="4061DF55" w14:textId="77777777" w:rsidTr="00DA302A">
        <w:trPr>
          <w:trHeight w:val="292"/>
        </w:trPr>
        <w:tc>
          <w:tcPr>
            <w:tcW w:w="595" w:type="dxa"/>
            <w:shd w:val="clear" w:color="auto" w:fill="auto"/>
            <w:noWrap/>
            <w:vAlign w:val="bottom"/>
            <w:hideMark/>
          </w:tcPr>
          <w:p w14:paraId="636062F5"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8</w:t>
            </w:r>
          </w:p>
        </w:tc>
        <w:tc>
          <w:tcPr>
            <w:tcW w:w="1307" w:type="dxa"/>
            <w:shd w:val="clear" w:color="auto" w:fill="auto"/>
            <w:noWrap/>
            <w:vAlign w:val="bottom"/>
            <w:hideMark/>
          </w:tcPr>
          <w:p w14:paraId="03C13796"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013C</w:t>
            </w:r>
          </w:p>
        </w:tc>
        <w:tc>
          <w:tcPr>
            <w:tcW w:w="693" w:type="dxa"/>
            <w:shd w:val="clear" w:color="auto" w:fill="auto"/>
            <w:noWrap/>
            <w:vAlign w:val="bottom"/>
            <w:hideMark/>
          </w:tcPr>
          <w:p w14:paraId="267E1C28"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3</w:t>
            </w:r>
          </w:p>
        </w:tc>
        <w:tc>
          <w:tcPr>
            <w:tcW w:w="504" w:type="dxa"/>
            <w:vAlign w:val="bottom"/>
          </w:tcPr>
          <w:p w14:paraId="4F0AF9E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4.8</w:t>
            </w:r>
          </w:p>
        </w:tc>
        <w:tc>
          <w:tcPr>
            <w:tcW w:w="645" w:type="dxa"/>
            <w:tcBorders>
              <w:top w:val="nil"/>
              <w:left w:val="nil"/>
              <w:bottom w:val="nil"/>
              <w:right w:val="nil"/>
            </w:tcBorders>
            <w:shd w:val="clear" w:color="000000" w:fill="FCC07B"/>
            <w:noWrap/>
            <w:vAlign w:val="bottom"/>
            <w:hideMark/>
          </w:tcPr>
          <w:p w14:paraId="7321144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3.9</w:t>
            </w:r>
          </w:p>
        </w:tc>
        <w:tc>
          <w:tcPr>
            <w:tcW w:w="470" w:type="dxa"/>
            <w:tcBorders>
              <w:top w:val="nil"/>
              <w:left w:val="nil"/>
              <w:bottom w:val="nil"/>
              <w:right w:val="nil"/>
            </w:tcBorders>
            <w:shd w:val="clear" w:color="000000" w:fill="FDCD7E"/>
            <w:noWrap/>
            <w:vAlign w:val="bottom"/>
            <w:hideMark/>
          </w:tcPr>
          <w:p w14:paraId="571435C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4.3</w:t>
            </w:r>
          </w:p>
        </w:tc>
        <w:tc>
          <w:tcPr>
            <w:tcW w:w="867" w:type="dxa"/>
            <w:tcBorders>
              <w:top w:val="nil"/>
              <w:left w:val="nil"/>
              <w:bottom w:val="nil"/>
              <w:right w:val="nil"/>
            </w:tcBorders>
            <w:shd w:val="clear" w:color="000000" w:fill="FDCA7D"/>
            <w:noWrap/>
            <w:vAlign w:val="bottom"/>
            <w:hideMark/>
          </w:tcPr>
          <w:p w14:paraId="3D5FAD2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4.2</w:t>
            </w:r>
          </w:p>
        </w:tc>
        <w:tc>
          <w:tcPr>
            <w:tcW w:w="519" w:type="dxa"/>
            <w:tcBorders>
              <w:top w:val="nil"/>
              <w:left w:val="nil"/>
              <w:bottom w:val="nil"/>
              <w:right w:val="nil"/>
            </w:tcBorders>
            <w:shd w:val="clear" w:color="000000" w:fill="FDD07E"/>
            <w:noWrap/>
            <w:vAlign w:val="bottom"/>
            <w:hideMark/>
          </w:tcPr>
          <w:p w14:paraId="1A82317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4.4</w:t>
            </w:r>
          </w:p>
        </w:tc>
        <w:tc>
          <w:tcPr>
            <w:tcW w:w="520" w:type="dxa"/>
            <w:tcBorders>
              <w:top w:val="nil"/>
              <w:left w:val="nil"/>
              <w:bottom w:val="nil"/>
              <w:right w:val="nil"/>
            </w:tcBorders>
            <w:shd w:val="clear" w:color="000000" w:fill="FCB679"/>
            <w:noWrap/>
            <w:vAlign w:val="bottom"/>
            <w:hideMark/>
          </w:tcPr>
          <w:p w14:paraId="0FB097F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CBB7A"/>
            <w:noWrap/>
            <w:vAlign w:val="bottom"/>
            <w:hideMark/>
          </w:tcPr>
          <w:p w14:paraId="04C1E01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693" w:type="dxa"/>
            <w:tcBorders>
              <w:top w:val="nil"/>
              <w:left w:val="nil"/>
              <w:bottom w:val="nil"/>
              <w:right w:val="nil"/>
            </w:tcBorders>
            <w:shd w:val="clear" w:color="000000" w:fill="FCBC7B"/>
            <w:noWrap/>
            <w:vAlign w:val="bottom"/>
            <w:hideMark/>
          </w:tcPr>
          <w:p w14:paraId="1CBF205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3.8</w:t>
            </w:r>
          </w:p>
        </w:tc>
        <w:tc>
          <w:tcPr>
            <w:tcW w:w="693" w:type="dxa"/>
            <w:tcBorders>
              <w:top w:val="nil"/>
              <w:left w:val="nil"/>
              <w:bottom w:val="nil"/>
              <w:right w:val="nil"/>
            </w:tcBorders>
            <w:shd w:val="clear" w:color="000000" w:fill="FDD37F"/>
            <w:noWrap/>
            <w:vAlign w:val="bottom"/>
            <w:hideMark/>
          </w:tcPr>
          <w:p w14:paraId="6B48436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4.5</w:t>
            </w:r>
          </w:p>
        </w:tc>
        <w:tc>
          <w:tcPr>
            <w:tcW w:w="693" w:type="dxa"/>
            <w:tcBorders>
              <w:top w:val="nil"/>
              <w:left w:val="nil"/>
              <w:bottom w:val="nil"/>
              <w:right w:val="nil"/>
            </w:tcBorders>
            <w:shd w:val="clear" w:color="000000" w:fill="FAA075"/>
            <w:noWrap/>
            <w:vAlign w:val="bottom"/>
            <w:hideMark/>
          </w:tcPr>
          <w:p w14:paraId="4E4DCCA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2.9</w:t>
            </w:r>
          </w:p>
        </w:tc>
        <w:tc>
          <w:tcPr>
            <w:tcW w:w="693" w:type="dxa"/>
            <w:tcBorders>
              <w:top w:val="nil"/>
              <w:left w:val="nil"/>
              <w:bottom w:val="nil"/>
              <w:right w:val="nil"/>
            </w:tcBorders>
            <w:shd w:val="clear" w:color="000000" w:fill="FBAC77"/>
            <w:noWrap/>
            <w:vAlign w:val="bottom"/>
            <w:hideMark/>
          </w:tcPr>
          <w:p w14:paraId="19B142F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3.3</w:t>
            </w:r>
          </w:p>
        </w:tc>
      </w:tr>
      <w:tr w:rsidR="003831BC" w:rsidRPr="00BA313B" w14:paraId="55756272" w14:textId="77777777" w:rsidTr="00DA302A">
        <w:trPr>
          <w:trHeight w:val="292"/>
        </w:trPr>
        <w:tc>
          <w:tcPr>
            <w:tcW w:w="595" w:type="dxa"/>
            <w:shd w:val="clear" w:color="auto" w:fill="auto"/>
            <w:noWrap/>
            <w:vAlign w:val="bottom"/>
            <w:hideMark/>
          </w:tcPr>
          <w:p w14:paraId="05C19A2C"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9</w:t>
            </w:r>
          </w:p>
        </w:tc>
        <w:tc>
          <w:tcPr>
            <w:tcW w:w="1307" w:type="dxa"/>
            <w:shd w:val="clear" w:color="auto" w:fill="auto"/>
            <w:noWrap/>
            <w:vAlign w:val="bottom"/>
            <w:hideMark/>
          </w:tcPr>
          <w:p w14:paraId="6F4438B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Tendring 015B</w:t>
            </w:r>
          </w:p>
        </w:tc>
        <w:tc>
          <w:tcPr>
            <w:tcW w:w="693" w:type="dxa"/>
            <w:shd w:val="clear" w:color="auto" w:fill="auto"/>
            <w:noWrap/>
            <w:vAlign w:val="bottom"/>
            <w:hideMark/>
          </w:tcPr>
          <w:p w14:paraId="274191B0"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w:t>
            </w:r>
          </w:p>
        </w:tc>
        <w:tc>
          <w:tcPr>
            <w:tcW w:w="504" w:type="dxa"/>
            <w:vAlign w:val="bottom"/>
          </w:tcPr>
          <w:p w14:paraId="197EDD7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4.8</w:t>
            </w:r>
          </w:p>
        </w:tc>
        <w:tc>
          <w:tcPr>
            <w:tcW w:w="645" w:type="dxa"/>
            <w:tcBorders>
              <w:top w:val="nil"/>
              <w:left w:val="nil"/>
              <w:bottom w:val="nil"/>
              <w:right w:val="nil"/>
            </w:tcBorders>
            <w:shd w:val="clear" w:color="000000" w:fill="FCC07B"/>
            <w:noWrap/>
            <w:vAlign w:val="bottom"/>
            <w:hideMark/>
          </w:tcPr>
          <w:p w14:paraId="3303C20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3.9</w:t>
            </w:r>
          </w:p>
        </w:tc>
        <w:tc>
          <w:tcPr>
            <w:tcW w:w="470" w:type="dxa"/>
            <w:tcBorders>
              <w:top w:val="nil"/>
              <w:left w:val="nil"/>
              <w:bottom w:val="nil"/>
              <w:right w:val="nil"/>
            </w:tcBorders>
            <w:shd w:val="clear" w:color="000000" w:fill="FCC37C"/>
            <w:noWrap/>
            <w:vAlign w:val="bottom"/>
            <w:hideMark/>
          </w:tcPr>
          <w:p w14:paraId="32365FA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867" w:type="dxa"/>
            <w:tcBorders>
              <w:top w:val="nil"/>
              <w:left w:val="nil"/>
              <w:bottom w:val="nil"/>
              <w:right w:val="nil"/>
            </w:tcBorders>
            <w:shd w:val="clear" w:color="000000" w:fill="FCC37C"/>
            <w:noWrap/>
            <w:vAlign w:val="bottom"/>
            <w:hideMark/>
          </w:tcPr>
          <w:p w14:paraId="6B015C5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4.0</w:t>
            </w:r>
          </w:p>
        </w:tc>
        <w:tc>
          <w:tcPr>
            <w:tcW w:w="519" w:type="dxa"/>
            <w:tcBorders>
              <w:top w:val="nil"/>
              <w:left w:val="nil"/>
              <w:bottom w:val="nil"/>
              <w:right w:val="nil"/>
            </w:tcBorders>
            <w:shd w:val="clear" w:color="000000" w:fill="AED480"/>
            <w:noWrap/>
            <w:vAlign w:val="bottom"/>
            <w:hideMark/>
          </w:tcPr>
          <w:p w14:paraId="2E40766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c>
          <w:tcPr>
            <w:tcW w:w="520" w:type="dxa"/>
            <w:tcBorders>
              <w:top w:val="nil"/>
              <w:left w:val="nil"/>
              <w:bottom w:val="nil"/>
              <w:right w:val="nil"/>
            </w:tcBorders>
            <w:shd w:val="clear" w:color="000000" w:fill="FA9974"/>
            <w:noWrap/>
            <w:vAlign w:val="bottom"/>
            <w:hideMark/>
          </w:tcPr>
          <w:p w14:paraId="7A0B56E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2.7</w:t>
            </w:r>
          </w:p>
        </w:tc>
        <w:tc>
          <w:tcPr>
            <w:tcW w:w="693" w:type="dxa"/>
            <w:tcBorders>
              <w:top w:val="nil"/>
              <w:left w:val="nil"/>
              <w:bottom w:val="nil"/>
              <w:right w:val="nil"/>
            </w:tcBorders>
            <w:shd w:val="clear" w:color="000000" w:fill="FBAD78"/>
            <w:noWrap/>
            <w:vAlign w:val="bottom"/>
            <w:hideMark/>
          </w:tcPr>
          <w:p w14:paraId="20120E6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3.3</w:t>
            </w:r>
          </w:p>
        </w:tc>
        <w:tc>
          <w:tcPr>
            <w:tcW w:w="693" w:type="dxa"/>
            <w:tcBorders>
              <w:top w:val="nil"/>
              <w:left w:val="nil"/>
              <w:bottom w:val="nil"/>
              <w:right w:val="nil"/>
            </w:tcBorders>
            <w:shd w:val="clear" w:color="000000" w:fill="FCB579"/>
            <w:noWrap/>
            <w:vAlign w:val="bottom"/>
            <w:hideMark/>
          </w:tcPr>
          <w:p w14:paraId="6FBF2C4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3.6</w:t>
            </w:r>
          </w:p>
        </w:tc>
        <w:tc>
          <w:tcPr>
            <w:tcW w:w="693" w:type="dxa"/>
            <w:tcBorders>
              <w:top w:val="nil"/>
              <w:left w:val="nil"/>
              <w:bottom w:val="nil"/>
              <w:right w:val="nil"/>
            </w:tcBorders>
            <w:shd w:val="clear" w:color="000000" w:fill="FDD47F"/>
            <w:noWrap/>
            <w:vAlign w:val="bottom"/>
            <w:hideMark/>
          </w:tcPr>
          <w:p w14:paraId="1413909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4.5</w:t>
            </w:r>
          </w:p>
        </w:tc>
        <w:tc>
          <w:tcPr>
            <w:tcW w:w="693" w:type="dxa"/>
            <w:tcBorders>
              <w:top w:val="nil"/>
              <w:left w:val="nil"/>
              <w:bottom w:val="nil"/>
              <w:right w:val="nil"/>
            </w:tcBorders>
            <w:shd w:val="clear" w:color="000000" w:fill="FBAB77"/>
            <w:noWrap/>
            <w:vAlign w:val="bottom"/>
            <w:hideMark/>
          </w:tcPr>
          <w:p w14:paraId="4D9ECC3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693" w:type="dxa"/>
            <w:tcBorders>
              <w:top w:val="nil"/>
              <w:left w:val="nil"/>
              <w:bottom w:val="nil"/>
              <w:right w:val="nil"/>
            </w:tcBorders>
            <w:shd w:val="clear" w:color="000000" w:fill="FBB379"/>
            <w:noWrap/>
            <w:vAlign w:val="bottom"/>
            <w:hideMark/>
          </w:tcPr>
          <w:p w14:paraId="600C5DB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3.5</w:t>
            </w:r>
          </w:p>
        </w:tc>
      </w:tr>
      <w:tr w:rsidR="003831BC" w:rsidRPr="00BA313B" w14:paraId="60BE36ED" w14:textId="77777777" w:rsidTr="00DA302A">
        <w:trPr>
          <w:trHeight w:val="292"/>
        </w:trPr>
        <w:tc>
          <w:tcPr>
            <w:tcW w:w="595" w:type="dxa"/>
            <w:shd w:val="clear" w:color="auto" w:fill="auto"/>
            <w:noWrap/>
            <w:vAlign w:val="bottom"/>
            <w:hideMark/>
          </w:tcPr>
          <w:p w14:paraId="134E8523"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10</w:t>
            </w:r>
          </w:p>
        </w:tc>
        <w:tc>
          <w:tcPr>
            <w:tcW w:w="1307" w:type="dxa"/>
            <w:shd w:val="clear" w:color="auto" w:fill="auto"/>
            <w:noWrap/>
            <w:vAlign w:val="bottom"/>
            <w:hideMark/>
          </w:tcPr>
          <w:p w14:paraId="46563B66"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Basildon 013E</w:t>
            </w:r>
          </w:p>
        </w:tc>
        <w:tc>
          <w:tcPr>
            <w:tcW w:w="693" w:type="dxa"/>
            <w:shd w:val="clear" w:color="auto" w:fill="auto"/>
            <w:noWrap/>
            <w:vAlign w:val="bottom"/>
            <w:hideMark/>
          </w:tcPr>
          <w:p w14:paraId="75318DE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1</w:t>
            </w:r>
          </w:p>
        </w:tc>
        <w:tc>
          <w:tcPr>
            <w:tcW w:w="504" w:type="dxa"/>
            <w:vAlign w:val="bottom"/>
          </w:tcPr>
          <w:p w14:paraId="091E76B9"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eastAsia="Times New Roman" w:hAnsi="Century Gothic" w:cs="Calibri"/>
                <w:color w:val="000000"/>
                <w:sz w:val="16"/>
                <w:szCs w:val="16"/>
                <w:lang w:eastAsia="en-GB"/>
              </w:rPr>
              <w:t>4.8</w:t>
            </w:r>
          </w:p>
        </w:tc>
        <w:tc>
          <w:tcPr>
            <w:tcW w:w="645" w:type="dxa"/>
            <w:tcBorders>
              <w:top w:val="nil"/>
              <w:left w:val="nil"/>
              <w:bottom w:val="nil"/>
              <w:right w:val="nil"/>
            </w:tcBorders>
            <w:shd w:val="clear" w:color="000000" w:fill="F2E884"/>
            <w:noWrap/>
            <w:vAlign w:val="bottom"/>
            <w:hideMark/>
          </w:tcPr>
          <w:p w14:paraId="70BD3E8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5.6</w:t>
            </w:r>
          </w:p>
        </w:tc>
        <w:tc>
          <w:tcPr>
            <w:tcW w:w="470" w:type="dxa"/>
            <w:tcBorders>
              <w:top w:val="nil"/>
              <w:left w:val="nil"/>
              <w:bottom w:val="nil"/>
              <w:right w:val="nil"/>
            </w:tcBorders>
            <w:shd w:val="clear" w:color="000000" w:fill="FCB87A"/>
            <w:noWrap/>
            <w:vAlign w:val="bottom"/>
            <w:hideMark/>
          </w:tcPr>
          <w:p w14:paraId="2715423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3.7</w:t>
            </w:r>
          </w:p>
        </w:tc>
        <w:tc>
          <w:tcPr>
            <w:tcW w:w="867" w:type="dxa"/>
            <w:tcBorders>
              <w:top w:val="nil"/>
              <w:left w:val="nil"/>
              <w:bottom w:val="nil"/>
              <w:right w:val="nil"/>
            </w:tcBorders>
            <w:shd w:val="clear" w:color="000000" w:fill="FED980"/>
            <w:noWrap/>
            <w:vAlign w:val="bottom"/>
            <w:hideMark/>
          </w:tcPr>
          <w:p w14:paraId="759960F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4.7</w:t>
            </w:r>
          </w:p>
        </w:tc>
        <w:tc>
          <w:tcPr>
            <w:tcW w:w="519" w:type="dxa"/>
            <w:tcBorders>
              <w:top w:val="nil"/>
              <w:left w:val="nil"/>
              <w:bottom w:val="nil"/>
              <w:right w:val="nil"/>
            </w:tcBorders>
            <w:shd w:val="clear" w:color="000000" w:fill="FBAA77"/>
            <w:noWrap/>
            <w:vAlign w:val="bottom"/>
            <w:hideMark/>
          </w:tcPr>
          <w:p w14:paraId="182AA82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3.2</w:t>
            </w:r>
          </w:p>
        </w:tc>
        <w:tc>
          <w:tcPr>
            <w:tcW w:w="520" w:type="dxa"/>
            <w:tcBorders>
              <w:top w:val="nil"/>
              <w:left w:val="nil"/>
              <w:bottom w:val="nil"/>
              <w:right w:val="nil"/>
            </w:tcBorders>
            <w:shd w:val="clear" w:color="000000" w:fill="FBB178"/>
            <w:noWrap/>
            <w:vAlign w:val="bottom"/>
            <w:hideMark/>
          </w:tcPr>
          <w:p w14:paraId="378266F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3.4</w:t>
            </w:r>
          </w:p>
        </w:tc>
        <w:tc>
          <w:tcPr>
            <w:tcW w:w="693" w:type="dxa"/>
            <w:tcBorders>
              <w:top w:val="nil"/>
              <w:left w:val="nil"/>
              <w:bottom w:val="nil"/>
              <w:right w:val="nil"/>
            </w:tcBorders>
            <w:shd w:val="clear" w:color="000000" w:fill="FA9373"/>
            <w:noWrap/>
            <w:vAlign w:val="bottom"/>
            <w:hideMark/>
          </w:tcPr>
          <w:p w14:paraId="20B405E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2.5</w:t>
            </w:r>
          </w:p>
        </w:tc>
        <w:tc>
          <w:tcPr>
            <w:tcW w:w="693" w:type="dxa"/>
            <w:tcBorders>
              <w:top w:val="nil"/>
              <w:left w:val="nil"/>
              <w:bottom w:val="nil"/>
              <w:right w:val="nil"/>
            </w:tcBorders>
            <w:shd w:val="clear" w:color="000000" w:fill="FDCD7E"/>
            <w:noWrap/>
            <w:vAlign w:val="bottom"/>
            <w:hideMark/>
          </w:tcPr>
          <w:p w14:paraId="3553BE1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4.3</w:t>
            </w:r>
          </w:p>
        </w:tc>
        <w:tc>
          <w:tcPr>
            <w:tcW w:w="693" w:type="dxa"/>
            <w:tcBorders>
              <w:top w:val="nil"/>
              <w:left w:val="nil"/>
              <w:bottom w:val="nil"/>
              <w:right w:val="nil"/>
            </w:tcBorders>
            <w:shd w:val="clear" w:color="000000" w:fill="EFE784"/>
            <w:noWrap/>
            <w:vAlign w:val="bottom"/>
            <w:hideMark/>
          </w:tcPr>
          <w:p w14:paraId="68B0819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5.7</w:t>
            </w:r>
          </w:p>
        </w:tc>
        <w:tc>
          <w:tcPr>
            <w:tcW w:w="693" w:type="dxa"/>
            <w:tcBorders>
              <w:top w:val="nil"/>
              <w:left w:val="nil"/>
              <w:bottom w:val="nil"/>
              <w:right w:val="nil"/>
            </w:tcBorders>
            <w:shd w:val="clear" w:color="000000" w:fill="F87A6E"/>
            <w:noWrap/>
            <w:vAlign w:val="bottom"/>
            <w:hideMark/>
          </w:tcPr>
          <w:p w14:paraId="5669A7F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1.7</w:t>
            </w:r>
          </w:p>
        </w:tc>
        <w:tc>
          <w:tcPr>
            <w:tcW w:w="693" w:type="dxa"/>
            <w:tcBorders>
              <w:top w:val="nil"/>
              <w:left w:val="nil"/>
              <w:bottom w:val="nil"/>
              <w:right w:val="nil"/>
            </w:tcBorders>
            <w:shd w:val="clear" w:color="000000" w:fill="FBA576"/>
            <w:noWrap/>
            <w:vAlign w:val="bottom"/>
            <w:hideMark/>
          </w:tcPr>
          <w:p w14:paraId="2E5DD4E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3.0</w:t>
            </w:r>
          </w:p>
        </w:tc>
      </w:tr>
    </w:tbl>
    <w:p w14:paraId="7C4E1017" w14:textId="77777777" w:rsidR="003831BC" w:rsidRPr="00BA313B" w:rsidRDefault="003831BC" w:rsidP="003831BC">
      <w:pPr>
        <w:jc w:val="both"/>
        <w:rPr>
          <w:rFonts w:ascii="Century Gothic" w:hAnsi="Century Gothic"/>
        </w:rPr>
      </w:pPr>
    </w:p>
    <w:p w14:paraId="59CC3512"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table below shows the LSOAs with the top 10 highest overall weighted average scores (e.g. most likely to be active). These LSOAs are found amongst the least deprived areas of the districts of Basildon, Brentwood and Uttlesford. Communities and environment and housing are the potential areas of concern in these areas.</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307"/>
        <w:gridCol w:w="693"/>
        <w:gridCol w:w="480"/>
        <w:gridCol w:w="645"/>
        <w:gridCol w:w="494"/>
        <w:gridCol w:w="867"/>
        <w:gridCol w:w="519"/>
        <w:gridCol w:w="520"/>
        <w:gridCol w:w="693"/>
        <w:gridCol w:w="693"/>
        <w:gridCol w:w="693"/>
        <w:gridCol w:w="693"/>
        <w:gridCol w:w="693"/>
      </w:tblGrid>
      <w:tr w:rsidR="003831BC" w:rsidRPr="00BA313B" w14:paraId="0E368100" w14:textId="77777777" w:rsidTr="00DA302A">
        <w:trPr>
          <w:cantSplit/>
          <w:trHeight w:val="1001"/>
        </w:trPr>
        <w:tc>
          <w:tcPr>
            <w:tcW w:w="595" w:type="dxa"/>
            <w:shd w:val="clear" w:color="auto" w:fill="auto"/>
            <w:noWrap/>
            <w:textDirection w:val="btLr"/>
          </w:tcPr>
          <w:p w14:paraId="0A1CD0FA"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Weighted average rank</w:t>
            </w:r>
          </w:p>
        </w:tc>
        <w:tc>
          <w:tcPr>
            <w:tcW w:w="1307" w:type="dxa"/>
            <w:shd w:val="clear" w:color="auto" w:fill="auto"/>
            <w:noWrap/>
            <w:textDirection w:val="btLr"/>
          </w:tcPr>
          <w:p w14:paraId="0E89CDB5"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LSOA Name</w:t>
            </w:r>
          </w:p>
        </w:tc>
        <w:tc>
          <w:tcPr>
            <w:tcW w:w="693" w:type="dxa"/>
            <w:shd w:val="clear" w:color="auto" w:fill="auto"/>
            <w:noWrap/>
            <w:textDirection w:val="btLr"/>
          </w:tcPr>
          <w:p w14:paraId="57A545C9"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IMD 2019 decile</w:t>
            </w:r>
          </w:p>
        </w:tc>
        <w:tc>
          <w:tcPr>
            <w:tcW w:w="504" w:type="dxa"/>
            <w:textDirection w:val="btLr"/>
          </w:tcPr>
          <w:p w14:paraId="7A731039"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Weighted average</w:t>
            </w:r>
          </w:p>
        </w:tc>
        <w:tc>
          <w:tcPr>
            <w:tcW w:w="645" w:type="dxa"/>
            <w:shd w:val="clear" w:color="auto" w:fill="F2F2F2" w:themeFill="background1" w:themeFillShade="F2"/>
            <w:noWrap/>
            <w:textDirection w:val="btLr"/>
          </w:tcPr>
          <w:p w14:paraId="2B42639A"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Access &amp; transport Average</w:t>
            </w:r>
          </w:p>
        </w:tc>
        <w:tc>
          <w:tcPr>
            <w:tcW w:w="470" w:type="dxa"/>
            <w:shd w:val="clear" w:color="auto" w:fill="F2F2F2" w:themeFill="background1" w:themeFillShade="F2"/>
            <w:noWrap/>
            <w:textDirection w:val="btLr"/>
          </w:tcPr>
          <w:p w14:paraId="2CF3DF64"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Active Lives Average</w:t>
            </w:r>
          </w:p>
        </w:tc>
        <w:tc>
          <w:tcPr>
            <w:tcW w:w="867" w:type="dxa"/>
            <w:shd w:val="clear" w:color="auto" w:fill="F2F2F2" w:themeFill="background1" w:themeFillShade="F2"/>
            <w:noWrap/>
            <w:textDirection w:val="btLr"/>
          </w:tcPr>
          <w:p w14:paraId="22CDCE01"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Communities &amp; Environment Average</w:t>
            </w:r>
          </w:p>
        </w:tc>
        <w:tc>
          <w:tcPr>
            <w:tcW w:w="519" w:type="dxa"/>
            <w:shd w:val="clear" w:color="auto" w:fill="F2F2F2" w:themeFill="background1" w:themeFillShade="F2"/>
            <w:noWrap/>
            <w:textDirection w:val="btLr"/>
          </w:tcPr>
          <w:p w14:paraId="4C64CB90"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Crime Average</w:t>
            </w:r>
          </w:p>
        </w:tc>
        <w:tc>
          <w:tcPr>
            <w:tcW w:w="520" w:type="dxa"/>
            <w:shd w:val="clear" w:color="auto" w:fill="F2F2F2" w:themeFill="background1" w:themeFillShade="F2"/>
            <w:noWrap/>
            <w:textDirection w:val="btLr"/>
          </w:tcPr>
          <w:p w14:paraId="51E22CED"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Economy Average</w:t>
            </w:r>
          </w:p>
        </w:tc>
        <w:tc>
          <w:tcPr>
            <w:tcW w:w="693" w:type="dxa"/>
            <w:shd w:val="clear" w:color="auto" w:fill="F2F2F2" w:themeFill="background1" w:themeFillShade="F2"/>
            <w:noWrap/>
            <w:textDirection w:val="btLr"/>
          </w:tcPr>
          <w:p w14:paraId="6CE2633A"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Education &amp; Skills Average</w:t>
            </w:r>
          </w:p>
        </w:tc>
        <w:tc>
          <w:tcPr>
            <w:tcW w:w="693" w:type="dxa"/>
            <w:shd w:val="clear" w:color="auto" w:fill="F2F2F2" w:themeFill="background1" w:themeFillShade="F2"/>
            <w:noWrap/>
            <w:textDirection w:val="btLr"/>
          </w:tcPr>
          <w:p w14:paraId="44058DD3"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Health Average</w:t>
            </w:r>
          </w:p>
        </w:tc>
        <w:tc>
          <w:tcPr>
            <w:tcW w:w="693" w:type="dxa"/>
            <w:shd w:val="clear" w:color="auto" w:fill="F2F2F2" w:themeFill="background1" w:themeFillShade="F2"/>
            <w:noWrap/>
            <w:textDirection w:val="btLr"/>
          </w:tcPr>
          <w:p w14:paraId="241EA4E8"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Housing Average</w:t>
            </w:r>
          </w:p>
        </w:tc>
        <w:tc>
          <w:tcPr>
            <w:tcW w:w="693" w:type="dxa"/>
            <w:shd w:val="clear" w:color="auto" w:fill="F2F2F2" w:themeFill="background1" w:themeFillShade="F2"/>
            <w:noWrap/>
            <w:textDirection w:val="btLr"/>
          </w:tcPr>
          <w:p w14:paraId="46A9162C"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Population Average</w:t>
            </w:r>
          </w:p>
        </w:tc>
        <w:tc>
          <w:tcPr>
            <w:tcW w:w="693" w:type="dxa"/>
            <w:shd w:val="clear" w:color="auto" w:fill="F2F2F2" w:themeFill="background1" w:themeFillShade="F2"/>
            <w:noWrap/>
            <w:textDirection w:val="btLr"/>
          </w:tcPr>
          <w:p w14:paraId="5FC4712C" w14:textId="77777777" w:rsidR="003831BC" w:rsidRPr="00BA313B" w:rsidRDefault="003831BC" w:rsidP="00DA302A">
            <w:pPr>
              <w:spacing w:after="0" w:line="240" w:lineRule="auto"/>
              <w:ind w:left="113" w:right="113"/>
              <w:jc w:val="both"/>
              <w:rPr>
                <w:rFonts w:ascii="Century Gothic" w:eastAsia="Times New Roman" w:hAnsi="Century Gothic" w:cs="Calibri"/>
                <w:color w:val="000000"/>
                <w:sz w:val="14"/>
                <w:szCs w:val="14"/>
                <w:lang w:eastAsia="en-GB"/>
              </w:rPr>
            </w:pPr>
            <w:r w:rsidRPr="00BA313B">
              <w:rPr>
                <w:rFonts w:ascii="Century Gothic" w:eastAsia="Times New Roman" w:hAnsi="Century Gothic" w:cs="Calibri"/>
                <w:color w:val="000000"/>
                <w:sz w:val="14"/>
                <w:szCs w:val="14"/>
                <w:lang w:eastAsia="en-GB"/>
              </w:rPr>
              <w:t>Vulnerable Groups Average</w:t>
            </w:r>
          </w:p>
        </w:tc>
      </w:tr>
      <w:tr w:rsidR="003831BC" w:rsidRPr="00BA313B" w14:paraId="708B7298" w14:textId="77777777" w:rsidTr="00DA302A">
        <w:trPr>
          <w:trHeight w:val="292"/>
        </w:trPr>
        <w:tc>
          <w:tcPr>
            <w:tcW w:w="595" w:type="dxa"/>
            <w:shd w:val="clear" w:color="auto" w:fill="auto"/>
            <w:noWrap/>
          </w:tcPr>
          <w:p w14:paraId="5BFF9293"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863</w:t>
            </w:r>
          </w:p>
        </w:tc>
        <w:tc>
          <w:tcPr>
            <w:tcW w:w="1307" w:type="dxa"/>
            <w:shd w:val="clear" w:color="auto" w:fill="auto"/>
            <w:noWrap/>
          </w:tcPr>
          <w:p w14:paraId="76A6E65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Basildon 002C</w:t>
            </w:r>
          </w:p>
        </w:tc>
        <w:tc>
          <w:tcPr>
            <w:tcW w:w="693" w:type="dxa"/>
            <w:shd w:val="clear" w:color="auto" w:fill="auto"/>
            <w:noWrap/>
          </w:tcPr>
          <w:p w14:paraId="7BE0A399"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73F123BC"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8.5</w:t>
            </w:r>
          </w:p>
        </w:tc>
        <w:tc>
          <w:tcPr>
            <w:tcW w:w="645" w:type="dxa"/>
            <w:tcBorders>
              <w:top w:val="nil"/>
              <w:left w:val="nil"/>
              <w:bottom w:val="nil"/>
              <w:right w:val="nil"/>
            </w:tcBorders>
            <w:shd w:val="clear" w:color="000000" w:fill="EDE683"/>
            <w:noWrap/>
            <w:vAlign w:val="bottom"/>
          </w:tcPr>
          <w:p w14:paraId="04F4C69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5.8</w:t>
            </w:r>
          </w:p>
        </w:tc>
        <w:tc>
          <w:tcPr>
            <w:tcW w:w="470" w:type="dxa"/>
            <w:tcBorders>
              <w:top w:val="nil"/>
              <w:left w:val="nil"/>
              <w:bottom w:val="nil"/>
              <w:right w:val="nil"/>
            </w:tcBorders>
            <w:shd w:val="clear" w:color="000000" w:fill="CBDC81"/>
            <w:noWrap/>
            <w:vAlign w:val="bottom"/>
          </w:tcPr>
          <w:p w14:paraId="3D72E92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867" w:type="dxa"/>
            <w:tcBorders>
              <w:top w:val="nil"/>
              <w:left w:val="nil"/>
              <w:bottom w:val="nil"/>
              <w:right w:val="nil"/>
            </w:tcBorders>
            <w:shd w:val="clear" w:color="000000" w:fill="F9E984"/>
            <w:noWrap/>
            <w:vAlign w:val="bottom"/>
          </w:tcPr>
          <w:p w14:paraId="7C67E27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5.5</w:t>
            </w:r>
          </w:p>
        </w:tc>
        <w:tc>
          <w:tcPr>
            <w:tcW w:w="519" w:type="dxa"/>
            <w:tcBorders>
              <w:top w:val="nil"/>
              <w:left w:val="nil"/>
              <w:bottom w:val="nil"/>
              <w:right w:val="nil"/>
            </w:tcBorders>
            <w:shd w:val="clear" w:color="000000" w:fill="63BE7B"/>
            <w:noWrap/>
            <w:vAlign w:val="bottom"/>
          </w:tcPr>
          <w:p w14:paraId="386728B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9.4</w:t>
            </w:r>
          </w:p>
        </w:tc>
        <w:tc>
          <w:tcPr>
            <w:tcW w:w="520" w:type="dxa"/>
            <w:tcBorders>
              <w:top w:val="nil"/>
              <w:left w:val="nil"/>
              <w:bottom w:val="nil"/>
              <w:right w:val="nil"/>
            </w:tcBorders>
            <w:shd w:val="clear" w:color="000000" w:fill="C2DA81"/>
            <w:noWrap/>
            <w:vAlign w:val="bottom"/>
          </w:tcPr>
          <w:p w14:paraId="68921E0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6.9</w:t>
            </w:r>
          </w:p>
        </w:tc>
        <w:tc>
          <w:tcPr>
            <w:tcW w:w="693" w:type="dxa"/>
            <w:tcBorders>
              <w:top w:val="nil"/>
              <w:left w:val="nil"/>
              <w:bottom w:val="nil"/>
              <w:right w:val="nil"/>
            </w:tcBorders>
            <w:shd w:val="clear" w:color="000000" w:fill="B4D680"/>
            <w:noWrap/>
            <w:vAlign w:val="bottom"/>
          </w:tcPr>
          <w:p w14:paraId="489767D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c>
          <w:tcPr>
            <w:tcW w:w="693" w:type="dxa"/>
            <w:tcBorders>
              <w:top w:val="nil"/>
              <w:left w:val="nil"/>
              <w:bottom w:val="nil"/>
              <w:right w:val="nil"/>
            </w:tcBorders>
            <w:shd w:val="clear" w:color="000000" w:fill="C4DA81"/>
            <w:noWrap/>
            <w:vAlign w:val="bottom"/>
          </w:tcPr>
          <w:p w14:paraId="737830E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6.9</w:t>
            </w:r>
          </w:p>
        </w:tc>
        <w:tc>
          <w:tcPr>
            <w:tcW w:w="693" w:type="dxa"/>
            <w:tcBorders>
              <w:top w:val="nil"/>
              <w:left w:val="nil"/>
              <w:bottom w:val="nil"/>
              <w:right w:val="nil"/>
            </w:tcBorders>
            <w:shd w:val="clear" w:color="000000" w:fill="FEE382"/>
            <w:noWrap/>
            <w:vAlign w:val="bottom"/>
          </w:tcPr>
          <w:p w14:paraId="64F9AAF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5.0</w:t>
            </w:r>
          </w:p>
        </w:tc>
        <w:tc>
          <w:tcPr>
            <w:tcW w:w="693" w:type="dxa"/>
            <w:tcBorders>
              <w:top w:val="nil"/>
              <w:left w:val="nil"/>
              <w:bottom w:val="nil"/>
              <w:right w:val="nil"/>
            </w:tcBorders>
            <w:shd w:val="clear" w:color="000000" w:fill="99CE7F"/>
            <w:noWrap/>
            <w:vAlign w:val="bottom"/>
          </w:tcPr>
          <w:p w14:paraId="591FDE4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8.0</w:t>
            </w:r>
          </w:p>
        </w:tc>
        <w:tc>
          <w:tcPr>
            <w:tcW w:w="693" w:type="dxa"/>
            <w:tcBorders>
              <w:top w:val="nil"/>
              <w:left w:val="nil"/>
              <w:bottom w:val="nil"/>
              <w:right w:val="nil"/>
            </w:tcBorders>
            <w:shd w:val="clear" w:color="000000" w:fill="B5D680"/>
            <w:noWrap/>
            <w:vAlign w:val="bottom"/>
          </w:tcPr>
          <w:p w14:paraId="369E435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r>
      <w:tr w:rsidR="003831BC" w:rsidRPr="00BA313B" w14:paraId="72537CFF" w14:textId="77777777" w:rsidTr="00DA302A">
        <w:trPr>
          <w:trHeight w:val="292"/>
        </w:trPr>
        <w:tc>
          <w:tcPr>
            <w:tcW w:w="595" w:type="dxa"/>
            <w:shd w:val="clear" w:color="auto" w:fill="auto"/>
            <w:noWrap/>
          </w:tcPr>
          <w:p w14:paraId="30B81E5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864</w:t>
            </w:r>
          </w:p>
        </w:tc>
        <w:tc>
          <w:tcPr>
            <w:tcW w:w="1307" w:type="dxa"/>
            <w:shd w:val="clear" w:color="auto" w:fill="auto"/>
            <w:noWrap/>
          </w:tcPr>
          <w:p w14:paraId="226FCEE3"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Basildon 004B</w:t>
            </w:r>
          </w:p>
        </w:tc>
        <w:tc>
          <w:tcPr>
            <w:tcW w:w="693" w:type="dxa"/>
            <w:shd w:val="clear" w:color="auto" w:fill="auto"/>
            <w:noWrap/>
          </w:tcPr>
          <w:p w14:paraId="36609C8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3362AF01"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8.6</w:t>
            </w:r>
          </w:p>
        </w:tc>
        <w:tc>
          <w:tcPr>
            <w:tcW w:w="645" w:type="dxa"/>
            <w:tcBorders>
              <w:top w:val="nil"/>
              <w:left w:val="nil"/>
              <w:bottom w:val="nil"/>
              <w:right w:val="nil"/>
            </w:tcBorders>
            <w:shd w:val="clear" w:color="000000" w:fill="D0DE82"/>
            <w:noWrap/>
            <w:vAlign w:val="bottom"/>
          </w:tcPr>
          <w:p w14:paraId="6BE094C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6.5</w:t>
            </w:r>
          </w:p>
        </w:tc>
        <w:tc>
          <w:tcPr>
            <w:tcW w:w="470" w:type="dxa"/>
            <w:tcBorders>
              <w:top w:val="nil"/>
              <w:left w:val="nil"/>
              <w:bottom w:val="nil"/>
              <w:right w:val="nil"/>
            </w:tcBorders>
            <w:shd w:val="clear" w:color="000000" w:fill="CBDC81"/>
            <w:noWrap/>
            <w:vAlign w:val="bottom"/>
          </w:tcPr>
          <w:p w14:paraId="21B860D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867" w:type="dxa"/>
            <w:tcBorders>
              <w:top w:val="nil"/>
              <w:left w:val="nil"/>
              <w:bottom w:val="nil"/>
              <w:right w:val="nil"/>
            </w:tcBorders>
            <w:shd w:val="clear" w:color="000000" w:fill="EBE683"/>
            <w:noWrap/>
            <w:vAlign w:val="bottom"/>
          </w:tcPr>
          <w:p w14:paraId="3968347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5.8</w:t>
            </w:r>
          </w:p>
        </w:tc>
        <w:tc>
          <w:tcPr>
            <w:tcW w:w="519" w:type="dxa"/>
            <w:tcBorders>
              <w:top w:val="nil"/>
              <w:left w:val="nil"/>
              <w:bottom w:val="nil"/>
              <w:right w:val="nil"/>
            </w:tcBorders>
            <w:shd w:val="clear" w:color="000000" w:fill="D1DE82"/>
            <w:noWrap/>
            <w:vAlign w:val="bottom"/>
          </w:tcPr>
          <w:p w14:paraId="6DB22FB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6.5</w:t>
            </w:r>
          </w:p>
        </w:tc>
        <w:tc>
          <w:tcPr>
            <w:tcW w:w="520" w:type="dxa"/>
            <w:tcBorders>
              <w:top w:val="nil"/>
              <w:left w:val="nil"/>
              <w:bottom w:val="nil"/>
              <w:right w:val="nil"/>
            </w:tcBorders>
            <w:shd w:val="clear" w:color="000000" w:fill="AFD480"/>
            <w:noWrap/>
            <w:vAlign w:val="bottom"/>
          </w:tcPr>
          <w:p w14:paraId="67DE7CC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c>
          <w:tcPr>
            <w:tcW w:w="693" w:type="dxa"/>
            <w:tcBorders>
              <w:top w:val="nil"/>
              <w:left w:val="nil"/>
              <w:bottom w:val="nil"/>
              <w:right w:val="nil"/>
            </w:tcBorders>
            <w:shd w:val="clear" w:color="000000" w:fill="94CC7E"/>
            <w:noWrap/>
            <w:vAlign w:val="bottom"/>
          </w:tcPr>
          <w:p w14:paraId="5D66397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8.1</w:t>
            </w:r>
          </w:p>
        </w:tc>
        <w:tc>
          <w:tcPr>
            <w:tcW w:w="693" w:type="dxa"/>
            <w:tcBorders>
              <w:top w:val="nil"/>
              <w:left w:val="nil"/>
              <w:bottom w:val="nil"/>
              <w:right w:val="nil"/>
            </w:tcBorders>
            <w:shd w:val="clear" w:color="000000" w:fill="B4D680"/>
            <w:noWrap/>
            <w:vAlign w:val="bottom"/>
          </w:tcPr>
          <w:p w14:paraId="35B722C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c>
          <w:tcPr>
            <w:tcW w:w="693" w:type="dxa"/>
            <w:tcBorders>
              <w:top w:val="nil"/>
              <w:left w:val="nil"/>
              <w:bottom w:val="nil"/>
              <w:right w:val="nil"/>
            </w:tcBorders>
            <w:shd w:val="clear" w:color="000000" w:fill="DFE283"/>
            <w:noWrap/>
            <w:vAlign w:val="bottom"/>
          </w:tcPr>
          <w:p w14:paraId="4DBF28D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6.1</w:t>
            </w:r>
          </w:p>
        </w:tc>
        <w:tc>
          <w:tcPr>
            <w:tcW w:w="693" w:type="dxa"/>
            <w:tcBorders>
              <w:top w:val="nil"/>
              <w:left w:val="nil"/>
              <w:bottom w:val="nil"/>
              <w:right w:val="nil"/>
            </w:tcBorders>
            <w:shd w:val="clear" w:color="000000" w:fill="FDD47F"/>
            <w:noWrap/>
            <w:vAlign w:val="bottom"/>
          </w:tcPr>
          <w:p w14:paraId="398F223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4.6</w:t>
            </w:r>
          </w:p>
        </w:tc>
        <w:tc>
          <w:tcPr>
            <w:tcW w:w="693" w:type="dxa"/>
            <w:tcBorders>
              <w:top w:val="nil"/>
              <w:left w:val="nil"/>
              <w:bottom w:val="nil"/>
              <w:right w:val="nil"/>
            </w:tcBorders>
            <w:shd w:val="clear" w:color="000000" w:fill="C0D981"/>
            <w:noWrap/>
            <w:vAlign w:val="bottom"/>
          </w:tcPr>
          <w:p w14:paraId="43215F5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7.0</w:t>
            </w:r>
          </w:p>
        </w:tc>
      </w:tr>
      <w:tr w:rsidR="003831BC" w:rsidRPr="00BA313B" w14:paraId="326215E7" w14:textId="77777777" w:rsidTr="00DA302A">
        <w:trPr>
          <w:trHeight w:val="292"/>
        </w:trPr>
        <w:tc>
          <w:tcPr>
            <w:tcW w:w="595" w:type="dxa"/>
            <w:shd w:val="clear" w:color="auto" w:fill="auto"/>
            <w:noWrap/>
          </w:tcPr>
          <w:p w14:paraId="07EF2E2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865</w:t>
            </w:r>
          </w:p>
        </w:tc>
        <w:tc>
          <w:tcPr>
            <w:tcW w:w="1307" w:type="dxa"/>
            <w:shd w:val="clear" w:color="auto" w:fill="auto"/>
            <w:noWrap/>
          </w:tcPr>
          <w:p w14:paraId="7DCAA78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Brentwood 005D</w:t>
            </w:r>
          </w:p>
        </w:tc>
        <w:tc>
          <w:tcPr>
            <w:tcW w:w="693" w:type="dxa"/>
            <w:shd w:val="clear" w:color="auto" w:fill="auto"/>
            <w:noWrap/>
          </w:tcPr>
          <w:p w14:paraId="628A78B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754673E0"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8.6</w:t>
            </w:r>
          </w:p>
        </w:tc>
        <w:tc>
          <w:tcPr>
            <w:tcW w:w="645" w:type="dxa"/>
            <w:tcBorders>
              <w:top w:val="nil"/>
              <w:left w:val="nil"/>
              <w:bottom w:val="nil"/>
              <w:right w:val="nil"/>
            </w:tcBorders>
            <w:shd w:val="clear" w:color="000000" w:fill="D3DF82"/>
            <w:noWrap/>
            <w:vAlign w:val="bottom"/>
          </w:tcPr>
          <w:p w14:paraId="2AD83F5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6.5</w:t>
            </w:r>
          </w:p>
        </w:tc>
        <w:tc>
          <w:tcPr>
            <w:tcW w:w="470" w:type="dxa"/>
            <w:tcBorders>
              <w:top w:val="nil"/>
              <w:left w:val="nil"/>
              <w:bottom w:val="nil"/>
              <w:right w:val="nil"/>
            </w:tcBorders>
            <w:shd w:val="clear" w:color="000000" w:fill="A6D27F"/>
            <w:noWrap/>
            <w:vAlign w:val="bottom"/>
          </w:tcPr>
          <w:p w14:paraId="4502432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867" w:type="dxa"/>
            <w:tcBorders>
              <w:top w:val="nil"/>
              <w:left w:val="nil"/>
              <w:bottom w:val="nil"/>
              <w:right w:val="nil"/>
            </w:tcBorders>
            <w:shd w:val="clear" w:color="000000" w:fill="E5E483"/>
            <w:noWrap/>
            <w:vAlign w:val="bottom"/>
          </w:tcPr>
          <w:p w14:paraId="02D7B7A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6.0</w:t>
            </w:r>
          </w:p>
        </w:tc>
        <w:tc>
          <w:tcPr>
            <w:tcW w:w="519" w:type="dxa"/>
            <w:tcBorders>
              <w:top w:val="nil"/>
              <w:left w:val="nil"/>
              <w:bottom w:val="nil"/>
              <w:right w:val="nil"/>
            </w:tcBorders>
            <w:shd w:val="clear" w:color="000000" w:fill="FA9F75"/>
            <w:noWrap/>
            <w:vAlign w:val="bottom"/>
          </w:tcPr>
          <w:p w14:paraId="28ADD5F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2.9</w:t>
            </w:r>
          </w:p>
        </w:tc>
        <w:tc>
          <w:tcPr>
            <w:tcW w:w="520" w:type="dxa"/>
            <w:tcBorders>
              <w:top w:val="nil"/>
              <w:left w:val="nil"/>
              <w:bottom w:val="nil"/>
              <w:right w:val="nil"/>
            </w:tcBorders>
            <w:shd w:val="clear" w:color="000000" w:fill="A2D17F"/>
            <w:noWrap/>
            <w:vAlign w:val="bottom"/>
          </w:tcPr>
          <w:p w14:paraId="2FF5489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A9D27F"/>
            <w:noWrap/>
            <w:vAlign w:val="bottom"/>
          </w:tcPr>
          <w:p w14:paraId="6FEE584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7.6</w:t>
            </w:r>
          </w:p>
        </w:tc>
        <w:tc>
          <w:tcPr>
            <w:tcW w:w="693" w:type="dxa"/>
            <w:tcBorders>
              <w:top w:val="nil"/>
              <w:left w:val="nil"/>
              <w:bottom w:val="nil"/>
              <w:right w:val="nil"/>
            </w:tcBorders>
            <w:shd w:val="clear" w:color="000000" w:fill="A2D17F"/>
            <w:noWrap/>
            <w:vAlign w:val="bottom"/>
          </w:tcPr>
          <w:p w14:paraId="25BDF8C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693" w:type="dxa"/>
            <w:tcBorders>
              <w:top w:val="nil"/>
              <w:left w:val="nil"/>
              <w:bottom w:val="nil"/>
              <w:right w:val="nil"/>
            </w:tcBorders>
            <w:shd w:val="clear" w:color="000000" w:fill="E9E583"/>
            <w:noWrap/>
            <w:vAlign w:val="bottom"/>
          </w:tcPr>
          <w:p w14:paraId="03FCF74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5.9</w:t>
            </w:r>
          </w:p>
        </w:tc>
        <w:tc>
          <w:tcPr>
            <w:tcW w:w="693" w:type="dxa"/>
            <w:tcBorders>
              <w:top w:val="nil"/>
              <w:left w:val="nil"/>
              <w:bottom w:val="nil"/>
              <w:right w:val="nil"/>
            </w:tcBorders>
            <w:shd w:val="clear" w:color="000000" w:fill="AAD380"/>
            <w:noWrap/>
            <w:vAlign w:val="bottom"/>
          </w:tcPr>
          <w:p w14:paraId="1AA73F9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7.6</w:t>
            </w:r>
          </w:p>
        </w:tc>
        <w:tc>
          <w:tcPr>
            <w:tcW w:w="693" w:type="dxa"/>
            <w:tcBorders>
              <w:top w:val="nil"/>
              <w:left w:val="nil"/>
              <w:bottom w:val="nil"/>
              <w:right w:val="nil"/>
            </w:tcBorders>
            <w:shd w:val="clear" w:color="000000" w:fill="BBD881"/>
            <w:noWrap/>
            <w:vAlign w:val="bottom"/>
          </w:tcPr>
          <w:p w14:paraId="1D3FC48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7.1</w:t>
            </w:r>
          </w:p>
        </w:tc>
      </w:tr>
      <w:tr w:rsidR="003831BC" w:rsidRPr="00BA313B" w14:paraId="5B7D2F49" w14:textId="77777777" w:rsidTr="00DA302A">
        <w:trPr>
          <w:trHeight w:val="292"/>
        </w:trPr>
        <w:tc>
          <w:tcPr>
            <w:tcW w:w="595" w:type="dxa"/>
            <w:shd w:val="clear" w:color="auto" w:fill="auto"/>
            <w:noWrap/>
          </w:tcPr>
          <w:p w14:paraId="77EF099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866</w:t>
            </w:r>
          </w:p>
        </w:tc>
        <w:tc>
          <w:tcPr>
            <w:tcW w:w="1307" w:type="dxa"/>
            <w:shd w:val="clear" w:color="auto" w:fill="auto"/>
            <w:noWrap/>
          </w:tcPr>
          <w:p w14:paraId="2850F646"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Basildon 001E</w:t>
            </w:r>
          </w:p>
        </w:tc>
        <w:tc>
          <w:tcPr>
            <w:tcW w:w="693" w:type="dxa"/>
            <w:shd w:val="clear" w:color="auto" w:fill="auto"/>
            <w:noWrap/>
          </w:tcPr>
          <w:p w14:paraId="4504A948"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5EDEFE6E"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8.6</w:t>
            </w:r>
          </w:p>
        </w:tc>
        <w:tc>
          <w:tcPr>
            <w:tcW w:w="645" w:type="dxa"/>
            <w:tcBorders>
              <w:top w:val="nil"/>
              <w:left w:val="nil"/>
              <w:bottom w:val="nil"/>
              <w:right w:val="nil"/>
            </w:tcBorders>
            <w:shd w:val="clear" w:color="000000" w:fill="FBEA84"/>
            <w:noWrap/>
            <w:vAlign w:val="bottom"/>
          </w:tcPr>
          <w:p w14:paraId="2BD3A28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5.4</w:t>
            </w:r>
          </w:p>
        </w:tc>
        <w:tc>
          <w:tcPr>
            <w:tcW w:w="470" w:type="dxa"/>
            <w:tcBorders>
              <w:top w:val="nil"/>
              <w:left w:val="nil"/>
              <w:bottom w:val="nil"/>
              <w:right w:val="nil"/>
            </w:tcBorders>
            <w:shd w:val="clear" w:color="000000" w:fill="CBDC81"/>
            <w:noWrap/>
            <w:vAlign w:val="bottom"/>
          </w:tcPr>
          <w:p w14:paraId="710F8D8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867" w:type="dxa"/>
            <w:tcBorders>
              <w:top w:val="nil"/>
              <w:left w:val="nil"/>
              <w:bottom w:val="nil"/>
              <w:right w:val="nil"/>
            </w:tcBorders>
            <w:shd w:val="clear" w:color="000000" w:fill="FED980"/>
            <w:noWrap/>
            <w:vAlign w:val="bottom"/>
          </w:tcPr>
          <w:p w14:paraId="7CB473F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4.7</w:t>
            </w:r>
          </w:p>
        </w:tc>
        <w:tc>
          <w:tcPr>
            <w:tcW w:w="519" w:type="dxa"/>
            <w:tcBorders>
              <w:top w:val="nil"/>
              <w:left w:val="nil"/>
              <w:bottom w:val="nil"/>
              <w:right w:val="nil"/>
            </w:tcBorders>
            <w:shd w:val="clear" w:color="000000" w:fill="74C37C"/>
            <w:noWrap/>
            <w:vAlign w:val="bottom"/>
          </w:tcPr>
          <w:p w14:paraId="31D2A0E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9.0</w:t>
            </w:r>
          </w:p>
        </w:tc>
        <w:tc>
          <w:tcPr>
            <w:tcW w:w="520" w:type="dxa"/>
            <w:tcBorders>
              <w:top w:val="nil"/>
              <w:left w:val="nil"/>
              <w:bottom w:val="nil"/>
              <w:right w:val="nil"/>
            </w:tcBorders>
            <w:shd w:val="clear" w:color="000000" w:fill="BFD981"/>
            <w:noWrap/>
            <w:vAlign w:val="bottom"/>
          </w:tcPr>
          <w:p w14:paraId="7874933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7.0</w:t>
            </w:r>
          </w:p>
        </w:tc>
        <w:tc>
          <w:tcPr>
            <w:tcW w:w="693" w:type="dxa"/>
            <w:tcBorders>
              <w:top w:val="nil"/>
              <w:left w:val="nil"/>
              <w:bottom w:val="nil"/>
              <w:right w:val="nil"/>
            </w:tcBorders>
            <w:shd w:val="clear" w:color="000000" w:fill="B7D780"/>
            <w:noWrap/>
            <w:vAlign w:val="bottom"/>
          </w:tcPr>
          <w:p w14:paraId="2B408D2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7.2</w:t>
            </w:r>
          </w:p>
        </w:tc>
        <w:tc>
          <w:tcPr>
            <w:tcW w:w="693" w:type="dxa"/>
            <w:tcBorders>
              <w:top w:val="nil"/>
              <w:left w:val="nil"/>
              <w:bottom w:val="nil"/>
              <w:right w:val="nil"/>
            </w:tcBorders>
            <w:shd w:val="clear" w:color="000000" w:fill="B0D580"/>
            <w:noWrap/>
            <w:vAlign w:val="bottom"/>
          </w:tcPr>
          <w:p w14:paraId="6673176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c>
          <w:tcPr>
            <w:tcW w:w="693" w:type="dxa"/>
            <w:tcBorders>
              <w:top w:val="nil"/>
              <w:left w:val="nil"/>
              <w:bottom w:val="nil"/>
              <w:right w:val="nil"/>
            </w:tcBorders>
            <w:shd w:val="clear" w:color="000000" w:fill="F8E984"/>
            <w:noWrap/>
            <w:vAlign w:val="bottom"/>
          </w:tcPr>
          <w:p w14:paraId="6855EA9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5.5</w:t>
            </w:r>
          </w:p>
        </w:tc>
        <w:tc>
          <w:tcPr>
            <w:tcW w:w="693" w:type="dxa"/>
            <w:tcBorders>
              <w:top w:val="nil"/>
              <w:left w:val="nil"/>
              <w:bottom w:val="nil"/>
              <w:right w:val="nil"/>
            </w:tcBorders>
            <w:shd w:val="clear" w:color="000000" w:fill="AAD380"/>
            <w:noWrap/>
            <w:vAlign w:val="bottom"/>
          </w:tcPr>
          <w:p w14:paraId="4316703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7.6</w:t>
            </w:r>
          </w:p>
        </w:tc>
        <w:tc>
          <w:tcPr>
            <w:tcW w:w="693" w:type="dxa"/>
            <w:tcBorders>
              <w:top w:val="nil"/>
              <w:left w:val="nil"/>
              <w:bottom w:val="nil"/>
              <w:right w:val="nil"/>
            </w:tcBorders>
            <w:shd w:val="clear" w:color="000000" w:fill="B5D680"/>
            <w:noWrap/>
            <w:vAlign w:val="bottom"/>
          </w:tcPr>
          <w:p w14:paraId="4EDBA60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r>
      <w:tr w:rsidR="003831BC" w:rsidRPr="00BA313B" w14:paraId="6EB21058" w14:textId="77777777" w:rsidTr="00DA302A">
        <w:trPr>
          <w:trHeight w:val="292"/>
        </w:trPr>
        <w:tc>
          <w:tcPr>
            <w:tcW w:w="595" w:type="dxa"/>
            <w:shd w:val="clear" w:color="auto" w:fill="auto"/>
            <w:noWrap/>
          </w:tcPr>
          <w:p w14:paraId="6C8BEE1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867</w:t>
            </w:r>
          </w:p>
        </w:tc>
        <w:tc>
          <w:tcPr>
            <w:tcW w:w="1307" w:type="dxa"/>
            <w:shd w:val="clear" w:color="auto" w:fill="auto"/>
            <w:noWrap/>
          </w:tcPr>
          <w:p w14:paraId="4F38E74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Basildon 003B</w:t>
            </w:r>
          </w:p>
        </w:tc>
        <w:tc>
          <w:tcPr>
            <w:tcW w:w="693" w:type="dxa"/>
            <w:shd w:val="clear" w:color="auto" w:fill="auto"/>
            <w:noWrap/>
          </w:tcPr>
          <w:p w14:paraId="550C83C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9</w:t>
            </w:r>
          </w:p>
        </w:tc>
        <w:tc>
          <w:tcPr>
            <w:tcW w:w="504" w:type="dxa"/>
          </w:tcPr>
          <w:p w14:paraId="5C292B7C"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8.7</w:t>
            </w:r>
          </w:p>
        </w:tc>
        <w:tc>
          <w:tcPr>
            <w:tcW w:w="645" w:type="dxa"/>
            <w:tcBorders>
              <w:top w:val="nil"/>
              <w:left w:val="nil"/>
              <w:bottom w:val="nil"/>
              <w:right w:val="nil"/>
            </w:tcBorders>
            <w:shd w:val="clear" w:color="000000" w:fill="C1DA81"/>
            <w:noWrap/>
            <w:vAlign w:val="bottom"/>
          </w:tcPr>
          <w:p w14:paraId="32760FF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6.9</w:t>
            </w:r>
          </w:p>
        </w:tc>
        <w:tc>
          <w:tcPr>
            <w:tcW w:w="470" w:type="dxa"/>
            <w:tcBorders>
              <w:top w:val="nil"/>
              <w:left w:val="nil"/>
              <w:bottom w:val="nil"/>
              <w:right w:val="nil"/>
            </w:tcBorders>
            <w:shd w:val="clear" w:color="000000" w:fill="CBDC81"/>
            <w:noWrap/>
            <w:vAlign w:val="bottom"/>
          </w:tcPr>
          <w:p w14:paraId="76500B8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867" w:type="dxa"/>
            <w:tcBorders>
              <w:top w:val="nil"/>
              <w:left w:val="nil"/>
              <w:bottom w:val="nil"/>
              <w:right w:val="nil"/>
            </w:tcBorders>
            <w:shd w:val="clear" w:color="000000" w:fill="E4E483"/>
            <w:noWrap/>
            <w:vAlign w:val="bottom"/>
          </w:tcPr>
          <w:p w14:paraId="77D6A00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6.0</w:t>
            </w:r>
          </w:p>
        </w:tc>
        <w:tc>
          <w:tcPr>
            <w:tcW w:w="519" w:type="dxa"/>
            <w:tcBorders>
              <w:top w:val="nil"/>
              <w:left w:val="nil"/>
              <w:bottom w:val="nil"/>
              <w:right w:val="nil"/>
            </w:tcBorders>
            <w:shd w:val="clear" w:color="000000" w:fill="CCDD82"/>
            <w:noWrap/>
            <w:vAlign w:val="bottom"/>
          </w:tcPr>
          <w:p w14:paraId="7FC69EC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6.6</w:t>
            </w:r>
          </w:p>
        </w:tc>
        <w:tc>
          <w:tcPr>
            <w:tcW w:w="520" w:type="dxa"/>
            <w:tcBorders>
              <w:top w:val="nil"/>
              <w:left w:val="nil"/>
              <w:bottom w:val="nil"/>
              <w:right w:val="nil"/>
            </w:tcBorders>
            <w:shd w:val="clear" w:color="000000" w:fill="93CC7E"/>
            <w:noWrap/>
            <w:vAlign w:val="bottom"/>
          </w:tcPr>
          <w:p w14:paraId="01C6684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8.2</w:t>
            </w:r>
          </w:p>
        </w:tc>
        <w:tc>
          <w:tcPr>
            <w:tcW w:w="693" w:type="dxa"/>
            <w:tcBorders>
              <w:top w:val="nil"/>
              <w:left w:val="nil"/>
              <w:bottom w:val="nil"/>
              <w:right w:val="nil"/>
            </w:tcBorders>
            <w:shd w:val="clear" w:color="000000" w:fill="A2D17F"/>
            <w:noWrap/>
            <w:vAlign w:val="bottom"/>
          </w:tcPr>
          <w:p w14:paraId="339C1F6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BCD881"/>
            <w:noWrap/>
            <w:vAlign w:val="bottom"/>
          </w:tcPr>
          <w:p w14:paraId="076C71B5"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7.1</w:t>
            </w:r>
          </w:p>
        </w:tc>
        <w:tc>
          <w:tcPr>
            <w:tcW w:w="693" w:type="dxa"/>
            <w:tcBorders>
              <w:top w:val="nil"/>
              <w:left w:val="nil"/>
              <w:bottom w:val="nil"/>
              <w:right w:val="nil"/>
            </w:tcBorders>
            <w:shd w:val="clear" w:color="000000" w:fill="ECE683"/>
            <w:noWrap/>
            <w:vAlign w:val="bottom"/>
          </w:tcPr>
          <w:p w14:paraId="6652F05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5.8</w:t>
            </w:r>
          </w:p>
        </w:tc>
        <w:tc>
          <w:tcPr>
            <w:tcW w:w="693" w:type="dxa"/>
            <w:tcBorders>
              <w:top w:val="nil"/>
              <w:left w:val="nil"/>
              <w:bottom w:val="nil"/>
              <w:right w:val="nil"/>
            </w:tcBorders>
            <w:shd w:val="clear" w:color="000000" w:fill="F0E784"/>
            <w:noWrap/>
            <w:vAlign w:val="bottom"/>
          </w:tcPr>
          <w:p w14:paraId="16DB0D4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5.7</w:t>
            </w:r>
          </w:p>
        </w:tc>
        <w:tc>
          <w:tcPr>
            <w:tcW w:w="693" w:type="dxa"/>
            <w:tcBorders>
              <w:top w:val="nil"/>
              <w:left w:val="nil"/>
              <w:bottom w:val="nil"/>
              <w:right w:val="nil"/>
            </w:tcBorders>
            <w:shd w:val="clear" w:color="000000" w:fill="CCDD82"/>
            <w:noWrap/>
            <w:vAlign w:val="bottom"/>
          </w:tcPr>
          <w:p w14:paraId="6C9A18B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r>
      <w:tr w:rsidR="003831BC" w:rsidRPr="00BA313B" w14:paraId="60EE3088" w14:textId="77777777" w:rsidTr="00DA302A">
        <w:trPr>
          <w:trHeight w:val="292"/>
        </w:trPr>
        <w:tc>
          <w:tcPr>
            <w:tcW w:w="595" w:type="dxa"/>
            <w:shd w:val="clear" w:color="auto" w:fill="auto"/>
            <w:noWrap/>
          </w:tcPr>
          <w:p w14:paraId="4029FC46"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868</w:t>
            </w:r>
          </w:p>
        </w:tc>
        <w:tc>
          <w:tcPr>
            <w:tcW w:w="1307" w:type="dxa"/>
            <w:shd w:val="clear" w:color="auto" w:fill="auto"/>
            <w:noWrap/>
          </w:tcPr>
          <w:p w14:paraId="25BFF075"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Basildon 001D</w:t>
            </w:r>
          </w:p>
        </w:tc>
        <w:tc>
          <w:tcPr>
            <w:tcW w:w="693" w:type="dxa"/>
            <w:shd w:val="clear" w:color="auto" w:fill="auto"/>
            <w:noWrap/>
          </w:tcPr>
          <w:p w14:paraId="4F7888F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5E2BBBCE"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8.7</w:t>
            </w:r>
          </w:p>
        </w:tc>
        <w:tc>
          <w:tcPr>
            <w:tcW w:w="645" w:type="dxa"/>
            <w:tcBorders>
              <w:top w:val="nil"/>
              <w:left w:val="nil"/>
              <w:bottom w:val="nil"/>
              <w:right w:val="nil"/>
            </w:tcBorders>
            <w:shd w:val="clear" w:color="000000" w:fill="FBEA84"/>
            <w:noWrap/>
            <w:vAlign w:val="bottom"/>
          </w:tcPr>
          <w:p w14:paraId="4ED0B7A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5.4</w:t>
            </w:r>
          </w:p>
        </w:tc>
        <w:tc>
          <w:tcPr>
            <w:tcW w:w="470" w:type="dxa"/>
            <w:tcBorders>
              <w:top w:val="nil"/>
              <w:left w:val="nil"/>
              <w:bottom w:val="nil"/>
              <w:right w:val="nil"/>
            </w:tcBorders>
            <w:shd w:val="clear" w:color="000000" w:fill="CBDC81"/>
            <w:noWrap/>
            <w:vAlign w:val="bottom"/>
          </w:tcPr>
          <w:p w14:paraId="3821ADF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867" w:type="dxa"/>
            <w:tcBorders>
              <w:top w:val="nil"/>
              <w:left w:val="nil"/>
              <w:bottom w:val="nil"/>
              <w:right w:val="nil"/>
            </w:tcBorders>
            <w:shd w:val="clear" w:color="000000" w:fill="FEE582"/>
            <w:noWrap/>
            <w:vAlign w:val="bottom"/>
          </w:tcPr>
          <w:p w14:paraId="7F1C076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519" w:type="dxa"/>
            <w:tcBorders>
              <w:top w:val="nil"/>
              <w:left w:val="nil"/>
              <w:bottom w:val="nil"/>
              <w:right w:val="nil"/>
            </w:tcBorders>
            <w:shd w:val="clear" w:color="000000" w:fill="86C97E"/>
            <w:noWrap/>
            <w:vAlign w:val="bottom"/>
          </w:tcPr>
          <w:p w14:paraId="7155652A"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8.5</w:t>
            </w:r>
          </w:p>
        </w:tc>
        <w:tc>
          <w:tcPr>
            <w:tcW w:w="520" w:type="dxa"/>
            <w:tcBorders>
              <w:top w:val="nil"/>
              <w:left w:val="nil"/>
              <w:bottom w:val="nil"/>
              <w:right w:val="nil"/>
            </w:tcBorders>
            <w:shd w:val="clear" w:color="000000" w:fill="B5D680"/>
            <w:noWrap/>
            <w:vAlign w:val="bottom"/>
          </w:tcPr>
          <w:p w14:paraId="7416FF9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c>
          <w:tcPr>
            <w:tcW w:w="693" w:type="dxa"/>
            <w:tcBorders>
              <w:top w:val="nil"/>
              <w:left w:val="nil"/>
              <w:bottom w:val="nil"/>
              <w:right w:val="nil"/>
            </w:tcBorders>
            <w:shd w:val="clear" w:color="000000" w:fill="99CE7F"/>
            <w:noWrap/>
            <w:vAlign w:val="bottom"/>
          </w:tcPr>
          <w:p w14:paraId="3158C72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8.0</w:t>
            </w:r>
          </w:p>
        </w:tc>
        <w:tc>
          <w:tcPr>
            <w:tcW w:w="693" w:type="dxa"/>
            <w:tcBorders>
              <w:top w:val="nil"/>
              <w:left w:val="nil"/>
              <w:bottom w:val="nil"/>
              <w:right w:val="nil"/>
            </w:tcBorders>
            <w:shd w:val="clear" w:color="000000" w:fill="AED480"/>
            <w:noWrap/>
            <w:vAlign w:val="bottom"/>
          </w:tcPr>
          <w:p w14:paraId="35DE22E0"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c>
          <w:tcPr>
            <w:tcW w:w="693" w:type="dxa"/>
            <w:tcBorders>
              <w:top w:val="nil"/>
              <w:left w:val="nil"/>
              <w:bottom w:val="nil"/>
              <w:right w:val="nil"/>
            </w:tcBorders>
            <w:shd w:val="clear" w:color="000000" w:fill="FBEA84"/>
            <w:noWrap/>
            <w:vAlign w:val="bottom"/>
          </w:tcPr>
          <w:p w14:paraId="25ECCC2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5.4</w:t>
            </w:r>
          </w:p>
        </w:tc>
        <w:tc>
          <w:tcPr>
            <w:tcW w:w="693" w:type="dxa"/>
            <w:tcBorders>
              <w:top w:val="nil"/>
              <w:left w:val="nil"/>
              <w:bottom w:val="nil"/>
              <w:right w:val="nil"/>
            </w:tcBorders>
            <w:shd w:val="clear" w:color="000000" w:fill="84C87D"/>
            <w:noWrap/>
            <w:vAlign w:val="bottom"/>
          </w:tcPr>
          <w:p w14:paraId="0861F4A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8.6</w:t>
            </w:r>
          </w:p>
        </w:tc>
        <w:tc>
          <w:tcPr>
            <w:tcW w:w="693" w:type="dxa"/>
            <w:tcBorders>
              <w:top w:val="nil"/>
              <w:left w:val="nil"/>
              <w:bottom w:val="nil"/>
              <w:right w:val="nil"/>
            </w:tcBorders>
            <w:shd w:val="clear" w:color="000000" w:fill="AED480"/>
            <w:noWrap/>
            <w:vAlign w:val="bottom"/>
          </w:tcPr>
          <w:p w14:paraId="30F277E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r>
      <w:tr w:rsidR="003831BC" w:rsidRPr="00BA313B" w14:paraId="3BA53B82" w14:textId="77777777" w:rsidTr="00DA302A">
        <w:trPr>
          <w:trHeight w:val="292"/>
        </w:trPr>
        <w:tc>
          <w:tcPr>
            <w:tcW w:w="595" w:type="dxa"/>
            <w:shd w:val="clear" w:color="auto" w:fill="auto"/>
            <w:noWrap/>
          </w:tcPr>
          <w:p w14:paraId="2CC8AEE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869</w:t>
            </w:r>
          </w:p>
        </w:tc>
        <w:tc>
          <w:tcPr>
            <w:tcW w:w="1307" w:type="dxa"/>
            <w:shd w:val="clear" w:color="auto" w:fill="auto"/>
            <w:noWrap/>
          </w:tcPr>
          <w:p w14:paraId="29EB3B39"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Brentwood 005A</w:t>
            </w:r>
          </w:p>
        </w:tc>
        <w:tc>
          <w:tcPr>
            <w:tcW w:w="693" w:type="dxa"/>
            <w:shd w:val="clear" w:color="auto" w:fill="auto"/>
            <w:noWrap/>
          </w:tcPr>
          <w:p w14:paraId="404BC8F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366A25C4"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8.8</w:t>
            </w:r>
          </w:p>
        </w:tc>
        <w:tc>
          <w:tcPr>
            <w:tcW w:w="645" w:type="dxa"/>
            <w:tcBorders>
              <w:top w:val="nil"/>
              <w:left w:val="nil"/>
              <w:bottom w:val="nil"/>
              <w:right w:val="nil"/>
            </w:tcBorders>
            <w:shd w:val="clear" w:color="000000" w:fill="D3DF82"/>
            <w:noWrap/>
            <w:vAlign w:val="bottom"/>
          </w:tcPr>
          <w:p w14:paraId="2137AF3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6.5</w:t>
            </w:r>
          </w:p>
        </w:tc>
        <w:tc>
          <w:tcPr>
            <w:tcW w:w="470" w:type="dxa"/>
            <w:tcBorders>
              <w:top w:val="nil"/>
              <w:left w:val="nil"/>
              <w:bottom w:val="nil"/>
              <w:right w:val="nil"/>
            </w:tcBorders>
            <w:shd w:val="clear" w:color="000000" w:fill="A6D27F"/>
            <w:noWrap/>
            <w:vAlign w:val="bottom"/>
          </w:tcPr>
          <w:p w14:paraId="704990B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867" w:type="dxa"/>
            <w:tcBorders>
              <w:top w:val="nil"/>
              <w:left w:val="nil"/>
              <w:bottom w:val="nil"/>
              <w:right w:val="nil"/>
            </w:tcBorders>
            <w:shd w:val="clear" w:color="000000" w:fill="FEDC81"/>
            <w:noWrap/>
            <w:vAlign w:val="bottom"/>
          </w:tcPr>
          <w:p w14:paraId="5142B8F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4.8</w:t>
            </w:r>
          </w:p>
        </w:tc>
        <w:tc>
          <w:tcPr>
            <w:tcW w:w="519" w:type="dxa"/>
            <w:tcBorders>
              <w:top w:val="nil"/>
              <w:left w:val="nil"/>
              <w:bottom w:val="nil"/>
              <w:right w:val="nil"/>
            </w:tcBorders>
            <w:shd w:val="clear" w:color="000000" w:fill="BFD981"/>
            <w:noWrap/>
            <w:vAlign w:val="bottom"/>
          </w:tcPr>
          <w:p w14:paraId="07BEC3F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7.0</w:t>
            </w:r>
          </w:p>
        </w:tc>
        <w:tc>
          <w:tcPr>
            <w:tcW w:w="520" w:type="dxa"/>
            <w:tcBorders>
              <w:top w:val="nil"/>
              <w:left w:val="nil"/>
              <w:bottom w:val="nil"/>
              <w:right w:val="nil"/>
            </w:tcBorders>
            <w:shd w:val="clear" w:color="000000" w:fill="A2D17F"/>
            <w:noWrap/>
            <w:vAlign w:val="bottom"/>
          </w:tcPr>
          <w:p w14:paraId="3C705AE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96CD7E"/>
            <w:noWrap/>
            <w:vAlign w:val="bottom"/>
          </w:tcPr>
          <w:p w14:paraId="3D5B518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8.1</w:t>
            </w:r>
          </w:p>
        </w:tc>
        <w:tc>
          <w:tcPr>
            <w:tcW w:w="693" w:type="dxa"/>
            <w:tcBorders>
              <w:top w:val="nil"/>
              <w:left w:val="nil"/>
              <w:bottom w:val="nil"/>
              <w:right w:val="nil"/>
            </w:tcBorders>
            <w:shd w:val="clear" w:color="000000" w:fill="A5D17F"/>
            <w:noWrap/>
            <w:vAlign w:val="bottom"/>
          </w:tcPr>
          <w:p w14:paraId="7352FE6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693" w:type="dxa"/>
            <w:tcBorders>
              <w:top w:val="nil"/>
              <w:left w:val="nil"/>
              <w:bottom w:val="nil"/>
              <w:right w:val="nil"/>
            </w:tcBorders>
            <w:shd w:val="clear" w:color="000000" w:fill="F5E984"/>
            <w:noWrap/>
            <w:vAlign w:val="bottom"/>
          </w:tcPr>
          <w:p w14:paraId="51F5CFB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5.5</w:t>
            </w:r>
          </w:p>
        </w:tc>
        <w:tc>
          <w:tcPr>
            <w:tcW w:w="693" w:type="dxa"/>
            <w:tcBorders>
              <w:top w:val="nil"/>
              <w:left w:val="nil"/>
              <w:bottom w:val="nil"/>
              <w:right w:val="nil"/>
            </w:tcBorders>
            <w:shd w:val="clear" w:color="000000" w:fill="FEE683"/>
            <w:noWrap/>
            <w:vAlign w:val="bottom"/>
          </w:tcPr>
          <w:p w14:paraId="5E2F734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5.1</w:t>
            </w:r>
          </w:p>
        </w:tc>
        <w:tc>
          <w:tcPr>
            <w:tcW w:w="693" w:type="dxa"/>
            <w:tcBorders>
              <w:top w:val="nil"/>
              <w:left w:val="nil"/>
              <w:bottom w:val="nil"/>
              <w:right w:val="nil"/>
            </w:tcBorders>
            <w:shd w:val="clear" w:color="000000" w:fill="D5DF82"/>
            <w:noWrap/>
            <w:vAlign w:val="bottom"/>
          </w:tcPr>
          <w:p w14:paraId="5D66610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6.4</w:t>
            </w:r>
          </w:p>
        </w:tc>
      </w:tr>
      <w:tr w:rsidR="003831BC" w:rsidRPr="00BA313B" w14:paraId="036FD05F" w14:textId="77777777" w:rsidTr="00DA302A">
        <w:trPr>
          <w:trHeight w:val="292"/>
        </w:trPr>
        <w:tc>
          <w:tcPr>
            <w:tcW w:w="595" w:type="dxa"/>
            <w:shd w:val="clear" w:color="auto" w:fill="auto"/>
            <w:noWrap/>
          </w:tcPr>
          <w:p w14:paraId="4CE8CEA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870</w:t>
            </w:r>
          </w:p>
        </w:tc>
        <w:tc>
          <w:tcPr>
            <w:tcW w:w="1307" w:type="dxa"/>
            <w:shd w:val="clear" w:color="auto" w:fill="auto"/>
            <w:noWrap/>
          </w:tcPr>
          <w:p w14:paraId="1A4BDF9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Brentwood 005F</w:t>
            </w:r>
          </w:p>
        </w:tc>
        <w:tc>
          <w:tcPr>
            <w:tcW w:w="693" w:type="dxa"/>
            <w:shd w:val="clear" w:color="auto" w:fill="auto"/>
            <w:noWrap/>
          </w:tcPr>
          <w:p w14:paraId="6BCE5DCD"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66F18485"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8.9</w:t>
            </w:r>
          </w:p>
        </w:tc>
        <w:tc>
          <w:tcPr>
            <w:tcW w:w="645" w:type="dxa"/>
            <w:tcBorders>
              <w:top w:val="nil"/>
              <w:left w:val="nil"/>
              <w:bottom w:val="nil"/>
              <w:right w:val="nil"/>
            </w:tcBorders>
            <w:shd w:val="clear" w:color="000000" w:fill="CDDD82"/>
            <w:noWrap/>
            <w:vAlign w:val="bottom"/>
          </w:tcPr>
          <w:p w14:paraId="5A75D6A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6.6</w:t>
            </w:r>
          </w:p>
        </w:tc>
        <w:tc>
          <w:tcPr>
            <w:tcW w:w="470" w:type="dxa"/>
            <w:tcBorders>
              <w:top w:val="nil"/>
              <w:left w:val="nil"/>
              <w:bottom w:val="nil"/>
              <w:right w:val="nil"/>
            </w:tcBorders>
            <w:shd w:val="clear" w:color="000000" w:fill="A6D27F"/>
            <w:noWrap/>
            <w:vAlign w:val="bottom"/>
          </w:tcPr>
          <w:p w14:paraId="75B9AE6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867" w:type="dxa"/>
            <w:tcBorders>
              <w:top w:val="nil"/>
              <w:left w:val="nil"/>
              <w:bottom w:val="nil"/>
              <w:right w:val="nil"/>
            </w:tcBorders>
            <w:shd w:val="clear" w:color="000000" w:fill="FDD680"/>
            <w:noWrap/>
            <w:vAlign w:val="bottom"/>
          </w:tcPr>
          <w:p w14:paraId="6F653D93"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4.6</w:t>
            </w:r>
          </w:p>
        </w:tc>
        <w:tc>
          <w:tcPr>
            <w:tcW w:w="519" w:type="dxa"/>
            <w:tcBorders>
              <w:top w:val="nil"/>
              <w:left w:val="nil"/>
              <w:bottom w:val="nil"/>
              <w:right w:val="nil"/>
            </w:tcBorders>
            <w:shd w:val="clear" w:color="000000" w:fill="F4E884"/>
            <w:noWrap/>
            <w:vAlign w:val="bottom"/>
          </w:tcPr>
          <w:p w14:paraId="19F8103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5.6</w:t>
            </w:r>
          </w:p>
        </w:tc>
        <w:tc>
          <w:tcPr>
            <w:tcW w:w="520" w:type="dxa"/>
            <w:tcBorders>
              <w:top w:val="nil"/>
              <w:left w:val="nil"/>
              <w:bottom w:val="nil"/>
              <w:right w:val="nil"/>
            </w:tcBorders>
            <w:shd w:val="clear" w:color="000000" w:fill="A6D27F"/>
            <w:noWrap/>
            <w:vAlign w:val="bottom"/>
          </w:tcPr>
          <w:p w14:paraId="5C93B3E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693" w:type="dxa"/>
            <w:tcBorders>
              <w:top w:val="nil"/>
              <w:left w:val="nil"/>
              <w:bottom w:val="nil"/>
              <w:right w:val="nil"/>
            </w:tcBorders>
            <w:shd w:val="clear" w:color="000000" w:fill="9CCF7F"/>
            <w:noWrap/>
            <w:vAlign w:val="bottom"/>
          </w:tcPr>
          <w:p w14:paraId="296A54AE"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7.9</w:t>
            </w:r>
          </w:p>
        </w:tc>
        <w:tc>
          <w:tcPr>
            <w:tcW w:w="693" w:type="dxa"/>
            <w:tcBorders>
              <w:top w:val="nil"/>
              <w:left w:val="nil"/>
              <w:bottom w:val="nil"/>
              <w:right w:val="nil"/>
            </w:tcBorders>
            <w:shd w:val="clear" w:color="000000" w:fill="A3D17F"/>
            <w:noWrap/>
            <w:vAlign w:val="bottom"/>
          </w:tcPr>
          <w:p w14:paraId="6F3F58E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693" w:type="dxa"/>
            <w:tcBorders>
              <w:top w:val="nil"/>
              <w:left w:val="nil"/>
              <w:bottom w:val="nil"/>
              <w:right w:val="nil"/>
            </w:tcBorders>
            <w:shd w:val="clear" w:color="000000" w:fill="F5E984"/>
            <w:noWrap/>
            <w:vAlign w:val="bottom"/>
          </w:tcPr>
          <w:p w14:paraId="6C433B0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5.5</w:t>
            </w:r>
          </w:p>
        </w:tc>
        <w:tc>
          <w:tcPr>
            <w:tcW w:w="693" w:type="dxa"/>
            <w:tcBorders>
              <w:top w:val="nil"/>
              <w:left w:val="nil"/>
              <w:bottom w:val="nil"/>
              <w:right w:val="nil"/>
            </w:tcBorders>
            <w:shd w:val="clear" w:color="000000" w:fill="A1D07F"/>
            <w:noWrap/>
            <w:vAlign w:val="bottom"/>
          </w:tcPr>
          <w:p w14:paraId="6A3CB84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AED480"/>
            <w:noWrap/>
            <w:vAlign w:val="bottom"/>
          </w:tcPr>
          <w:p w14:paraId="3676B7A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7.4</w:t>
            </w:r>
          </w:p>
        </w:tc>
      </w:tr>
      <w:tr w:rsidR="003831BC" w:rsidRPr="00BA313B" w14:paraId="7EBA2F6C" w14:textId="77777777" w:rsidTr="00DA302A">
        <w:trPr>
          <w:trHeight w:val="292"/>
        </w:trPr>
        <w:tc>
          <w:tcPr>
            <w:tcW w:w="595" w:type="dxa"/>
            <w:shd w:val="clear" w:color="auto" w:fill="auto"/>
            <w:noWrap/>
          </w:tcPr>
          <w:p w14:paraId="73996C0E"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871</w:t>
            </w:r>
          </w:p>
        </w:tc>
        <w:tc>
          <w:tcPr>
            <w:tcW w:w="1307" w:type="dxa"/>
            <w:shd w:val="clear" w:color="auto" w:fill="auto"/>
            <w:noWrap/>
          </w:tcPr>
          <w:p w14:paraId="5FD340FB"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Brentwood 005E</w:t>
            </w:r>
          </w:p>
        </w:tc>
        <w:tc>
          <w:tcPr>
            <w:tcW w:w="693" w:type="dxa"/>
            <w:shd w:val="clear" w:color="auto" w:fill="auto"/>
            <w:noWrap/>
          </w:tcPr>
          <w:p w14:paraId="4670CC9A"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70660D9A"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8.9</w:t>
            </w:r>
          </w:p>
        </w:tc>
        <w:tc>
          <w:tcPr>
            <w:tcW w:w="645" w:type="dxa"/>
            <w:tcBorders>
              <w:top w:val="nil"/>
              <w:left w:val="nil"/>
              <w:bottom w:val="nil"/>
              <w:right w:val="nil"/>
            </w:tcBorders>
            <w:shd w:val="clear" w:color="000000" w:fill="E4E483"/>
            <w:noWrap/>
            <w:vAlign w:val="bottom"/>
          </w:tcPr>
          <w:p w14:paraId="1624CF19"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6.0</w:t>
            </w:r>
          </w:p>
        </w:tc>
        <w:tc>
          <w:tcPr>
            <w:tcW w:w="470" w:type="dxa"/>
            <w:tcBorders>
              <w:top w:val="nil"/>
              <w:left w:val="nil"/>
              <w:bottom w:val="nil"/>
              <w:right w:val="nil"/>
            </w:tcBorders>
            <w:shd w:val="clear" w:color="000000" w:fill="A6D27F"/>
            <w:noWrap/>
            <w:vAlign w:val="bottom"/>
          </w:tcPr>
          <w:p w14:paraId="1D29B931"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867" w:type="dxa"/>
            <w:tcBorders>
              <w:top w:val="nil"/>
              <w:left w:val="nil"/>
              <w:bottom w:val="nil"/>
              <w:right w:val="nil"/>
            </w:tcBorders>
            <w:shd w:val="clear" w:color="000000" w:fill="F5E884"/>
            <w:noWrap/>
            <w:vAlign w:val="bottom"/>
          </w:tcPr>
          <w:p w14:paraId="64B24EB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5.5</w:t>
            </w:r>
          </w:p>
        </w:tc>
        <w:tc>
          <w:tcPr>
            <w:tcW w:w="519" w:type="dxa"/>
            <w:tcBorders>
              <w:top w:val="nil"/>
              <w:left w:val="nil"/>
              <w:bottom w:val="nil"/>
              <w:right w:val="nil"/>
            </w:tcBorders>
            <w:shd w:val="clear" w:color="000000" w:fill="D7E082"/>
            <w:noWrap/>
            <w:vAlign w:val="bottom"/>
          </w:tcPr>
          <w:p w14:paraId="27837C8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6.4</w:t>
            </w:r>
          </w:p>
        </w:tc>
        <w:tc>
          <w:tcPr>
            <w:tcW w:w="520" w:type="dxa"/>
            <w:tcBorders>
              <w:top w:val="nil"/>
              <w:left w:val="nil"/>
              <w:bottom w:val="nil"/>
              <w:right w:val="nil"/>
            </w:tcBorders>
            <w:shd w:val="clear" w:color="000000" w:fill="A2D17F"/>
            <w:noWrap/>
            <w:vAlign w:val="bottom"/>
          </w:tcPr>
          <w:p w14:paraId="7A4C448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98CE7F"/>
            <w:noWrap/>
            <w:vAlign w:val="bottom"/>
          </w:tcPr>
          <w:p w14:paraId="5AED6C1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8.0</w:t>
            </w:r>
          </w:p>
        </w:tc>
        <w:tc>
          <w:tcPr>
            <w:tcW w:w="693" w:type="dxa"/>
            <w:tcBorders>
              <w:top w:val="nil"/>
              <w:left w:val="nil"/>
              <w:bottom w:val="nil"/>
              <w:right w:val="nil"/>
            </w:tcBorders>
            <w:shd w:val="clear" w:color="000000" w:fill="A2D07F"/>
            <w:noWrap/>
            <w:vAlign w:val="bottom"/>
          </w:tcPr>
          <w:p w14:paraId="6159B7F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7.8</w:t>
            </w:r>
          </w:p>
        </w:tc>
        <w:tc>
          <w:tcPr>
            <w:tcW w:w="693" w:type="dxa"/>
            <w:tcBorders>
              <w:top w:val="nil"/>
              <w:left w:val="nil"/>
              <w:bottom w:val="nil"/>
              <w:right w:val="nil"/>
            </w:tcBorders>
            <w:shd w:val="clear" w:color="000000" w:fill="F2E884"/>
            <w:noWrap/>
            <w:vAlign w:val="bottom"/>
          </w:tcPr>
          <w:p w14:paraId="49F2EB8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5.6</w:t>
            </w:r>
          </w:p>
        </w:tc>
        <w:tc>
          <w:tcPr>
            <w:tcW w:w="693" w:type="dxa"/>
            <w:tcBorders>
              <w:top w:val="nil"/>
              <w:left w:val="nil"/>
              <w:bottom w:val="nil"/>
              <w:right w:val="nil"/>
            </w:tcBorders>
            <w:shd w:val="clear" w:color="000000" w:fill="FEDB81"/>
            <w:noWrap/>
            <w:vAlign w:val="bottom"/>
          </w:tcPr>
          <w:p w14:paraId="074346E2"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4.8</w:t>
            </w:r>
          </w:p>
        </w:tc>
        <w:tc>
          <w:tcPr>
            <w:tcW w:w="693" w:type="dxa"/>
            <w:tcBorders>
              <w:top w:val="nil"/>
              <w:left w:val="nil"/>
              <w:bottom w:val="nil"/>
              <w:right w:val="nil"/>
            </w:tcBorders>
            <w:shd w:val="clear" w:color="000000" w:fill="ABD380"/>
            <w:noWrap/>
            <w:vAlign w:val="bottom"/>
          </w:tcPr>
          <w:p w14:paraId="3B030A98"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7.5</w:t>
            </w:r>
          </w:p>
        </w:tc>
      </w:tr>
      <w:tr w:rsidR="003831BC" w:rsidRPr="00BA313B" w14:paraId="1A223045" w14:textId="77777777" w:rsidTr="00DA302A">
        <w:trPr>
          <w:trHeight w:val="292"/>
        </w:trPr>
        <w:tc>
          <w:tcPr>
            <w:tcW w:w="595" w:type="dxa"/>
            <w:shd w:val="clear" w:color="auto" w:fill="auto"/>
            <w:noWrap/>
          </w:tcPr>
          <w:p w14:paraId="47BA4A01"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872</w:t>
            </w:r>
          </w:p>
        </w:tc>
        <w:tc>
          <w:tcPr>
            <w:tcW w:w="1307" w:type="dxa"/>
            <w:shd w:val="clear" w:color="auto" w:fill="auto"/>
            <w:noWrap/>
          </w:tcPr>
          <w:p w14:paraId="50B5E74C"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Uttlesford 001B</w:t>
            </w:r>
          </w:p>
        </w:tc>
        <w:tc>
          <w:tcPr>
            <w:tcW w:w="693" w:type="dxa"/>
            <w:shd w:val="clear" w:color="auto" w:fill="auto"/>
            <w:noWrap/>
          </w:tcPr>
          <w:p w14:paraId="6D772DC4" w14:textId="77777777" w:rsidR="003831BC" w:rsidRPr="00BA313B" w:rsidRDefault="003831BC" w:rsidP="00DA302A">
            <w:pPr>
              <w:spacing w:after="0" w:line="240" w:lineRule="auto"/>
              <w:jc w:val="both"/>
              <w:rPr>
                <w:rFonts w:ascii="Century Gothic" w:eastAsia="Times New Roman" w:hAnsi="Century Gothic" w:cs="Calibri"/>
                <w:color w:val="000000"/>
                <w:sz w:val="16"/>
                <w:szCs w:val="16"/>
                <w:lang w:eastAsia="en-GB"/>
              </w:rPr>
            </w:pPr>
            <w:r w:rsidRPr="00BA313B">
              <w:rPr>
                <w:rFonts w:ascii="Century Gothic" w:hAnsi="Century Gothic"/>
                <w:sz w:val="16"/>
                <w:szCs w:val="16"/>
              </w:rPr>
              <w:t>10</w:t>
            </w:r>
          </w:p>
        </w:tc>
        <w:tc>
          <w:tcPr>
            <w:tcW w:w="504" w:type="dxa"/>
          </w:tcPr>
          <w:p w14:paraId="1023AC45" w14:textId="77777777" w:rsidR="003831BC" w:rsidRPr="00BA313B" w:rsidRDefault="003831BC" w:rsidP="00DA302A">
            <w:pPr>
              <w:spacing w:after="0" w:line="240" w:lineRule="auto"/>
              <w:jc w:val="both"/>
              <w:rPr>
                <w:rFonts w:ascii="Century Gothic" w:eastAsia="Times New Roman" w:hAnsi="Century Gothic" w:cs="Calibri"/>
                <w:color w:val="000000"/>
                <w:sz w:val="18"/>
                <w:szCs w:val="18"/>
                <w:lang w:eastAsia="en-GB"/>
              </w:rPr>
            </w:pPr>
            <w:r w:rsidRPr="00BA313B">
              <w:rPr>
                <w:rFonts w:ascii="Century Gothic" w:hAnsi="Century Gothic"/>
                <w:sz w:val="18"/>
                <w:szCs w:val="18"/>
              </w:rPr>
              <w:t>9.0</w:t>
            </w:r>
          </w:p>
        </w:tc>
        <w:tc>
          <w:tcPr>
            <w:tcW w:w="645" w:type="dxa"/>
            <w:tcBorders>
              <w:top w:val="nil"/>
              <w:left w:val="nil"/>
              <w:bottom w:val="nil"/>
              <w:right w:val="nil"/>
            </w:tcBorders>
            <w:shd w:val="clear" w:color="000000" w:fill="B3D580"/>
            <w:noWrap/>
            <w:vAlign w:val="bottom"/>
          </w:tcPr>
          <w:p w14:paraId="4394947B"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c>
          <w:tcPr>
            <w:tcW w:w="470" w:type="dxa"/>
            <w:tcBorders>
              <w:top w:val="nil"/>
              <w:left w:val="nil"/>
              <w:bottom w:val="nil"/>
              <w:right w:val="nil"/>
            </w:tcBorders>
            <w:shd w:val="clear" w:color="000000" w:fill="BFD981"/>
            <w:noWrap/>
            <w:vAlign w:val="bottom"/>
          </w:tcPr>
          <w:p w14:paraId="3610FC1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7.0</w:t>
            </w:r>
          </w:p>
        </w:tc>
        <w:tc>
          <w:tcPr>
            <w:tcW w:w="867" w:type="dxa"/>
            <w:tcBorders>
              <w:top w:val="nil"/>
              <w:left w:val="nil"/>
              <w:bottom w:val="nil"/>
              <w:right w:val="nil"/>
            </w:tcBorders>
            <w:shd w:val="clear" w:color="000000" w:fill="CBDC81"/>
            <w:noWrap/>
            <w:vAlign w:val="bottom"/>
          </w:tcPr>
          <w:p w14:paraId="44A4BEAD"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6.7</w:t>
            </w:r>
          </w:p>
        </w:tc>
        <w:tc>
          <w:tcPr>
            <w:tcW w:w="519" w:type="dxa"/>
            <w:tcBorders>
              <w:top w:val="nil"/>
              <w:left w:val="nil"/>
              <w:bottom w:val="nil"/>
              <w:right w:val="nil"/>
            </w:tcBorders>
            <w:shd w:val="clear" w:color="000000" w:fill="A4D17F"/>
            <w:noWrap/>
            <w:vAlign w:val="bottom"/>
          </w:tcPr>
          <w:p w14:paraId="7F33BA07"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7.7</w:t>
            </w:r>
          </w:p>
        </w:tc>
        <w:tc>
          <w:tcPr>
            <w:tcW w:w="520" w:type="dxa"/>
            <w:tcBorders>
              <w:top w:val="nil"/>
              <w:left w:val="nil"/>
              <w:bottom w:val="nil"/>
              <w:right w:val="nil"/>
            </w:tcBorders>
            <w:shd w:val="clear" w:color="000000" w:fill="96CD7E"/>
            <w:noWrap/>
            <w:vAlign w:val="bottom"/>
          </w:tcPr>
          <w:p w14:paraId="7E748DC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8.1</w:t>
            </w:r>
          </w:p>
        </w:tc>
        <w:tc>
          <w:tcPr>
            <w:tcW w:w="693" w:type="dxa"/>
            <w:tcBorders>
              <w:top w:val="nil"/>
              <w:left w:val="nil"/>
              <w:bottom w:val="nil"/>
              <w:right w:val="nil"/>
            </w:tcBorders>
            <w:shd w:val="clear" w:color="000000" w:fill="B8D780"/>
            <w:noWrap/>
            <w:vAlign w:val="bottom"/>
          </w:tcPr>
          <w:p w14:paraId="5871345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7.2</w:t>
            </w:r>
          </w:p>
        </w:tc>
        <w:tc>
          <w:tcPr>
            <w:tcW w:w="693" w:type="dxa"/>
            <w:tcBorders>
              <w:top w:val="nil"/>
              <w:left w:val="nil"/>
              <w:bottom w:val="nil"/>
              <w:right w:val="nil"/>
            </w:tcBorders>
            <w:shd w:val="clear" w:color="000000" w:fill="BFD981"/>
            <w:noWrap/>
            <w:vAlign w:val="bottom"/>
          </w:tcPr>
          <w:p w14:paraId="09F2987F"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7.0</w:t>
            </w:r>
          </w:p>
        </w:tc>
        <w:tc>
          <w:tcPr>
            <w:tcW w:w="693" w:type="dxa"/>
            <w:tcBorders>
              <w:top w:val="nil"/>
              <w:left w:val="nil"/>
              <w:bottom w:val="nil"/>
              <w:right w:val="nil"/>
            </w:tcBorders>
            <w:shd w:val="clear" w:color="000000" w:fill="D4DF82"/>
            <w:noWrap/>
            <w:vAlign w:val="bottom"/>
          </w:tcPr>
          <w:p w14:paraId="3AD10944"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6.4</w:t>
            </w:r>
          </w:p>
        </w:tc>
        <w:tc>
          <w:tcPr>
            <w:tcW w:w="693" w:type="dxa"/>
            <w:tcBorders>
              <w:top w:val="nil"/>
              <w:left w:val="nil"/>
              <w:bottom w:val="nil"/>
              <w:right w:val="nil"/>
            </w:tcBorders>
            <w:shd w:val="clear" w:color="000000" w:fill="B2D580"/>
            <w:noWrap/>
            <w:vAlign w:val="bottom"/>
          </w:tcPr>
          <w:p w14:paraId="005D5A56"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7.3</w:t>
            </w:r>
          </w:p>
        </w:tc>
        <w:tc>
          <w:tcPr>
            <w:tcW w:w="693" w:type="dxa"/>
            <w:tcBorders>
              <w:top w:val="nil"/>
              <w:left w:val="nil"/>
              <w:bottom w:val="nil"/>
              <w:right w:val="nil"/>
            </w:tcBorders>
            <w:shd w:val="clear" w:color="000000" w:fill="B6D680"/>
            <w:noWrap/>
            <w:vAlign w:val="bottom"/>
          </w:tcPr>
          <w:p w14:paraId="185F468C" w14:textId="77777777" w:rsidR="003831BC" w:rsidRPr="00BA313B" w:rsidRDefault="003831BC" w:rsidP="00DA302A">
            <w:pPr>
              <w:spacing w:after="0" w:line="240" w:lineRule="auto"/>
              <w:jc w:val="both"/>
              <w:rPr>
                <w:rFonts w:ascii="Century Gothic" w:eastAsia="Times New Roman" w:hAnsi="Century Gothic" w:cs="Calibri"/>
                <w:color w:val="000000"/>
                <w:lang w:eastAsia="en-GB"/>
              </w:rPr>
            </w:pPr>
            <w:r w:rsidRPr="00BA313B">
              <w:rPr>
                <w:rFonts w:ascii="Century Gothic" w:hAnsi="Century Gothic" w:cs="Calibri"/>
                <w:color w:val="000000"/>
              </w:rPr>
              <w:t>7.2</w:t>
            </w:r>
          </w:p>
        </w:tc>
      </w:tr>
    </w:tbl>
    <w:p w14:paraId="2CA28CE2" w14:textId="77777777" w:rsidR="003831BC" w:rsidRPr="00BA313B" w:rsidRDefault="003831BC" w:rsidP="003831BC">
      <w:pPr>
        <w:jc w:val="both"/>
        <w:rPr>
          <w:rFonts w:ascii="Century Gothic" w:hAnsi="Century Gothic"/>
        </w:rPr>
      </w:pPr>
    </w:p>
    <w:p w14:paraId="73038083" w14:textId="77777777" w:rsidR="003831BC" w:rsidRPr="00280067" w:rsidRDefault="003831BC" w:rsidP="003831BC">
      <w:pPr>
        <w:jc w:val="both"/>
        <w:rPr>
          <w:rFonts w:ascii="Century Gothic" w:hAnsi="Century Gothic"/>
          <w:noProof/>
          <w:sz w:val="22"/>
          <w:szCs w:val="22"/>
        </w:rPr>
      </w:pPr>
      <w:r w:rsidRPr="00280067">
        <w:rPr>
          <w:rFonts w:ascii="Century Gothic" w:hAnsi="Century Gothic"/>
          <w:noProof/>
          <w:sz w:val="22"/>
          <w:szCs w:val="22"/>
        </w:rPr>
        <w:t>The map provided below shows the locations of the LSOAs with the top 10 highest and lowest overall weighted average score.</w:t>
      </w:r>
    </w:p>
    <w:p w14:paraId="68661FC4" w14:textId="77777777" w:rsidR="003831BC" w:rsidRPr="00280067" w:rsidRDefault="003831BC" w:rsidP="003831BC">
      <w:pPr>
        <w:jc w:val="both"/>
        <w:rPr>
          <w:rFonts w:ascii="Century Gothic" w:hAnsi="Century Gothic"/>
          <w:noProof/>
          <w:sz w:val="22"/>
          <w:szCs w:val="22"/>
        </w:rPr>
      </w:pPr>
      <w:r w:rsidRPr="00280067">
        <w:rPr>
          <w:rFonts w:ascii="Century Gothic" w:hAnsi="Century Gothic"/>
          <w:noProof/>
          <w:sz w:val="22"/>
          <w:szCs w:val="22"/>
        </w:rPr>
        <w:t>The areas with the lowest overall average weighted scores are concentrated around Clacton and Jaywick on the Tendring coast, and with one LSOA in Pitsea in the Basildon district.</w:t>
      </w:r>
    </w:p>
    <w:p w14:paraId="30DD9DE9" w14:textId="77777777" w:rsidR="003831BC" w:rsidRPr="00280067" w:rsidRDefault="003831BC" w:rsidP="003831BC">
      <w:pPr>
        <w:jc w:val="both"/>
        <w:rPr>
          <w:rFonts w:ascii="Century Gothic" w:hAnsi="Century Gothic"/>
          <w:noProof/>
          <w:sz w:val="22"/>
          <w:szCs w:val="22"/>
        </w:rPr>
      </w:pPr>
      <w:r w:rsidRPr="00280067">
        <w:rPr>
          <w:rFonts w:ascii="Century Gothic" w:hAnsi="Century Gothic"/>
          <w:noProof/>
          <w:sz w:val="22"/>
          <w:szCs w:val="22"/>
        </w:rPr>
        <w:t>The areas with the highest overall average weighted scores are located in central Brentwood, Billericay in Basildon district, and Saffron Waldon in Uttlesford.</w:t>
      </w:r>
    </w:p>
    <w:p w14:paraId="40FFC937" w14:textId="77777777" w:rsidR="003831BC" w:rsidRDefault="003831BC" w:rsidP="003831BC">
      <w:pPr>
        <w:jc w:val="both"/>
        <w:rPr>
          <w:rFonts w:ascii="Century Gothic" w:hAnsi="Century Gothic"/>
        </w:rPr>
      </w:pPr>
      <w:r>
        <w:rPr>
          <w:noProof/>
        </w:rPr>
        <w:drawing>
          <wp:inline distT="0" distB="0" distL="0" distR="0" wp14:anchorId="43DE3C40" wp14:editId="3FBA2BDB">
            <wp:extent cx="5751265" cy="4067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1265" cy="4067175"/>
                    </a:xfrm>
                    <a:prstGeom prst="rect">
                      <a:avLst/>
                    </a:prstGeom>
                  </pic:spPr>
                </pic:pic>
              </a:graphicData>
            </a:graphic>
          </wp:inline>
        </w:drawing>
      </w:r>
    </w:p>
    <w:p w14:paraId="2FD70717" w14:textId="77777777" w:rsidR="003831BC" w:rsidRPr="00BA313B" w:rsidRDefault="003831BC" w:rsidP="003831BC">
      <w:pPr>
        <w:jc w:val="both"/>
        <w:rPr>
          <w:rFonts w:ascii="Century Gothic" w:hAnsi="Century Gothic"/>
        </w:rPr>
      </w:pPr>
    </w:p>
    <w:p w14:paraId="6737DB77" w14:textId="77777777" w:rsidR="003831BC" w:rsidRDefault="003831BC" w:rsidP="003831BC">
      <w:pPr>
        <w:pStyle w:val="Heading2"/>
        <w:numPr>
          <w:ilvl w:val="1"/>
          <w:numId w:val="9"/>
        </w:numPr>
        <w:jc w:val="both"/>
        <w:rPr>
          <w:rFonts w:ascii="Century Gothic" w:hAnsi="Century Gothic"/>
          <w:b/>
          <w:bCs/>
          <w:i/>
          <w:iCs/>
          <w:color w:val="D8117D"/>
        </w:rPr>
      </w:pPr>
      <w:bookmarkStart w:id="14" w:name="_Toc50553596"/>
      <w:r w:rsidRPr="7623FC04">
        <w:rPr>
          <w:rFonts w:ascii="Century Gothic" w:hAnsi="Century Gothic"/>
          <w:b/>
          <w:bCs/>
          <w:i/>
          <w:iCs/>
          <w:color w:val="D8117D"/>
        </w:rPr>
        <w:t>Estimated levels of physical activity in Essex</w:t>
      </w:r>
      <w:bookmarkEnd w:id="14"/>
    </w:p>
    <w:p w14:paraId="64EB4376" w14:textId="77777777" w:rsidR="003831BC" w:rsidRDefault="003831BC" w:rsidP="003831BC">
      <w:pPr>
        <w:jc w:val="both"/>
        <w:rPr>
          <w:rFonts w:ascii="Century Gothic" w:hAnsi="Century Gothic"/>
        </w:rPr>
      </w:pPr>
    </w:p>
    <w:p w14:paraId="308800E7"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Estimated levels of physical activity in Essex</w:t>
      </w:r>
    </w:p>
    <w:p w14:paraId="6C975B22"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To create an estimate for physical inactivity at LSOA level, the average decile scores for each theme were weighted according to the regression findings to produce an overall score which reflects the presences of barriers and challenges across the ten themes.</w:t>
      </w:r>
    </w:p>
    <w:p w14:paraId="0590108E"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Below is a summary of those weighted physical activity scores at district level.</w:t>
      </w:r>
    </w:p>
    <w:p w14:paraId="02D7CBF7"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Tendring, Harlow and Basildon have the lowest weighted scores in Essex, indicating a higher presence of barriers and challenges to physical activity (scoring 5.99, 6.47 and 6.81 out of ten respectively).</w:t>
      </w:r>
    </w:p>
    <w:p w14:paraId="2BB874EF"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Colchester, one of the ELDP’s target districts, scores 7.06, placing it just marginally under the Essex average physical activity score.</w:t>
      </w:r>
    </w:p>
    <w:p w14:paraId="5E6AC320" w14:textId="77777777" w:rsidR="003831BC" w:rsidRDefault="003831BC" w:rsidP="003831BC">
      <w:pPr>
        <w:jc w:val="both"/>
        <w:rPr>
          <w:rFonts w:ascii="Century Gothic" w:hAnsi="Century Gothic"/>
        </w:rPr>
      </w:pPr>
      <w:r w:rsidRPr="00280067">
        <w:rPr>
          <w:rFonts w:ascii="Century Gothic" w:hAnsi="Century Gothic"/>
          <w:noProof/>
          <w:sz w:val="22"/>
          <w:szCs w:val="22"/>
        </w:rPr>
        <w:drawing>
          <wp:anchor distT="0" distB="0" distL="114300" distR="114300" simplePos="0" relativeHeight="251663360" behindDoc="0" locked="0" layoutInCell="1" allowOverlap="1" wp14:anchorId="64314AC5" wp14:editId="520E5C14">
            <wp:simplePos x="0" y="0"/>
            <wp:positionH relativeFrom="column">
              <wp:posOffset>2446020</wp:posOffset>
            </wp:positionH>
            <wp:positionV relativeFrom="paragraph">
              <wp:posOffset>664845</wp:posOffset>
            </wp:positionV>
            <wp:extent cx="3863975" cy="233172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3975" cy="2331720"/>
                    </a:xfrm>
                    <a:prstGeom prst="rect">
                      <a:avLst/>
                    </a:prstGeom>
                    <a:noFill/>
                  </pic:spPr>
                </pic:pic>
              </a:graphicData>
            </a:graphic>
            <wp14:sizeRelH relativeFrom="page">
              <wp14:pctWidth>0</wp14:pctWidth>
            </wp14:sizeRelH>
            <wp14:sizeRelV relativeFrom="page">
              <wp14:pctHeight>0</wp14:pctHeight>
            </wp14:sizeRelV>
          </wp:anchor>
        </w:drawing>
      </w:r>
      <w:r w:rsidRPr="00280067">
        <w:rPr>
          <w:rFonts w:ascii="Century Gothic" w:hAnsi="Century Gothic"/>
          <w:sz w:val="22"/>
          <w:szCs w:val="22"/>
        </w:rPr>
        <w:t>The highest scoring districts are Uttlesford, Brentwood and Chelmsford (scoring 7.88, 7.71 and 7.64 out of ten respectively).</w:t>
      </w:r>
    </w:p>
    <w:tbl>
      <w:tblPr>
        <w:tblW w:w="3402" w:type="dxa"/>
        <w:tblLook w:val="04A0" w:firstRow="1" w:lastRow="0" w:firstColumn="1" w:lastColumn="0" w:noHBand="0" w:noVBand="1"/>
      </w:tblPr>
      <w:tblGrid>
        <w:gridCol w:w="1701"/>
        <w:gridCol w:w="1701"/>
      </w:tblGrid>
      <w:tr w:rsidR="003831BC" w:rsidRPr="001E7319" w14:paraId="305ED221" w14:textId="77777777" w:rsidTr="00DA302A">
        <w:trPr>
          <w:trHeight w:val="288"/>
        </w:trPr>
        <w:tc>
          <w:tcPr>
            <w:tcW w:w="1701" w:type="dxa"/>
            <w:tcBorders>
              <w:top w:val="nil"/>
              <w:left w:val="nil"/>
              <w:bottom w:val="single" w:sz="4" w:space="0" w:color="auto"/>
              <w:right w:val="nil"/>
            </w:tcBorders>
            <w:shd w:val="clear" w:color="auto" w:fill="auto"/>
            <w:noWrap/>
            <w:vAlign w:val="bottom"/>
            <w:hideMark/>
          </w:tcPr>
          <w:p w14:paraId="40CC8C59"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District</w:t>
            </w:r>
          </w:p>
        </w:tc>
        <w:tc>
          <w:tcPr>
            <w:tcW w:w="1701" w:type="dxa"/>
            <w:tcBorders>
              <w:top w:val="nil"/>
              <w:left w:val="nil"/>
              <w:bottom w:val="single" w:sz="4" w:space="0" w:color="auto"/>
              <w:right w:val="nil"/>
            </w:tcBorders>
            <w:shd w:val="clear" w:color="auto" w:fill="auto"/>
            <w:noWrap/>
            <w:vAlign w:val="bottom"/>
            <w:hideMark/>
          </w:tcPr>
          <w:p w14:paraId="0231177D"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Weighted score by district</w:t>
            </w:r>
          </w:p>
        </w:tc>
      </w:tr>
      <w:tr w:rsidR="003831BC" w:rsidRPr="001E7319" w14:paraId="4E1673A2"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0B00CEA"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T</w:t>
            </w:r>
            <w:r w:rsidRPr="00EB771F">
              <w:rPr>
                <w:rFonts w:ascii="Century Gothic" w:eastAsia="Times New Roman" w:hAnsi="Century Gothic" w:cs="Calibri"/>
                <w:color w:val="000000"/>
                <w:sz w:val="18"/>
                <w:szCs w:val="18"/>
                <w:lang w:eastAsia="en-GB"/>
              </w:rPr>
              <w:t>endring*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C3E15"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5.99</w:t>
            </w:r>
          </w:p>
        </w:tc>
      </w:tr>
      <w:tr w:rsidR="003831BC" w:rsidRPr="001E7319" w14:paraId="05D906B0"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EFD0B"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Harlow</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E7E1E"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6.47</w:t>
            </w:r>
          </w:p>
        </w:tc>
      </w:tr>
      <w:tr w:rsidR="003831BC" w:rsidRPr="001E7319" w14:paraId="2284EC35"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1E253D8"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Basildon*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715E"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6.81</w:t>
            </w:r>
          </w:p>
        </w:tc>
      </w:tr>
      <w:tr w:rsidR="003831BC" w:rsidRPr="001E7319" w14:paraId="662CA71F"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6648D"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Castle Point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C5102"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6.94</w:t>
            </w:r>
          </w:p>
        </w:tc>
      </w:tr>
      <w:tr w:rsidR="003831BC" w:rsidRPr="001E7319" w14:paraId="71A62A5A"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43198"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Braintree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F6C2F"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7.05</w:t>
            </w:r>
          </w:p>
        </w:tc>
      </w:tr>
      <w:tr w:rsidR="003831BC" w:rsidRPr="001E7319" w14:paraId="109029B9"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EB3B263"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Colchester*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F44D4"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7.06</w:t>
            </w:r>
          </w:p>
        </w:tc>
      </w:tr>
      <w:tr w:rsidR="003831BC" w:rsidRPr="001E7319" w14:paraId="6592F28F"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543C"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Maldon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533D8"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7.15</w:t>
            </w:r>
          </w:p>
        </w:tc>
      </w:tr>
      <w:tr w:rsidR="003831BC" w:rsidRPr="001E7319" w14:paraId="17CA64BB"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032FD"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Epping Forest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0E1FC"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7.23</w:t>
            </w:r>
          </w:p>
        </w:tc>
      </w:tr>
      <w:tr w:rsidR="003831BC" w:rsidRPr="001E7319" w14:paraId="4E7A9384"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707CA"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Rochford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B084"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7.52</w:t>
            </w:r>
          </w:p>
        </w:tc>
      </w:tr>
      <w:tr w:rsidR="003831BC" w:rsidRPr="001E7319" w14:paraId="1AA4E13B"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A0771"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Chelmsford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67C0"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7.64</w:t>
            </w:r>
          </w:p>
        </w:tc>
      </w:tr>
      <w:tr w:rsidR="003831BC" w:rsidRPr="001E7319" w14:paraId="7D94789E"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5BEA"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Brentwood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004CA"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7.71</w:t>
            </w:r>
          </w:p>
        </w:tc>
      </w:tr>
      <w:tr w:rsidR="003831BC" w:rsidRPr="001E7319" w14:paraId="4E434B9A"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514A"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Uttlesford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6285" w14:textId="77777777" w:rsidR="003831BC" w:rsidRPr="00EB771F" w:rsidRDefault="003831BC" w:rsidP="00DA302A">
            <w:pPr>
              <w:spacing w:after="0" w:line="240" w:lineRule="auto"/>
              <w:jc w:val="both"/>
              <w:rPr>
                <w:rFonts w:ascii="Century Gothic" w:eastAsia="Times New Roman" w:hAnsi="Century Gothic" w:cs="Calibri"/>
                <w:color w:val="000000"/>
                <w:sz w:val="18"/>
                <w:szCs w:val="18"/>
                <w:lang w:eastAsia="en-GB"/>
              </w:rPr>
            </w:pPr>
            <w:r w:rsidRPr="00EB771F">
              <w:rPr>
                <w:rFonts w:ascii="Century Gothic" w:eastAsia="Times New Roman" w:hAnsi="Century Gothic" w:cs="Calibri"/>
                <w:color w:val="000000"/>
                <w:sz w:val="18"/>
                <w:szCs w:val="18"/>
                <w:lang w:eastAsia="en-GB"/>
              </w:rPr>
              <w:t>7.88</w:t>
            </w:r>
          </w:p>
        </w:tc>
      </w:tr>
      <w:tr w:rsidR="003831BC" w:rsidRPr="001E7319" w14:paraId="686B1959"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83122" w14:textId="77777777" w:rsidR="003831BC" w:rsidRPr="00EB771F"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EB771F">
              <w:rPr>
                <w:rFonts w:ascii="Century Gothic" w:eastAsia="Times New Roman" w:hAnsi="Century Gothic" w:cs="Calibri"/>
                <w:b/>
                <w:bCs/>
                <w:color w:val="000000"/>
                <w:sz w:val="18"/>
                <w:szCs w:val="18"/>
                <w:lang w:eastAsia="en-GB"/>
              </w:rPr>
              <w:t>Essex average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1A530" w14:textId="77777777" w:rsidR="003831BC" w:rsidRPr="00EB771F"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EB771F">
              <w:rPr>
                <w:rFonts w:ascii="Century Gothic" w:eastAsia="Times New Roman" w:hAnsi="Century Gothic" w:cs="Calibri"/>
                <w:b/>
                <w:bCs/>
                <w:color w:val="000000"/>
                <w:sz w:val="18"/>
                <w:szCs w:val="18"/>
                <w:lang w:eastAsia="en-GB"/>
              </w:rPr>
              <w:t>7.07</w:t>
            </w:r>
          </w:p>
        </w:tc>
      </w:tr>
    </w:tbl>
    <w:p w14:paraId="6FB84F49" w14:textId="77777777" w:rsidR="003831BC" w:rsidRDefault="003831BC" w:rsidP="003831BC">
      <w:pPr>
        <w:jc w:val="both"/>
        <w:rPr>
          <w:rFonts w:ascii="Century Gothic" w:hAnsi="Century Gothic"/>
        </w:rPr>
      </w:pPr>
      <w:r>
        <w:rPr>
          <w:rFonts w:ascii="Century Gothic" w:hAnsi="Century Gothic"/>
        </w:rPr>
        <w:t>*LDP target district</w:t>
      </w:r>
    </w:p>
    <w:p w14:paraId="0CC68933" w14:textId="77777777" w:rsidR="003831BC" w:rsidRDefault="003831BC" w:rsidP="003831BC">
      <w:pPr>
        <w:jc w:val="both"/>
        <w:rPr>
          <w:rFonts w:ascii="Century Gothic" w:hAnsi="Century Gothic"/>
        </w:rPr>
      </w:pPr>
    </w:p>
    <w:p w14:paraId="378A2FBC"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Estimated levels of physical activity in LDP target areas</w:t>
      </w:r>
    </w:p>
    <w:p w14:paraId="4B5620B4"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ELDP’s target areas are the most deprived areas in Tendring, Basildon and Colchester. These are LSOAs which placed in deciles 1-4 of the Indices of Deprivation 2019. </w:t>
      </w:r>
    </w:p>
    <w:p w14:paraId="42317853"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Below are the average physical activity weighted scores among deprived LSOAs by Essex district. Please note, Uttlesford has no LSOAs which placed in deciles 1-4 of the Indices of Deprivation 2019, so is not included in these findings.</w:t>
      </w:r>
    </w:p>
    <w:p w14:paraId="7EE1E74F"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Tendring, Basildon and Castle Point deprived LSOAs score the lowest for physical activity score, scoring 5.55, 5.87 and 5.93 respectively.</w:t>
      </w:r>
    </w:p>
    <w:p w14:paraId="3B73B5C4"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Colchester deprived LSOAs score 6.09 on average, slightly above the average score of 5.98 for deprived LSOAs in Essex. This suggests that the barriers to physical activity in the deprived areas of Colchester are perhaps not as prevalent as they are in other districts.</w:t>
      </w:r>
    </w:p>
    <w:p w14:paraId="6110E19D" w14:textId="77777777" w:rsidR="003831BC" w:rsidRDefault="003831BC" w:rsidP="003831BC">
      <w:pPr>
        <w:jc w:val="both"/>
        <w:rPr>
          <w:rFonts w:ascii="Century Gothic" w:hAnsi="Century Gothic"/>
          <w:sz w:val="22"/>
          <w:szCs w:val="22"/>
        </w:rPr>
      </w:pPr>
      <w:r w:rsidRPr="00280067">
        <w:rPr>
          <w:rFonts w:ascii="Century Gothic" w:hAnsi="Century Gothic"/>
          <w:sz w:val="22"/>
          <w:szCs w:val="22"/>
        </w:rPr>
        <w:t>Brentwood, Rochford and Chelmsford deprived LSOAs score highest (6.77, 6.51 and 6.49 respectively), however it should be noted that across all districts, the weighted scoring is a lot lower in deprived areas than the district averages. Barriers and challenges to physical activity are likely to be more prevalent in deprived areas regardless of the district.</w:t>
      </w:r>
    </w:p>
    <w:p w14:paraId="5FAC33D4" w14:textId="77777777" w:rsidR="003831BC" w:rsidRPr="00280067" w:rsidRDefault="003831BC" w:rsidP="003831BC">
      <w:pPr>
        <w:jc w:val="both"/>
        <w:rPr>
          <w:rFonts w:ascii="Century Gothic" w:hAnsi="Century Gothic"/>
          <w:sz w:val="22"/>
          <w:szCs w:val="22"/>
        </w:rPr>
      </w:pPr>
      <w:r w:rsidRPr="00280067">
        <w:rPr>
          <w:rFonts w:ascii="Century Gothic" w:hAnsi="Century Gothic"/>
          <w:noProof/>
          <w:sz w:val="22"/>
          <w:szCs w:val="22"/>
        </w:rPr>
        <w:drawing>
          <wp:anchor distT="0" distB="0" distL="114300" distR="114300" simplePos="0" relativeHeight="251664384" behindDoc="0" locked="0" layoutInCell="1" allowOverlap="1" wp14:anchorId="0BEF566B" wp14:editId="77D2F09A">
            <wp:simplePos x="0" y="0"/>
            <wp:positionH relativeFrom="column">
              <wp:posOffset>2453640</wp:posOffset>
            </wp:positionH>
            <wp:positionV relativeFrom="paragraph">
              <wp:posOffset>349885</wp:posOffset>
            </wp:positionV>
            <wp:extent cx="3808095" cy="2506980"/>
            <wp:effectExtent l="0" t="0" r="190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8095" cy="2506980"/>
                    </a:xfrm>
                    <a:prstGeom prst="rect">
                      <a:avLst/>
                    </a:prstGeom>
                    <a:noFill/>
                  </pic:spPr>
                </pic:pic>
              </a:graphicData>
            </a:graphic>
            <wp14:sizeRelH relativeFrom="page">
              <wp14:pctWidth>0</wp14:pctWidth>
            </wp14:sizeRelH>
            <wp14:sizeRelV relativeFrom="page">
              <wp14:pctHeight>0</wp14:pctHeight>
            </wp14:sizeRelV>
          </wp:anchor>
        </w:drawing>
      </w:r>
    </w:p>
    <w:tbl>
      <w:tblPr>
        <w:tblW w:w="3402" w:type="dxa"/>
        <w:tblLook w:val="04A0" w:firstRow="1" w:lastRow="0" w:firstColumn="1" w:lastColumn="0" w:noHBand="0" w:noVBand="1"/>
      </w:tblPr>
      <w:tblGrid>
        <w:gridCol w:w="1701"/>
        <w:gridCol w:w="1701"/>
      </w:tblGrid>
      <w:tr w:rsidR="003831BC" w:rsidRPr="00672B84" w14:paraId="11D89C8A" w14:textId="77777777" w:rsidTr="00DA302A">
        <w:trPr>
          <w:trHeight w:val="288"/>
        </w:trPr>
        <w:tc>
          <w:tcPr>
            <w:tcW w:w="1701" w:type="dxa"/>
            <w:tcBorders>
              <w:top w:val="nil"/>
              <w:left w:val="nil"/>
              <w:bottom w:val="single" w:sz="4" w:space="0" w:color="auto"/>
              <w:right w:val="nil"/>
            </w:tcBorders>
            <w:shd w:val="clear" w:color="auto" w:fill="auto"/>
            <w:noWrap/>
            <w:vAlign w:val="bottom"/>
            <w:hideMark/>
          </w:tcPr>
          <w:p w14:paraId="6C4D262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Row Labels</w:t>
            </w:r>
          </w:p>
        </w:tc>
        <w:tc>
          <w:tcPr>
            <w:tcW w:w="1701" w:type="dxa"/>
            <w:tcBorders>
              <w:top w:val="nil"/>
              <w:left w:val="nil"/>
              <w:bottom w:val="single" w:sz="4" w:space="0" w:color="auto"/>
              <w:right w:val="nil"/>
            </w:tcBorders>
            <w:shd w:val="clear" w:color="auto" w:fill="auto"/>
            <w:noWrap/>
            <w:vAlign w:val="bottom"/>
            <w:hideMark/>
          </w:tcPr>
          <w:p w14:paraId="66BD93B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Weighted score of deprived LSOAs</w:t>
            </w:r>
          </w:p>
        </w:tc>
      </w:tr>
      <w:tr w:rsidR="003831BC" w:rsidRPr="00672B84" w14:paraId="46A080C8"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DFA116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r>
              <w:rPr>
                <w:rFonts w:ascii="Century Gothic" w:eastAsia="Times New Roman" w:hAnsi="Century Gothic" w:cs="Calibri"/>
                <w:color w:val="000000"/>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B84C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5.55</w:t>
            </w:r>
          </w:p>
        </w:tc>
      </w:tr>
      <w:tr w:rsidR="003831BC" w:rsidRPr="00672B84" w14:paraId="284072A8"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167959F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r>
              <w:rPr>
                <w:rFonts w:ascii="Century Gothic" w:eastAsia="Times New Roman" w:hAnsi="Century Gothic" w:cs="Calibri"/>
                <w:color w:val="000000"/>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E16E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5.87</w:t>
            </w:r>
          </w:p>
        </w:tc>
      </w:tr>
      <w:tr w:rsidR="003831BC" w:rsidRPr="00672B84" w14:paraId="5D86BB39"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B645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Castle Point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5E24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5.93</w:t>
            </w:r>
          </w:p>
        </w:tc>
      </w:tr>
      <w:tr w:rsidR="003831BC" w:rsidRPr="00672B84" w14:paraId="01639215"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561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Braintree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8AF2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6.03</w:t>
            </w:r>
          </w:p>
        </w:tc>
      </w:tr>
      <w:tr w:rsidR="003831BC" w:rsidRPr="00672B84" w14:paraId="67D60BE5"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3E7E43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Colchester</w:t>
            </w:r>
            <w:r>
              <w:rPr>
                <w:rFonts w:ascii="Century Gothic" w:eastAsia="Times New Roman" w:hAnsi="Century Gothic" w:cs="Calibri"/>
                <w:color w:val="000000"/>
                <w:sz w:val="18"/>
                <w:szCs w:val="18"/>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B728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6.09</w:t>
            </w:r>
          </w:p>
        </w:tc>
      </w:tr>
      <w:tr w:rsidR="003831BC" w:rsidRPr="00672B84" w14:paraId="13C4E3A0"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3426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Harlow</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67C8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6.14</w:t>
            </w:r>
          </w:p>
        </w:tc>
      </w:tr>
      <w:tr w:rsidR="003831BC" w:rsidRPr="00672B84" w14:paraId="20BAAF02"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1FA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Maldon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4422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6.40</w:t>
            </w:r>
          </w:p>
        </w:tc>
      </w:tr>
      <w:tr w:rsidR="003831BC" w:rsidRPr="00672B84" w14:paraId="31C6AFC0"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8953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Epping Forest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A01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6.47</w:t>
            </w:r>
          </w:p>
        </w:tc>
      </w:tr>
      <w:tr w:rsidR="003831BC" w:rsidRPr="00672B84" w14:paraId="3A177A9F"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1311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Chelmsford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1F1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6.49</w:t>
            </w:r>
          </w:p>
        </w:tc>
      </w:tr>
      <w:tr w:rsidR="003831BC" w:rsidRPr="00672B84" w14:paraId="5F99DE8F"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7EC9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Rochford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B697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6.51</w:t>
            </w:r>
          </w:p>
        </w:tc>
      </w:tr>
      <w:tr w:rsidR="003831BC" w:rsidRPr="00672B84" w14:paraId="526E4C57"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BF61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Brentwood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41B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6.77</w:t>
            </w:r>
          </w:p>
        </w:tc>
      </w:tr>
      <w:tr w:rsidR="003831BC" w:rsidRPr="00672B84" w14:paraId="52DA73C7" w14:textId="77777777" w:rsidTr="00DA302A">
        <w:trPr>
          <w:trHeight w:val="28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3770D" w14:textId="77777777" w:rsidR="003831BC" w:rsidRPr="00672B84"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672B84">
              <w:rPr>
                <w:rFonts w:ascii="Century Gothic" w:eastAsia="Times New Roman" w:hAnsi="Century Gothic" w:cs="Calibri"/>
                <w:b/>
                <w:bCs/>
                <w:color w:val="000000"/>
                <w:sz w:val="18"/>
                <w:szCs w:val="18"/>
                <w:lang w:eastAsia="en-GB"/>
              </w:rPr>
              <w:t>Deprived LSOA average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1893" w14:textId="77777777" w:rsidR="003831BC" w:rsidRPr="00672B84"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672B84">
              <w:rPr>
                <w:rFonts w:ascii="Century Gothic" w:eastAsia="Times New Roman" w:hAnsi="Century Gothic" w:cs="Calibri"/>
                <w:b/>
                <w:bCs/>
                <w:color w:val="000000"/>
                <w:sz w:val="18"/>
                <w:szCs w:val="18"/>
                <w:lang w:eastAsia="en-GB"/>
              </w:rPr>
              <w:t>5.98</w:t>
            </w:r>
          </w:p>
        </w:tc>
      </w:tr>
    </w:tbl>
    <w:p w14:paraId="219871DC" w14:textId="77777777" w:rsidR="003831BC" w:rsidRDefault="003831BC" w:rsidP="003831BC">
      <w:pPr>
        <w:jc w:val="both"/>
        <w:rPr>
          <w:rFonts w:ascii="Century Gothic" w:hAnsi="Century Gothic"/>
        </w:rPr>
      </w:pPr>
      <w:r>
        <w:rPr>
          <w:rFonts w:ascii="Century Gothic" w:hAnsi="Century Gothic"/>
        </w:rPr>
        <w:t>*LDP target district</w:t>
      </w:r>
    </w:p>
    <w:p w14:paraId="7054D338"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Physical Activity estimates mapped</w:t>
      </w:r>
    </w:p>
    <w:p w14:paraId="0138046F"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map below shows all LSOAs in Essex and a colour code according to their physical activity score (overall weighted average score). The darker red the colour, the more challenges and barriers there are to physical activity, and the brighter green the colour, the less prevalent these challenges and barriers are.</w:t>
      </w:r>
    </w:p>
    <w:p w14:paraId="5D0EB7D1"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areas of most concern are situated along the Tendring coast, central Basildon and Colchester, Harlow and Canvey Island in Castle Point.</w:t>
      </w:r>
    </w:p>
    <w:p w14:paraId="18AEAE30" w14:textId="77777777" w:rsidR="003831BC" w:rsidRDefault="003831BC" w:rsidP="003831BC">
      <w:pPr>
        <w:jc w:val="center"/>
        <w:rPr>
          <w:rFonts w:ascii="Century Gothic" w:hAnsi="Century Gothic"/>
          <w:b/>
          <w:bCs/>
        </w:rPr>
      </w:pPr>
      <w:r>
        <w:rPr>
          <w:noProof/>
        </w:rPr>
        <w:drawing>
          <wp:inline distT="0" distB="0" distL="0" distR="0" wp14:anchorId="72654AD0" wp14:editId="32F40BF8">
            <wp:extent cx="5715000" cy="399531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43834" cy="4015477"/>
                    </a:xfrm>
                    <a:prstGeom prst="rect">
                      <a:avLst/>
                    </a:prstGeom>
                  </pic:spPr>
                </pic:pic>
              </a:graphicData>
            </a:graphic>
          </wp:inline>
        </w:drawing>
      </w:r>
    </w:p>
    <w:p w14:paraId="005D1D8A"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Most inactive areas of Essex</w:t>
      </w:r>
    </w:p>
    <w:p w14:paraId="0F42F028"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According to the weighted average decile, the top 20 areas most likely to be inactive are listed below. Of these 20, 15 </w:t>
      </w:r>
      <w:proofErr w:type="gramStart"/>
      <w:r w:rsidRPr="00280067">
        <w:rPr>
          <w:rFonts w:ascii="Century Gothic" w:hAnsi="Century Gothic"/>
          <w:sz w:val="22"/>
          <w:szCs w:val="22"/>
        </w:rPr>
        <w:t>are located in</w:t>
      </w:r>
      <w:proofErr w:type="gramEnd"/>
      <w:r w:rsidRPr="00280067">
        <w:rPr>
          <w:rFonts w:ascii="Century Gothic" w:hAnsi="Century Gothic"/>
          <w:sz w:val="22"/>
          <w:szCs w:val="22"/>
        </w:rPr>
        <w:t xml:space="preserve"> Tendring, and five in Basildon. </w:t>
      </w:r>
      <w:proofErr w:type="gramStart"/>
      <w:r w:rsidRPr="00280067">
        <w:rPr>
          <w:rFonts w:ascii="Century Gothic" w:hAnsi="Century Gothic"/>
          <w:sz w:val="22"/>
          <w:szCs w:val="22"/>
        </w:rPr>
        <w:t>All of</w:t>
      </w:r>
      <w:proofErr w:type="gramEnd"/>
      <w:r w:rsidRPr="00280067">
        <w:rPr>
          <w:rFonts w:ascii="Century Gothic" w:hAnsi="Century Gothic"/>
          <w:sz w:val="22"/>
          <w:szCs w:val="22"/>
        </w:rPr>
        <w:t xml:space="preserve"> these LSOAs are placed into deciles 1-4 of the Indices of Deprivation 2019.</w:t>
      </w:r>
    </w:p>
    <w:p w14:paraId="1603EAC7" w14:textId="77777777" w:rsidR="003831BC" w:rsidRPr="00015416" w:rsidRDefault="003831BC" w:rsidP="003831BC">
      <w:pPr>
        <w:jc w:val="both"/>
        <w:rPr>
          <w:rFonts w:ascii="Century Gothic" w:hAnsi="Century Gothic"/>
        </w:rPr>
      </w:pPr>
    </w:p>
    <w:tbl>
      <w:tblPr>
        <w:tblW w:w="8733" w:type="dxa"/>
        <w:jc w:val="center"/>
        <w:tblLook w:val="04A0" w:firstRow="1" w:lastRow="0" w:firstColumn="1" w:lastColumn="0" w:noHBand="0" w:noVBand="1"/>
      </w:tblPr>
      <w:tblGrid>
        <w:gridCol w:w="1074"/>
        <w:gridCol w:w="1111"/>
        <w:gridCol w:w="1501"/>
        <w:gridCol w:w="2049"/>
        <w:gridCol w:w="964"/>
        <w:gridCol w:w="960"/>
        <w:gridCol w:w="1074"/>
      </w:tblGrid>
      <w:tr w:rsidR="003831BC" w:rsidRPr="002D28F8" w14:paraId="19B25EA7" w14:textId="77777777" w:rsidTr="00DA302A">
        <w:trPr>
          <w:trHeight w:val="288"/>
          <w:jc w:val="center"/>
        </w:trPr>
        <w:tc>
          <w:tcPr>
            <w:tcW w:w="1074" w:type="dxa"/>
            <w:tcBorders>
              <w:top w:val="nil"/>
              <w:left w:val="nil"/>
              <w:bottom w:val="single" w:sz="4" w:space="0" w:color="auto"/>
              <w:right w:val="nil"/>
            </w:tcBorders>
            <w:shd w:val="clear" w:color="auto" w:fill="auto"/>
            <w:noWrap/>
            <w:vAlign w:val="bottom"/>
            <w:hideMark/>
          </w:tcPr>
          <w:p w14:paraId="2F5297A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Essex Weighted Average Rank</w:t>
            </w:r>
          </w:p>
        </w:tc>
        <w:tc>
          <w:tcPr>
            <w:tcW w:w="1111" w:type="dxa"/>
            <w:tcBorders>
              <w:top w:val="nil"/>
              <w:left w:val="nil"/>
              <w:bottom w:val="single" w:sz="4" w:space="0" w:color="auto"/>
              <w:right w:val="nil"/>
            </w:tcBorders>
            <w:shd w:val="clear" w:color="auto" w:fill="auto"/>
            <w:noWrap/>
            <w:vAlign w:val="bottom"/>
            <w:hideMark/>
          </w:tcPr>
          <w:p w14:paraId="0E900ED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LSOA Code</w:t>
            </w:r>
          </w:p>
        </w:tc>
        <w:tc>
          <w:tcPr>
            <w:tcW w:w="1501" w:type="dxa"/>
            <w:tcBorders>
              <w:top w:val="nil"/>
              <w:left w:val="nil"/>
              <w:bottom w:val="single" w:sz="4" w:space="0" w:color="auto"/>
              <w:right w:val="nil"/>
            </w:tcBorders>
            <w:shd w:val="clear" w:color="auto" w:fill="auto"/>
            <w:noWrap/>
            <w:vAlign w:val="bottom"/>
            <w:hideMark/>
          </w:tcPr>
          <w:p w14:paraId="4796ADE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LSOA Name</w:t>
            </w:r>
          </w:p>
        </w:tc>
        <w:tc>
          <w:tcPr>
            <w:tcW w:w="2049" w:type="dxa"/>
            <w:tcBorders>
              <w:top w:val="nil"/>
              <w:left w:val="nil"/>
              <w:bottom w:val="single" w:sz="4" w:space="0" w:color="auto"/>
              <w:right w:val="nil"/>
            </w:tcBorders>
            <w:shd w:val="clear" w:color="auto" w:fill="auto"/>
            <w:noWrap/>
            <w:vAlign w:val="bottom"/>
            <w:hideMark/>
          </w:tcPr>
          <w:p w14:paraId="7A9AD95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Ward of LSOA</w:t>
            </w:r>
          </w:p>
        </w:tc>
        <w:tc>
          <w:tcPr>
            <w:tcW w:w="964" w:type="dxa"/>
            <w:tcBorders>
              <w:top w:val="nil"/>
              <w:left w:val="nil"/>
              <w:bottom w:val="single" w:sz="4" w:space="0" w:color="auto"/>
              <w:right w:val="nil"/>
            </w:tcBorders>
            <w:shd w:val="clear" w:color="auto" w:fill="auto"/>
            <w:noWrap/>
            <w:vAlign w:val="bottom"/>
            <w:hideMark/>
          </w:tcPr>
          <w:p w14:paraId="2191286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LA Name</w:t>
            </w:r>
          </w:p>
        </w:tc>
        <w:tc>
          <w:tcPr>
            <w:tcW w:w="960" w:type="dxa"/>
            <w:tcBorders>
              <w:top w:val="nil"/>
              <w:left w:val="nil"/>
              <w:bottom w:val="single" w:sz="4" w:space="0" w:color="auto"/>
              <w:right w:val="nil"/>
            </w:tcBorders>
            <w:shd w:val="clear" w:color="auto" w:fill="auto"/>
            <w:noWrap/>
            <w:vAlign w:val="bottom"/>
            <w:hideMark/>
          </w:tcPr>
          <w:p w14:paraId="58C73DF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IMD 2019 decile</w:t>
            </w:r>
          </w:p>
        </w:tc>
        <w:tc>
          <w:tcPr>
            <w:tcW w:w="1074" w:type="dxa"/>
            <w:tcBorders>
              <w:top w:val="nil"/>
              <w:left w:val="nil"/>
              <w:bottom w:val="single" w:sz="4" w:space="0" w:color="auto"/>
              <w:right w:val="nil"/>
            </w:tcBorders>
            <w:shd w:val="clear" w:color="auto" w:fill="auto"/>
            <w:noWrap/>
            <w:vAlign w:val="bottom"/>
            <w:hideMark/>
          </w:tcPr>
          <w:p w14:paraId="6EA060E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Weighted average</w:t>
            </w:r>
          </w:p>
        </w:tc>
      </w:tr>
      <w:tr w:rsidR="003831BC" w:rsidRPr="002D28F8" w14:paraId="2EF06D9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5F35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49C0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E01021988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1BF1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018A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C77F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Golf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622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92BB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ED22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3.97</w:t>
            </w:r>
          </w:p>
        </w:tc>
      </w:tr>
      <w:tr w:rsidR="003831BC" w:rsidRPr="002D28F8" w14:paraId="4F35DDDB"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8406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B520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E01022045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6F9F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018D</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0324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 xml:space="preserve">St </w:t>
            </w:r>
            <w:proofErr w:type="spellStart"/>
            <w:r w:rsidRPr="00672B84">
              <w:rPr>
                <w:rFonts w:ascii="Century Gothic" w:eastAsia="Times New Roman" w:hAnsi="Century Gothic" w:cs="Calibri"/>
                <w:color w:val="000000"/>
                <w:sz w:val="18"/>
                <w:szCs w:val="18"/>
                <w:lang w:eastAsia="en-GB"/>
              </w:rPr>
              <w:t>Osyth</w:t>
            </w:r>
            <w:proofErr w:type="spellEnd"/>
            <w:r w:rsidRPr="00672B84">
              <w:rPr>
                <w:rFonts w:ascii="Century Gothic" w:eastAsia="Times New Roman" w:hAnsi="Century Gothic" w:cs="Calibri"/>
                <w:color w:val="000000"/>
                <w:sz w:val="18"/>
                <w:szCs w:val="18"/>
                <w:lang w:eastAsia="en-GB"/>
              </w:rPr>
              <w:t xml:space="preserve"> and Point Clear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5947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CE4A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E10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4.32</w:t>
            </w:r>
          </w:p>
        </w:tc>
      </w:tr>
      <w:tr w:rsidR="003831BC" w:rsidRPr="002D28F8" w14:paraId="2C5C0C70"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F97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35E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E01022031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DDF8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015D</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4FF6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6151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2E52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DB09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4.52</w:t>
            </w:r>
          </w:p>
        </w:tc>
      </w:tr>
      <w:tr w:rsidR="003831BC" w:rsidRPr="002D28F8" w14:paraId="3F5D3018"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5FA0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DA7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E01022030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B3E6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015C</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6E01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F1C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E0D9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C8A2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4.54</w:t>
            </w:r>
          </w:p>
        </w:tc>
      </w:tr>
      <w:tr w:rsidR="003831BC" w:rsidRPr="002D28F8" w14:paraId="13C7851B"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AE37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4D81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E01021990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F8F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018C</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9E29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Golf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5BAA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67AA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08C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4.68</w:t>
            </w:r>
          </w:p>
        </w:tc>
      </w:tr>
      <w:tr w:rsidR="003831BC" w:rsidRPr="002D28F8" w14:paraId="6973F810"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0E2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F15C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E01022032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4A64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015E</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CF6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44AD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7BD1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E3B4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4.70</w:t>
            </w:r>
          </w:p>
        </w:tc>
      </w:tr>
      <w:tr w:rsidR="003831BC" w:rsidRPr="002D28F8" w14:paraId="2A1C5A3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07AA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DD6F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E01022047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BD4E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018E</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B88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 xml:space="preserve">St </w:t>
            </w:r>
            <w:proofErr w:type="spellStart"/>
            <w:r w:rsidRPr="00672B84">
              <w:rPr>
                <w:rFonts w:ascii="Century Gothic" w:eastAsia="Times New Roman" w:hAnsi="Century Gothic" w:cs="Calibri"/>
                <w:color w:val="000000"/>
                <w:sz w:val="18"/>
                <w:szCs w:val="18"/>
                <w:lang w:eastAsia="en-GB"/>
              </w:rPr>
              <w:t>Osyth</w:t>
            </w:r>
            <w:proofErr w:type="spellEnd"/>
            <w:r w:rsidRPr="00672B84">
              <w:rPr>
                <w:rFonts w:ascii="Century Gothic" w:eastAsia="Times New Roman" w:hAnsi="Century Gothic" w:cs="Calibri"/>
                <w:color w:val="000000"/>
                <w:sz w:val="18"/>
                <w:szCs w:val="18"/>
                <w:lang w:eastAsia="en-GB"/>
              </w:rPr>
              <w:t xml:space="preserve"> and Point Clear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8F05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9CBE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0CFA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4.76</w:t>
            </w:r>
          </w:p>
        </w:tc>
      </w:tr>
      <w:tr w:rsidR="003831BC" w:rsidRPr="002D28F8" w14:paraId="35E377B7"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D000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74B3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E01021977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E213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013C</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C8AA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Bockings</w:t>
            </w:r>
            <w:proofErr w:type="spellEnd"/>
            <w:r w:rsidRPr="00672B84">
              <w:rPr>
                <w:rFonts w:ascii="Century Gothic" w:eastAsia="Times New Roman" w:hAnsi="Century Gothic" w:cs="Calibri"/>
                <w:color w:val="000000"/>
                <w:sz w:val="18"/>
                <w:szCs w:val="18"/>
                <w:lang w:eastAsia="en-GB"/>
              </w:rPr>
              <w:t xml:space="preserve"> Elm</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FFC7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4316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3</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6FDC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4.79</w:t>
            </w:r>
          </w:p>
        </w:tc>
      </w:tr>
      <w:tr w:rsidR="003831BC" w:rsidRPr="002D28F8" w14:paraId="0E92D5DF"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483F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693E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E01022024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61A8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015B</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A93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 xml:space="preserve">Peter </w:t>
            </w:r>
            <w:proofErr w:type="spellStart"/>
            <w:r w:rsidRPr="00672B84">
              <w:rPr>
                <w:rFonts w:ascii="Century Gothic" w:eastAsia="Times New Roman" w:hAnsi="Century Gothic" w:cs="Calibri"/>
                <w:color w:val="000000"/>
                <w:sz w:val="18"/>
                <w:szCs w:val="18"/>
                <w:lang w:eastAsia="en-GB"/>
              </w:rPr>
              <w:t>Bruff</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9C5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C5B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3B63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4.79</w:t>
            </w:r>
          </w:p>
        </w:tc>
      </w:tr>
      <w:tr w:rsidR="003831BC" w:rsidRPr="002D28F8" w14:paraId="3D140170"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376B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E5F3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E01021306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789D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 013E</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EB95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Pitsea</w:t>
            </w:r>
            <w:proofErr w:type="spellEnd"/>
            <w:r w:rsidRPr="00672B84">
              <w:rPr>
                <w:rFonts w:ascii="Century Gothic" w:eastAsia="Times New Roman" w:hAnsi="Century Gothic" w:cs="Calibri"/>
                <w:color w:val="000000"/>
                <w:sz w:val="18"/>
                <w:szCs w:val="18"/>
                <w:lang w:eastAsia="en-GB"/>
              </w:rPr>
              <w:t xml:space="preserve"> North West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8409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33D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F92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4.84</w:t>
            </w:r>
          </w:p>
        </w:tc>
      </w:tr>
      <w:tr w:rsidR="003831BC" w:rsidRPr="002D28F8" w14:paraId="70BF1E98"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8041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2163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E01022025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AFB5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016B</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A389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Pier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AB55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211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FA3E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4.89</w:t>
            </w:r>
          </w:p>
        </w:tc>
      </w:tr>
      <w:tr w:rsidR="003831BC" w:rsidRPr="002D28F8" w14:paraId="75DE0C9F"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592F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27B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E01021302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42F1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 013B</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F1AC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Pitsea</w:t>
            </w:r>
            <w:proofErr w:type="spellEnd"/>
            <w:r w:rsidRPr="00672B84">
              <w:rPr>
                <w:rFonts w:ascii="Century Gothic" w:eastAsia="Times New Roman" w:hAnsi="Century Gothic" w:cs="Calibri"/>
                <w:color w:val="000000"/>
                <w:sz w:val="18"/>
                <w:szCs w:val="18"/>
                <w:lang w:eastAsia="en-GB"/>
              </w:rPr>
              <w:t xml:space="preserve"> North West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368E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C8EF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51E7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4.89</w:t>
            </w:r>
          </w:p>
        </w:tc>
      </w:tr>
      <w:tr w:rsidR="003831BC" w:rsidRPr="002D28F8" w14:paraId="0C55D70E"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30B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A72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E01021271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E939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 013A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AF5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Fryerns</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3923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E351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82BD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4.90</w:t>
            </w:r>
          </w:p>
        </w:tc>
      </w:tr>
      <w:tr w:rsidR="003831BC" w:rsidRPr="002D28F8" w14:paraId="33CB8D75"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7FDB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E2AB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E01022023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1C9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015A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9FD6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 xml:space="preserve">Peter </w:t>
            </w:r>
            <w:proofErr w:type="spellStart"/>
            <w:r w:rsidRPr="00672B84">
              <w:rPr>
                <w:rFonts w:ascii="Century Gothic" w:eastAsia="Times New Roman" w:hAnsi="Century Gothic" w:cs="Calibri"/>
                <w:color w:val="000000"/>
                <w:sz w:val="18"/>
                <w:szCs w:val="18"/>
                <w:lang w:eastAsia="en-GB"/>
              </w:rPr>
              <w:t>Bruff</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507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871A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BD30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4.91</w:t>
            </w:r>
          </w:p>
        </w:tc>
      </w:tr>
      <w:tr w:rsidR="003831BC" w:rsidRPr="002D28F8" w14:paraId="1C39414B"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E9A2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C52B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E01021970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DDEB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016A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6011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Alton Park</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413A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4DF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629A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4.93</w:t>
            </w:r>
          </w:p>
        </w:tc>
      </w:tr>
      <w:tr w:rsidR="003831BC" w:rsidRPr="002D28F8" w14:paraId="3411953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A8840"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9ED5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E01022038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2361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017E</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2A96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St James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07C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9F11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3640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4.94</w:t>
            </w:r>
          </w:p>
        </w:tc>
      </w:tr>
      <w:tr w:rsidR="003831BC" w:rsidRPr="002D28F8" w14:paraId="38051F07"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5768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1114D"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E01021304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1A54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 013C</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E09E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Pitsea</w:t>
            </w:r>
            <w:proofErr w:type="spellEnd"/>
            <w:r w:rsidRPr="00672B84">
              <w:rPr>
                <w:rFonts w:ascii="Century Gothic" w:eastAsia="Times New Roman" w:hAnsi="Century Gothic" w:cs="Calibri"/>
                <w:color w:val="000000"/>
                <w:sz w:val="18"/>
                <w:szCs w:val="18"/>
                <w:lang w:eastAsia="en-GB"/>
              </w:rPr>
              <w:t xml:space="preserve"> North West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FBC5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9170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4E43F"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4.96</w:t>
            </w:r>
          </w:p>
        </w:tc>
      </w:tr>
      <w:tr w:rsidR="003831BC" w:rsidRPr="002D28F8" w14:paraId="114D9E98"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416BA"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A679"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E01022026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7660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016C</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2980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Pier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F0AD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290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5CC5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4.99</w:t>
            </w:r>
          </w:p>
        </w:tc>
      </w:tr>
      <w:tr w:rsidR="003831BC" w:rsidRPr="002D28F8" w14:paraId="066435B6"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9F76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19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D727"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E01021975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B781"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 013A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29C85"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72B84">
              <w:rPr>
                <w:rFonts w:ascii="Century Gothic" w:eastAsia="Times New Roman" w:hAnsi="Century Gothic" w:cs="Calibri"/>
                <w:color w:val="000000"/>
                <w:sz w:val="18"/>
                <w:szCs w:val="18"/>
                <w:lang w:eastAsia="en-GB"/>
              </w:rPr>
              <w:t>Bockings</w:t>
            </w:r>
            <w:proofErr w:type="spellEnd"/>
            <w:r w:rsidRPr="00672B84">
              <w:rPr>
                <w:rFonts w:ascii="Century Gothic" w:eastAsia="Times New Roman" w:hAnsi="Century Gothic" w:cs="Calibri"/>
                <w:color w:val="000000"/>
                <w:sz w:val="18"/>
                <w:szCs w:val="18"/>
                <w:lang w:eastAsia="en-GB"/>
              </w:rPr>
              <w:t xml:space="preserve"> Elm</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46D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8E272"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4086E"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5.00</w:t>
            </w:r>
          </w:p>
        </w:tc>
      </w:tr>
      <w:tr w:rsidR="003831BC" w:rsidRPr="002D28F8" w14:paraId="129AF864"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D411C"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7BFA3"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E01021286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FC2B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 016A</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D6236"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Lee Chapel North</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D7DF8"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7074"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2</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4F86B" w14:textId="77777777" w:rsidR="003831BC" w:rsidRPr="00672B84" w:rsidRDefault="003831BC" w:rsidP="00DA302A">
            <w:pPr>
              <w:spacing w:after="0" w:line="240" w:lineRule="auto"/>
              <w:jc w:val="both"/>
              <w:rPr>
                <w:rFonts w:ascii="Century Gothic" w:eastAsia="Times New Roman" w:hAnsi="Century Gothic" w:cs="Calibri"/>
                <w:color w:val="000000"/>
                <w:sz w:val="18"/>
                <w:szCs w:val="18"/>
                <w:lang w:eastAsia="en-GB"/>
              </w:rPr>
            </w:pPr>
            <w:r w:rsidRPr="00672B84">
              <w:rPr>
                <w:rFonts w:ascii="Century Gothic" w:eastAsia="Times New Roman" w:hAnsi="Century Gothic" w:cs="Calibri"/>
                <w:color w:val="000000"/>
                <w:sz w:val="18"/>
                <w:szCs w:val="18"/>
                <w:lang w:eastAsia="en-GB"/>
              </w:rPr>
              <w:t>5.06</w:t>
            </w:r>
          </w:p>
        </w:tc>
      </w:tr>
    </w:tbl>
    <w:p w14:paraId="5E37CDCC" w14:textId="77777777" w:rsidR="003831BC" w:rsidRDefault="003831BC" w:rsidP="003831BC">
      <w:pPr>
        <w:jc w:val="both"/>
        <w:rPr>
          <w:rFonts w:ascii="Century Gothic" w:hAnsi="Century Gothic"/>
        </w:rPr>
      </w:pPr>
    </w:p>
    <w:p w14:paraId="1DDEF12A"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Most active areas of Essex</w:t>
      </w:r>
    </w:p>
    <w:p w14:paraId="0CD69ADF"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Listed below are the 20 LSOA in Essex which scored the highest weighted average scores. These areas are spread across the districts of Basildon, Brentwood, Chelmsford, Rochford and Uttlesford. </w:t>
      </w:r>
      <w:proofErr w:type="gramStart"/>
      <w:r w:rsidRPr="00280067">
        <w:rPr>
          <w:rFonts w:ascii="Century Gothic" w:hAnsi="Century Gothic"/>
          <w:sz w:val="22"/>
          <w:szCs w:val="22"/>
        </w:rPr>
        <w:t>All of</w:t>
      </w:r>
      <w:proofErr w:type="gramEnd"/>
      <w:r w:rsidRPr="00280067">
        <w:rPr>
          <w:rFonts w:ascii="Century Gothic" w:hAnsi="Century Gothic"/>
          <w:sz w:val="22"/>
          <w:szCs w:val="22"/>
        </w:rPr>
        <w:t xml:space="preserve"> these LSOAs are placed in deciles 9-10 of the Indices of Deprivation 2019, indicating they are a lot less deprived than the areas that score lower weighted average scores.</w:t>
      </w:r>
    </w:p>
    <w:p w14:paraId="200022D9" w14:textId="77777777" w:rsidR="003831BC" w:rsidRDefault="003831BC" w:rsidP="003831BC">
      <w:pPr>
        <w:jc w:val="both"/>
        <w:rPr>
          <w:rFonts w:ascii="Century Gothic" w:hAnsi="Century Gothic"/>
          <w:sz w:val="22"/>
          <w:szCs w:val="22"/>
        </w:rPr>
      </w:pPr>
      <w:r w:rsidRPr="00280067">
        <w:rPr>
          <w:rFonts w:ascii="Century Gothic" w:hAnsi="Century Gothic"/>
          <w:sz w:val="22"/>
          <w:szCs w:val="22"/>
        </w:rPr>
        <w:t xml:space="preserve">Interestingly, Basildon is the only district represented among the areas with the highest and lowest weighted average scores. This suggests the less deprived areas of Basildon, such as Billericay, experience fewer challenges and barriers to physical activity than the more deprived areas such as </w:t>
      </w:r>
      <w:proofErr w:type="spellStart"/>
      <w:r w:rsidRPr="00280067">
        <w:rPr>
          <w:rFonts w:ascii="Century Gothic" w:hAnsi="Century Gothic"/>
          <w:sz w:val="22"/>
          <w:szCs w:val="22"/>
        </w:rPr>
        <w:t>Pitsea</w:t>
      </w:r>
      <w:proofErr w:type="spellEnd"/>
      <w:r w:rsidRPr="00280067">
        <w:rPr>
          <w:rFonts w:ascii="Century Gothic" w:hAnsi="Century Gothic"/>
          <w:sz w:val="22"/>
          <w:szCs w:val="22"/>
        </w:rPr>
        <w:t xml:space="preserve"> and </w:t>
      </w:r>
      <w:proofErr w:type="spellStart"/>
      <w:r w:rsidRPr="00280067">
        <w:rPr>
          <w:rFonts w:ascii="Century Gothic" w:hAnsi="Century Gothic"/>
          <w:sz w:val="22"/>
          <w:szCs w:val="22"/>
        </w:rPr>
        <w:t>Fryerns</w:t>
      </w:r>
      <w:proofErr w:type="spellEnd"/>
      <w:r w:rsidRPr="00280067">
        <w:rPr>
          <w:rFonts w:ascii="Century Gothic" w:hAnsi="Century Gothic"/>
          <w:sz w:val="22"/>
          <w:szCs w:val="22"/>
        </w:rPr>
        <w:t>.</w:t>
      </w:r>
    </w:p>
    <w:p w14:paraId="40459D66" w14:textId="77777777" w:rsidR="003831BC" w:rsidRDefault="003831BC" w:rsidP="003831BC">
      <w:pPr>
        <w:jc w:val="both"/>
        <w:rPr>
          <w:rFonts w:ascii="Century Gothic" w:hAnsi="Century Gothic"/>
          <w:sz w:val="22"/>
          <w:szCs w:val="22"/>
        </w:rPr>
      </w:pPr>
    </w:p>
    <w:p w14:paraId="49B41F3B" w14:textId="77777777" w:rsidR="003831BC" w:rsidRPr="00280067" w:rsidRDefault="003831BC" w:rsidP="003831BC">
      <w:pPr>
        <w:jc w:val="both"/>
        <w:rPr>
          <w:rFonts w:ascii="Century Gothic" w:hAnsi="Century Gothic"/>
          <w:sz w:val="22"/>
          <w:szCs w:val="22"/>
        </w:rPr>
      </w:pPr>
    </w:p>
    <w:tbl>
      <w:tblPr>
        <w:tblW w:w="8789" w:type="dxa"/>
        <w:jc w:val="center"/>
        <w:tblLook w:val="04A0" w:firstRow="1" w:lastRow="0" w:firstColumn="1" w:lastColumn="0" w:noHBand="0" w:noVBand="1"/>
      </w:tblPr>
      <w:tblGrid>
        <w:gridCol w:w="1074"/>
        <w:gridCol w:w="1111"/>
        <w:gridCol w:w="1784"/>
        <w:gridCol w:w="1985"/>
        <w:gridCol w:w="1216"/>
        <w:gridCol w:w="762"/>
        <w:gridCol w:w="1081"/>
      </w:tblGrid>
      <w:tr w:rsidR="003831BC" w:rsidRPr="00015416" w14:paraId="35ACE39D" w14:textId="77777777" w:rsidTr="00DA302A">
        <w:trPr>
          <w:trHeight w:val="288"/>
          <w:jc w:val="center"/>
        </w:trPr>
        <w:tc>
          <w:tcPr>
            <w:tcW w:w="1074" w:type="dxa"/>
            <w:tcBorders>
              <w:top w:val="nil"/>
              <w:left w:val="nil"/>
              <w:bottom w:val="single" w:sz="4" w:space="0" w:color="auto"/>
              <w:right w:val="nil"/>
            </w:tcBorders>
            <w:shd w:val="clear" w:color="auto" w:fill="auto"/>
            <w:noWrap/>
            <w:vAlign w:val="bottom"/>
            <w:hideMark/>
          </w:tcPr>
          <w:p w14:paraId="1E1EF7B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Essex Weighted Average Rank</w:t>
            </w:r>
          </w:p>
        </w:tc>
        <w:tc>
          <w:tcPr>
            <w:tcW w:w="1111" w:type="dxa"/>
            <w:tcBorders>
              <w:top w:val="nil"/>
              <w:left w:val="nil"/>
              <w:bottom w:val="single" w:sz="4" w:space="0" w:color="auto"/>
              <w:right w:val="nil"/>
            </w:tcBorders>
            <w:shd w:val="clear" w:color="auto" w:fill="auto"/>
            <w:noWrap/>
            <w:vAlign w:val="bottom"/>
            <w:hideMark/>
          </w:tcPr>
          <w:p w14:paraId="25122D2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LSOA Code</w:t>
            </w:r>
          </w:p>
        </w:tc>
        <w:tc>
          <w:tcPr>
            <w:tcW w:w="1784" w:type="dxa"/>
            <w:tcBorders>
              <w:top w:val="nil"/>
              <w:left w:val="nil"/>
              <w:bottom w:val="single" w:sz="4" w:space="0" w:color="auto"/>
              <w:right w:val="nil"/>
            </w:tcBorders>
            <w:shd w:val="clear" w:color="auto" w:fill="auto"/>
            <w:noWrap/>
            <w:vAlign w:val="bottom"/>
            <w:hideMark/>
          </w:tcPr>
          <w:p w14:paraId="455B0CCE"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LSOA Name</w:t>
            </w:r>
          </w:p>
        </w:tc>
        <w:tc>
          <w:tcPr>
            <w:tcW w:w="1985" w:type="dxa"/>
            <w:tcBorders>
              <w:top w:val="nil"/>
              <w:left w:val="nil"/>
              <w:bottom w:val="single" w:sz="4" w:space="0" w:color="auto"/>
              <w:right w:val="nil"/>
            </w:tcBorders>
            <w:shd w:val="clear" w:color="auto" w:fill="auto"/>
            <w:noWrap/>
            <w:vAlign w:val="bottom"/>
            <w:hideMark/>
          </w:tcPr>
          <w:p w14:paraId="51071A4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Ward of LSOA</w:t>
            </w:r>
          </w:p>
        </w:tc>
        <w:tc>
          <w:tcPr>
            <w:tcW w:w="992" w:type="dxa"/>
            <w:tcBorders>
              <w:top w:val="nil"/>
              <w:left w:val="nil"/>
              <w:bottom w:val="single" w:sz="4" w:space="0" w:color="auto"/>
              <w:right w:val="nil"/>
            </w:tcBorders>
            <w:shd w:val="clear" w:color="auto" w:fill="auto"/>
            <w:noWrap/>
            <w:vAlign w:val="bottom"/>
            <w:hideMark/>
          </w:tcPr>
          <w:p w14:paraId="188898D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LA Name</w:t>
            </w:r>
          </w:p>
        </w:tc>
        <w:tc>
          <w:tcPr>
            <w:tcW w:w="762" w:type="dxa"/>
            <w:tcBorders>
              <w:top w:val="nil"/>
              <w:left w:val="nil"/>
              <w:bottom w:val="single" w:sz="4" w:space="0" w:color="auto"/>
              <w:right w:val="nil"/>
            </w:tcBorders>
            <w:shd w:val="clear" w:color="auto" w:fill="auto"/>
            <w:noWrap/>
            <w:vAlign w:val="bottom"/>
            <w:hideMark/>
          </w:tcPr>
          <w:p w14:paraId="4B5B878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IMD 2019 decile</w:t>
            </w:r>
          </w:p>
        </w:tc>
        <w:tc>
          <w:tcPr>
            <w:tcW w:w="1081" w:type="dxa"/>
            <w:tcBorders>
              <w:top w:val="nil"/>
              <w:left w:val="nil"/>
              <w:bottom w:val="single" w:sz="4" w:space="0" w:color="auto"/>
              <w:right w:val="nil"/>
            </w:tcBorders>
            <w:shd w:val="clear" w:color="auto" w:fill="auto"/>
            <w:noWrap/>
            <w:vAlign w:val="bottom"/>
            <w:hideMark/>
          </w:tcPr>
          <w:p w14:paraId="116A4A3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Weighted average</w:t>
            </w:r>
          </w:p>
        </w:tc>
      </w:tr>
      <w:tr w:rsidR="003831BC" w:rsidRPr="00015416" w14:paraId="6E7FF186"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4BF2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872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E8B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E01022075</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DEBD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Uttlesford 001B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D102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Saffron Walden Audley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0ECA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Uttlesford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47A2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EBA5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8.98</w:t>
            </w:r>
          </w:p>
        </w:tc>
      </w:tr>
      <w:tr w:rsidR="003831BC" w:rsidRPr="00015416" w14:paraId="2905D2A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191E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871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7E87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E01021466</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E265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20D9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Shenfield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0D50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8CEE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61C3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8.90</w:t>
            </w:r>
          </w:p>
        </w:tc>
      </w:tr>
      <w:tr w:rsidR="003831BC" w:rsidRPr="00015416" w14:paraId="113C8629"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E6A7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870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73A5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E01021467</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6C12E"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005F</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A87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Shenfield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1A1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9EE2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031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8.85</w:t>
            </w:r>
          </w:p>
        </w:tc>
      </w:tr>
      <w:tr w:rsidR="003831BC" w:rsidRPr="00015416" w14:paraId="6A7BF603"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3845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91FA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E01021447</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056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99E2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Hutton Central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4440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2E44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B3C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8.77</w:t>
            </w:r>
          </w:p>
        </w:tc>
      </w:tr>
      <w:tr w:rsidR="003831BC" w:rsidRPr="00015416" w14:paraId="4E847316"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B77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F488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E01021250</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E8B7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001D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9D41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West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1BA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FA0B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5734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8.75</w:t>
            </w:r>
          </w:p>
        </w:tc>
      </w:tr>
      <w:tr w:rsidR="003831BC" w:rsidRPr="00015416" w14:paraId="647128F5"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FFC5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07E4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E01021240</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9607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003B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71DB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East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C80F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BBD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E990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8.65</w:t>
            </w:r>
          </w:p>
        </w:tc>
      </w:tr>
      <w:tr w:rsidR="003831BC" w:rsidRPr="00015416" w14:paraId="6D6AA371"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D3E8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4C71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E01021251</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6957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001E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10DD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West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A9A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80AE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7830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8.61</w:t>
            </w:r>
          </w:p>
        </w:tc>
      </w:tr>
      <w:tr w:rsidR="003831BC" w:rsidRPr="00015416" w14:paraId="2B5CBD6F"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D28A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D593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E01021465</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4AF4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5333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Shenfield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BECC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74F8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DC7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8.60</w:t>
            </w:r>
          </w:p>
        </w:tc>
      </w:tr>
      <w:tr w:rsidR="003831BC" w:rsidRPr="00015416" w14:paraId="449B3CC4"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C11C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20F6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E01021253</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69B2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004B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BA0E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015416">
              <w:rPr>
                <w:rFonts w:ascii="Century Gothic" w:eastAsia="Times New Roman" w:hAnsi="Century Gothic" w:cs="Calibri"/>
                <w:color w:val="000000"/>
                <w:sz w:val="18"/>
                <w:szCs w:val="18"/>
                <w:lang w:eastAsia="en-GB"/>
              </w:rPr>
              <w:t>Burstead</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8A76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B841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8615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8.58</w:t>
            </w:r>
          </w:p>
        </w:tc>
      </w:tr>
      <w:tr w:rsidR="003831BC" w:rsidRPr="00015416" w14:paraId="13095A71"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7163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B8B0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E01021248</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25A7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002C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AB6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West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D40E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0618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AFA1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8.53</w:t>
            </w:r>
          </w:p>
        </w:tc>
      </w:tr>
      <w:tr w:rsidR="003831BC" w:rsidRPr="00015416" w14:paraId="2CB0F787"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F4DD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ABC3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E01021239</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3C59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003A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0783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East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FC22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7F73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959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8.52</w:t>
            </w:r>
          </w:p>
        </w:tc>
      </w:tr>
      <w:tr w:rsidR="003831BC" w:rsidRPr="00015416" w14:paraId="4F732D9C"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4C8B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3FAB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E01021455</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525F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005C</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45C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Hutton South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8B7D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1A25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F0C9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8.52</w:t>
            </w:r>
          </w:p>
        </w:tc>
      </w:tr>
      <w:tr w:rsidR="003831BC" w:rsidRPr="00015416" w14:paraId="2C52AC84"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A66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860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139A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E01021247</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522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003E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3684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West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72A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95B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9071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8.52</w:t>
            </w:r>
          </w:p>
        </w:tc>
      </w:tr>
      <w:tr w:rsidR="003831BC" w:rsidRPr="00015416" w14:paraId="3137BCA8"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11AA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80BD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E01021580</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B70DB"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Chelmsford 012D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5402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015416">
              <w:rPr>
                <w:rFonts w:ascii="Century Gothic" w:eastAsia="Times New Roman" w:hAnsi="Century Gothic" w:cs="Calibri"/>
                <w:color w:val="000000"/>
                <w:sz w:val="18"/>
                <w:szCs w:val="18"/>
                <w:lang w:eastAsia="en-GB"/>
              </w:rPr>
              <w:t>Moulsham</w:t>
            </w:r>
            <w:proofErr w:type="spellEnd"/>
            <w:r w:rsidRPr="00015416">
              <w:rPr>
                <w:rFonts w:ascii="Century Gothic" w:eastAsia="Times New Roman" w:hAnsi="Century Gothic" w:cs="Calibri"/>
                <w:color w:val="000000"/>
                <w:sz w:val="18"/>
                <w:szCs w:val="18"/>
                <w:lang w:eastAsia="en-GB"/>
              </w:rPr>
              <w:t xml:space="preserve"> and Central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9D8CE"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Chelmsford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F0DC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AAC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8.51</w:t>
            </w:r>
          </w:p>
        </w:tc>
      </w:tr>
      <w:tr w:rsidR="003831BC" w:rsidRPr="00015416" w14:paraId="4E3EDB23"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D587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89CF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E01021237</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B46C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001A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912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East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BC88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7EB4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058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8.48</w:t>
            </w:r>
          </w:p>
        </w:tc>
      </w:tr>
      <w:tr w:rsidR="003831BC" w:rsidRPr="00015416" w14:paraId="0F33B77E"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9AD2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55A8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E01021918</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FF72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Rochford 005A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F09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015416">
              <w:rPr>
                <w:rFonts w:ascii="Century Gothic" w:eastAsia="Times New Roman" w:hAnsi="Century Gothic" w:cs="Calibri"/>
                <w:color w:val="000000"/>
                <w:sz w:val="18"/>
                <w:szCs w:val="18"/>
                <w:lang w:eastAsia="en-GB"/>
              </w:rPr>
              <w:t>Downhall</w:t>
            </w:r>
            <w:proofErr w:type="spellEnd"/>
            <w:r w:rsidRPr="00015416">
              <w:rPr>
                <w:rFonts w:ascii="Century Gothic" w:eastAsia="Times New Roman" w:hAnsi="Century Gothic" w:cs="Calibri"/>
                <w:color w:val="000000"/>
                <w:sz w:val="18"/>
                <w:szCs w:val="18"/>
                <w:lang w:eastAsia="en-GB"/>
              </w:rPr>
              <w:t xml:space="preserve"> and </w:t>
            </w:r>
            <w:proofErr w:type="spellStart"/>
            <w:r w:rsidRPr="00015416">
              <w:rPr>
                <w:rFonts w:ascii="Century Gothic" w:eastAsia="Times New Roman" w:hAnsi="Century Gothic" w:cs="Calibri"/>
                <w:color w:val="000000"/>
                <w:sz w:val="18"/>
                <w:szCs w:val="18"/>
                <w:lang w:eastAsia="en-GB"/>
              </w:rPr>
              <w:t>Rawreth</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546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Rochford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4D55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87A9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8.48</w:t>
            </w:r>
          </w:p>
        </w:tc>
      </w:tr>
      <w:tr w:rsidR="003831BC" w:rsidRPr="00015416" w14:paraId="7B84A795"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31EE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69F9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E01021453</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4A1B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 005B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F498"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Hutton North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374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Brentwood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C39E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9</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6BCC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8.46</w:t>
            </w:r>
          </w:p>
        </w:tc>
      </w:tr>
      <w:tr w:rsidR="003831BC" w:rsidRPr="00015416" w14:paraId="5CD5497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DED0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D12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E01022094</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4BA2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Uttlesford 001D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698AD"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015416">
              <w:rPr>
                <w:rFonts w:ascii="Century Gothic" w:eastAsia="Times New Roman" w:hAnsi="Century Gothic" w:cs="Calibri"/>
                <w:color w:val="000000"/>
                <w:sz w:val="18"/>
                <w:szCs w:val="18"/>
                <w:lang w:eastAsia="en-GB"/>
              </w:rPr>
              <w:t>Littlebury</w:t>
            </w:r>
            <w:proofErr w:type="spellEnd"/>
            <w:r w:rsidRPr="00015416">
              <w:rPr>
                <w:rFonts w:ascii="Century Gothic" w:eastAsia="Times New Roman" w:hAnsi="Century Gothic" w:cs="Calibri"/>
                <w:color w:val="000000"/>
                <w:sz w:val="18"/>
                <w:szCs w:val="18"/>
                <w:lang w:eastAsia="en-GB"/>
              </w:rPr>
              <w:t xml:space="preserve">, </w:t>
            </w:r>
            <w:proofErr w:type="spellStart"/>
            <w:r w:rsidRPr="00015416">
              <w:rPr>
                <w:rFonts w:ascii="Century Gothic" w:eastAsia="Times New Roman" w:hAnsi="Century Gothic" w:cs="Calibri"/>
                <w:color w:val="000000"/>
                <w:sz w:val="18"/>
                <w:szCs w:val="18"/>
                <w:lang w:eastAsia="en-GB"/>
              </w:rPr>
              <w:t>Chesterford</w:t>
            </w:r>
            <w:proofErr w:type="spellEnd"/>
            <w:r w:rsidRPr="00015416">
              <w:rPr>
                <w:rFonts w:ascii="Century Gothic" w:eastAsia="Times New Roman" w:hAnsi="Century Gothic" w:cs="Calibri"/>
                <w:color w:val="000000"/>
                <w:sz w:val="18"/>
                <w:szCs w:val="18"/>
                <w:lang w:eastAsia="en-GB"/>
              </w:rPr>
              <w:t xml:space="preserve"> &amp; Wenden Lofts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C0043"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Uttlesford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2D4E4"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E24C5"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8.46</w:t>
            </w:r>
          </w:p>
        </w:tc>
      </w:tr>
      <w:tr w:rsidR="003831BC" w:rsidRPr="00015416" w14:paraId="1E056CB2"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76DF"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04EC2"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E01021243</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A4B29"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 003D</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21FD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Billericay East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C3A9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Basildon</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FC71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64F8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8.46</w:t>
            </w:r>
          </w:p>
        </w:tc>
      </w:tr>
      <w:tr w:rsidR="003831BC" w:rsidRPr="00015416" w14:paraId="40E970D7" w14:textId="77777777" w:rsidTr="00DA302A">
        <w:trPr>
          <w:trHeight w:val="288"/>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B82A"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853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F261"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E01021584</w:t>
            </w:r>
          </w:p>
        </w:tc>
        <w:tc>
          <w:tcPr>
            <w:tcW w:w="1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6C40"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Chelmsford 012E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89437"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015416">
              <w:rPr>
                <w:rFonts w:ascii="Century Gothic" w:eastAsia="Times New Roman" w:hAnsi="Century Gothic" w:cs="Calibri"/>
                <w:color w:val="000000"/>
                <w:sz w:val="18"/>
                <w:szCs w:val="18"/>
                <w:lang w:eastAsia="en-GB"/>
              </w:rPr>
              <w:t>Moulsham</w:t>
            </w:r>
            <w:proofErr w:type="spellEnd"/>
            <w:r w:rsidRPr="00015416">
              <w:rPr>
                <w:rFonts w:ascii="Century Gothic" w:eastAsia="Times New Roman" w:hAnsi="Century Gothic" w:cs="Calibri"/>
                <w:color w:val="000000"/>
                <w:sz w:val="18"/>
                <w:szCs w:val="18"/>
                <w:lang w:eastAsia="en-GB"/>
              </w:rPr>
              <w:t xml:space="preserve"> Lodge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C7F6"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Chelmsford</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61B3C"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eastAsia="Times New Roman" w:hAnsi="Century Gothic" w:cs="Calibri"/>
                <w:color w:val="000000"/>
                <w:sz w:val="18"/>
                <w:szCs w:val="18"/>
                <w:lang w:eastAsia="en-GB"/>
              </w:rPr>
              <w:t>10</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F91CE" w14:textId="77777777" w:rsidR="003831BC" w:rsidRPr="00015416" w:rsidRDefault="003831BC" w:rsidP="00DA302A">
            <w:pPr>
              <w:spacing w:after="0" w:line="240" w:lineRule="auto"/>
              <w:jc w:val="both"/>
              <w:rPr>
                <w:rFonts w:ascii="Century Gothic" w:eastAsia="Times New Roman" w:hAnsi="Century Gothic" w:cs="Calibri"/>
                <w:color w:val="000000"/>
                <w:sz w:val="18"/>
                <w:szCs w:val="18"/>
                <w:lang w:eastAsia="en-GB"/>
              </w:rPr>
            </w:pPr>
            <w:r w:rsidRPr="00015416">
              <w:rPr>
                <w:rFonts w:ascii="Century Gothic" w:hAnsi="Century Gothic"/>
                <w:sz w:val="18"/>
                <w:szCs w:val="18"/>
              </w:rPr>
              <w:t>8.45</w:t>
            </w:r>
          </w:p>
        </w:tc>
      </w:tr>
    </w:tbl>
    <w:p w14:paraId="569ABC40" w14:textId="77777777" w:rsidR="003831BC" w:rsidRDefault="003831BC" w:rsidP="003831BC">
      <w:pPr>
        <w:jc w:val="both"/>
        <w:rPr>
          <w:rFonts w:ascii="Century Gothic" w:hAnsi="Century Gothic"/>
        </w:rPr>
      </w:pPr>
    </w:p>
    <w:p w14:paraId="0934BC6B"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Overall Findings by Essex district:</w:t>
      </w:r>
    </w:p>
    <w:p w14:paraId="472D0E31"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table below shows the average score by decile by Essex district. This allows you to see the difference in scores across all themes.</w:t>
      </w:r>
    </w:p>
    <w:p w14:paraId="268645EB"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On a national scale, all Essex districts perform poorly on measures for Communities and environment, reflecting the fact that Essex is a largely rural based county making access to amenities more difficult for residents.</w:t>
      </w:r>
    </w:p>
    <w:p w14:paraId="0835133A" w14:textId="77777777" w:rsidR="003831BC" w:rsidRDefault="003831BC" w:rsidP="003831BC">
      <w:pPr>
        <w:jc w:val="both"/>
        <w:rPr>
          <w:rFonts w:ascii="Century Gothic" w:hAnsi="Century Gothic"/>
          <w:sz w:val="22"/>
          <w:szCs w:val="22"/>
        </w:rPr>
      </w:pPr>
      <w:r w:rsidRPr="00280067">
        <w:rPr>
          <w:rFonts w:ascii="Century Gothic" w:hAnsi="Century Gothic"/>
          <w:sz w:val="22"/>
          <w:szCs w:val="22"/>
        </w:rPr>
        <w:t>The next section of this report provides more detailed insight into each of the ten themes separately.</w:t>
      </w:r>
    </w:p>
    <w:p w14:paraId="772F5D27" w14:textId="77777777" w:rsidR="003831BC" w:rsidRDefault="003831BC" w:rsidP="003831BC">
      <w:pPr>
        <w:jc w:val="both"/>
        <w:rPr>
          <w:rFonts w:ascii="Century Gothic" w:hAnsi="Century Gothic"/>
          <w:sz w:val="22"/>
          <w:szCs w:val="22"/>
        </w:rPr>
      </w:pPr>
    </w:p>
    <w:p w14:paraId="6F158D23" w14:textId="77777777" w:rsidR="003831BC" w:rsidRDefault="003831BC" w:rsidP="003831BC">
      <w:pPr>
        <w:jc w:val="both"/>
        <w:rPr>
          <w:rFonts w:ascii="Century Gothic" w:hAnsi="Century Gothic"/>
          <w:sz w:val="22"/>
          <w:szCs w:val="22"/>
        </w:rPr>
      </w:pPr>
    </w:p>
    <w:p w14:paraId="28D46E2E" w14:textId="77777777" w:rsidR="003831BC" w:rsidRDefault="003831BC" w:rsidP="003831BC">
      <w:pPr>
        <w:jc w:val="both"/>
        <w:rPr>
          <w:rFonts w:ascii="Century Gothic" w:hAnsi="Century Gothic"/>
          <w:sz w:val="22"/>
          <w:szCs w:val="22"/>
        </w:rPr>
      </w:pPr>
    </w:p>
    <w:p w14:paraId="789394ED" w14:textId="77777777" w:rsidR="003831BC" w:rsidRDefault="003831BC" w:rsidP="003831BC">
      <w:pPr>
        <w:jc w:val="both"/>
        <w:rPr>
          <w:rFonts w:ascii="Century Gothic" w:hAnsi="Century Gothic"/>
          <w:sz w:val="22"/>
          <w:szCs w:val="22"/>
        </w:rPr>
      </w:pPr>
    </w:p>
    <w:p w14:paraId="50C54D78" w14:textId="77777777" w:rsidR="003831BC" w:rsidRDefault="003831BC" w:rsidP="003831BC">
      <w:pPr>
        <w:jc w:val="both"/>
        <w:rPr>
          <w:rFonts w:ascii="Century Gothic" w:hAnsi="Century Gothic"/>
          <w:sz w:val="22"/>
          <w:szCs w:val="22"/>
        </w:rPr>
      </w:pPr>
    </w:p>
    <w:p w14:paraId="3C39DAB9" w14:textId="77777777" w:rsidR="003831BC" w:rsidRPr="00280067" w:rsidRDefault="003831BC" w:rsidP="003831BC">
      <w:pPr>
        <w:jc w:val="both"/>
        <w:rPr>
          <w:rFonts w:ascii="Century Gothic" w:hAnsi="Century Gothic"/>
          <w:sz w:val="22"/>
          <w:szCs w:val="22"/>
        </w:rPr>
      </w:pPr>
    </w:p>
    <w:p w14:paraId="1288B4CA" w14:textId="77777777" w:rsidR="003831BC" w:rsidRDefault="003831BC" w:rsidP="003831BC">
      <w:pPr>
        <w:jc w:val="both"/>
        <w:rPr>
          <w:rFonts w:ascii="Century Gothic" w:hAnsi="Century Gothic"/>
        </w:rPr>
      </w:pPr>
    </w:p>
    <w:tbl>
      <w:tblPr>
        <w:tblW w:w="9505" w:type="dxa"/>
        <w:tblLook w:val="04A0" w:firstRow="1" w:lastRow="0" w:firstColumn="1" w:lastColumn="0" w:noHBand="0" w:noVBand="1"/>
      </w:tblPr>
      <w:tblGrid>
        <w:gridCol w:w="1701"/>
        <w:gridCol w:w="566"/>
        <w:gridCol w:w="863"/>
        <w:gridCol w:w="705"/>
        <w:gridCol w:w="701"/>
        <w:gridCol w:w="847"/>
        <w:gridCol w:w="824"/>
        <w:gridCol w:w="757"/>
        <w:gridCol w:w="917"/>
        <w:gridCol w:w="915"/>
        <w:gridCol w:w="709"/>
      </w:tblGrid>
      <w:tr w:rsidR="003831BC" w:rsidRPr="001528B4" w14:paraId="39FE78D6" w14:textId="77777777" w:rsidTr="00DA302A">
        <w:trPr>
          <w:trHeight w:val="248"/>
        </w:trPr>
        <w:tc>
          <w:tcPr>
            <w:tcW w:w="1701" w:type="dxa"/>
            <w:tcBorders>
              <w:top w:val="nil"/>
              <w:left w:val="nil"/>
              <w:bottom w:val="nil"/>
              <w:right w:val="nil"/>
            </w:tcBorders>
            <w:shd w:val="clear" w:color="auto" w:fill="auto"/>
            <w:noWrap/>
            <w:vAlign w:val="bottom"/>
            <w:hideMark/>
          </w:tcPr>
          <w:p w14:paraId="218C6B19" w14:textId="77777777" w:rsidR="003831BC" w:rsidRPr="001528B4" w:rsidRDefault="003831BC" w:rsidP="00DA302A">
            <w:pPr>
              <w:spacing w:after="0" w:line="240" w:lineRule="auto"/>
              <w:jc w:val="both"/>
              <w:rPr>
                <w:rFonts w:ascii="Times New Roman" w:eastAsia="Times New Roman" w:hAnsi="Times New Roman" w:cs="Times New Roman"/>
                <w:sz w:val="24"/>
                <w:szCs w:val="24"/>
                <w:lang w:eastAsia="en-GB"/>
              </w:rPr>
            </w:pPr>
          </w:p>
        </w:tc>
        <w:tc>
          <w:tcPr>
            <w:tcW w:w="7804" w:type="dxa"/>
            <w:gridSpan w:val="10"/>
            <w:tcBorders>
              <w:top w:val="nil"/>
              <w:left w:val="nil"/>
              <w:bottom w:val="nil"/>
              <w:right w:val="nil"/>
            </w:tcBorders>
            <w:shd w:val="clear" w:color="auto" w:fill="auto"/>
            <w:noWrap/>
            <w:vAlign w:val="bottom"/>
            <w:hideMark/>
          </w:tcPr>
          <w:p w14:paraId="22F55D06" w14:textId="77777777" w:rsidR="003831BC" w:rsidRPr="00E02EAE"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E02EAE">
              <w:rPr>
                <w:rFonts w:ascii="Century Gothic" w:eastAsia="Times New Roman" w:hAnsi="Century Gothic" w:cs="Calibri"/>
                <w:b/>
                <w:bCs/>
                <w:color w:val="000000"/>
                <w:sz w:val="18"/>
                <w:szCs w:val="18"/>
                <w:lang w:eastAsia="en-GB"/>
              </w:rPr>
              <w:t>Average decile by theme:</w:t>
            </w:r>
          </w:p>
        </w:tc>
      </w:tr>
      <w:tr w:rsidR="003831BC" w:rsidRPr="001528B4" w14:paraId="48E23D13" w14:textId="77777777" w:rsidTr="00DA302A">
        <w:trPr>
          <w:cantSplit/>
          <w:trHeight w:val="1988"/>
        </w:trPr>
        <w:tc>
          <w:tcPr>
            <w:tcW w:w="1701" w:type="dxa"/>
            <w:tcBorders>
              <w:top w:val="nil"/>
              <w:left w:val="nil"/>
              <w:bottom w:val="single" w:sz="4" w:space="0" w:color="auto"/>
              <w:right w:val="nil"/>
            </w:tcBorders>
            <w:shd w:val="clear" w:color="auto" w:fill="auto"/>
            <w:noWrap/>
            <w:vAlign w:val="bottom"/>
            <w:hideMark/>
          </w:tcPr>
          <w:p w14:paraId="726E726B" w14:textId="77777777" w:rsidR="003831BC" w:rsidRPr="001528B4"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1528B4">
              <w:rPr>
                <w:rFonts w:ascii="Century Gothic" w:eastAsia="Times New Roman" w:hAnsi="Century Gothic" w:cs="Calibri"/>
                <w:b/>
                <w:bCs/>
                <w:color w:val="000000"/>
                <w:sz w:val="18"/>
                <w:szCs w:val="18"/>
                <w:lang w:eastAsia="en-GB"/>
              </w:rPr>
              <w:t>Districts:</w:t>
            </w:r>
          </w:p>
        </w:tc>
        <w:tc>
          <w:tcPr>
            <w:tcW w:w="566" w:type="dxa"/>
            <w:tcBorders>
              <w:top w:val="nil"/>
              <w:left w:val="nil"/>
              <w:bottom w:val="single" w:sz="4" w:space="0" w:color="auto"/>
              <w:right w:val="nil"/>
            </w:tcBorders>
            <w:shd w:val="clear" w:color="auto" w:fill="auto"/>
            <w:noWrap/>
            <w:textDirection w:val="tbRl"/>
            <w:vAlign w:val="bottom"/>
            <w:hideMark/>
          </w:tcPr>
          <w:p w14:paraId="12287A6B"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Health</w:t>
            </w:r>
          </w:p>
        </w:tc>
        <w:tc>
          <w:tcPr>
            <w:tcW w:w="863" w:type="dxa"/>
            <w:tcBorders>
              <w:top w:val="nil"/>
              <w:left w:val="nil"/>
              <w:bottom w:val="single" w:sz="4" w:space="0" w:color="auto"/>
              <w:right w:val="nil"/>
            </w:tcBorders>
            <w:shd w:val="clear" w:color="auto" w:fill="auto"/>
            <w:noWrap/>
            <w:textDirection w:val="tbRl"/>
            <w:vAlign w:val="bottom"/>
            <w:hideMark/>
          </w:tcPr>
          <w:p w14:paraId="35ED24FA"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Economy</w:t>
            </w:r>
          </w:p>
        </w:tc>
        <w:tc>
          <w:tcPr>
            <w:tcW w:w="705" w:type="dxa"/>
            <w:tcBorders>
              <w:top w:val="nil"/>
              <w:left w:val="nil"/>
              <w:bottom w:val="single" w:sz="4" w:space="0" w:color="auto"/>
              <w:right w:val="nil"/>
            </w:tcBorders>
            <w:shd w:val="clear" w:color="auto" w:fill="auto"/>
            <w:noWrap/>
            <w:textDirection w:val="tbRl"/>
            <w:vAlign w:val="bottom"/>
            <w:hideMark/>
          </w:tcPr>
          <w:p w14:paraId="65B056F2"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Vulnerable Groups</w:t>
            </w:r>
          </w:p>
        </w:tc>
        <w:tc>
          <w:tcPr>
            <w:tcW w:w="701" w:type="dxa"/>
            <w:tcBorders>
              <w:top w:val="nil"/>
              <w:left w:val="nil"/>
              <w:bottom w:val="single" w:sz="4" w:space="0" w:color="auto"/>
              <w:right w:val="nil"/>
            </w:tcBorders>
            <w:shd w:val="clear" w:color="auto" w:fill="auto"/>
            <w:noWrap/>
            <w:textDirection w:val="tbRl"/>
            <w:vAlign w:val="bottom"/>
            <w:hideMark/>
          </w:tcPr>
          <w:p w14:paraId="390470BC"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Active Lives</w:t>
            </w:r>
          </w:p>
        </w:tc>
        <w:tc>
          <w:tcPr>
            <w:tcW w:w="847" w:type="dxa"/>
            <w:tcBorders>
              <w:top w:val="nil"/>
              <w:left w:val="nil"/>
              <w:bottom w:val="single" w:sz="4" w:space="0" w:color="auto"/>
              <w:right w:val="nil"/>
            </w:tcBorders>
            <w:shd w:val="clear" w:color="auto" w:fill="auto"/>
            <w:noWrap/>
            <w:textDirection w:val="tbRl"/>
            <w:vAlign w:val="bottom"/>
            <w:hideMark/>
          </w:tcPr>
          <w:p w14:paraId="7A65A892"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Crime</w:t>
            </w:r>
          </w:p>
        </w:tc>
        <w:tc>
          <w:tcPr>
            <w:tcW w:w="824" w:type="dxa"/>
            <w:tcBorders>
              <w:top w:val="nil"/>
              <w:left w:val="nil"/>
              <w:bottom w:val="single" w:sz="4" w:space="0" w:color="auto"/>
              <w:right w:val="nil"/>
            </w:tcBorders>
            <w:shd w:val="clear" w:color="auto" w:fill="auto"/>
            <w:noWrap/>
            <w:textDirection w:val="tbRl"/>
            <w:vAlign w:val="bottom"/>
            <w:hideMark/>
          </w:tcPr>
          <w:p w14:paraId="2900E5CC"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Access &amp; transport</w:t>
            </w:r>
          </w:p>
        </w:tc>
        <w:tc>
          <w:tcPr>
            <w:tcW w:w="757" w:type="dxa"/>
            <w:tcBorders>
              <w:top w:val="nil"/>
              <w:left w:val="nil"/>
              <w:bottom w:val="single" w:sz="4" w:space="0" w:color="auto"/>
              <w:right w:val="nil"/>
            </w:tcBorders>
            <w:shd w:val="clear" w:color="auto" w:fill="auto"/>
            <w:noWrap/>
            <w:textDirection w:val="tbRl"/>
            <w:vAlign w:val="bottom"/>
            <w:hideMark/>
          </w:tcPr>
          <w:p w14:paraId="227C8739"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Housing</w:t>
            </w:r>
          </w:p>
        </w:tc>
        <w:tc>
          <w:tcPr>
            <w:tcW w:w="917" w:type="dxa"/>
            <w:tcBorders>
              <w:top w:val="nil"/>
              <w:left w:val="nil"/>
              <w:bottom w:val="single" w:sz="4" w:space="0" w:color="auto"/>
              <w:right w:val="nil"/>
            </w:tcBorders>
            <w:shd w:val="clear" w:color="auto" w:fill="auto"/>
            <w:noWrap/>
            <w:textDirection w:val="tbRl"/>
            <w:vAlign w:val="bottom"/>
            <w:hideMark/>
          </w:tcPr>
          <w:p w14:paraId="1E5C4D75"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Education &amp; Skills</w:t>
            </w:r>
          </w:p>
        </w:tc>
        <w:tc>
          <w:tcPr>
            <w:tcW w:w="915" w:type="dxa"/>
            <w:tcBorders>
              <w:top w:val="nil"/>
              <w:left w:val="nil"/>
              <w:bottom w:val="single" w:sz="4" w:space="0" w:color="auto"/>
              <w:right w:val="nil"/>
            </w:tcBorders>
            <w:shd w:val="clear" w:color="auto" w:fill="auto"/>
            <w:noWrap/>
            <w:textDirection w:val="tbRl"/>
            <w:vAlign w:val="bottom"/>
            <w:hideMark/>
          </w:tcPr>
          <w:p w14:paraId="56143A60"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Communities &amp; Environment</w:t>
            </w:r>
          </w:p>
        </w:tc>
        <w:tc>
          <w:tcPr>
            <w:tcW w:w="709" w:type="dxa"/>
            <w:tcBorders>
              <w:top w:val="nil"/>
              <w:left w:val="nil"/>
              <w:bottom w:val="single" w:sz="4" w:space="0" w:color="auto"/>
              <w:right w:val="nil"/>
            </w:tcBorders>
            <w:shd w:val="clear" w:color="auto" w:fill="auto"/>
            <w:noWrap/>
            <w:textDirection w:val="tbRl"/>
            <w:vAlign w:val="bottom"/>
            <w:hideMark/>
          </w:tcPr>
          <w:p w14:paraId="6110498B" w14:textId="77777777" w:rsidR="003831BC" w:rsidRPr="001528B4"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Population</w:t>
            </w:r>
          </w:p>
        </w:tc>
      </w:tr>
      <w:tr w:rsidR="003831BC" w:rsidRPr="001528B4" w14:paraId="2CE7DAC7"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2A4DEB1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Basildon</w:t>
            </w:r>
            <w:r>
              <w:rPr>
                <w:rFonts w:ascii="Century Gothic" w:eastAsia="Times New Roman" w:hAnsi="Century Gothic" w:cs="Calibri"/>
                <w:color w:val="000000"/>
                <w:sz w:val="18"/>
                <w:szCs w:val="18"/>
                <w:lang w:eastAsia="en-GB"/>
              </w:rPr>
              <w:t>*</w:t>
            </w:r>
          </w:p>
        </w:tc>
        <w:tc>
          <w:tcPr>
            <w:tcW w:w="566" w:type="dxa"/>
            <w:tcBorders>
              <w:top w:val="single" w:sz="4" w:space="0" w:color="auto"/>
              <w:left w:val="single" w:sz="4" w:space="0" w:color="auto"/>
              <w:bottom w:val="single" w:sz="4" w:space="0" w:color="auto"/>
              <w:right w:val="single" w:sz="4" w:space="0" w:color="auto"/>
            </w:tcBorders>
            <w:shd w:val="clear" w:color="000000" w:fill="ECE683"/>
            <w:noWrap/>
            <w:vAlign w:val="bottom"/>
            <w:hideMark/>
          </w:tcPr>
          <w:p w14:paraId="0A411F3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5.67</w:t>
            </w:r>
          </w:p>
        </w:tc>
        <w:tc>
          <w:tcPr>
            <w:tcW w:w="863"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14:paraId="7F5626A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5.86</w:t>
            </w:r>
          </w:p>
        </w:tc>
        <w:tc>
          <w:tcPr>
            <w:tcW w:w="705"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14:paraId="27152FE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5.42</w:t>
            </w:r>
          </w:p>
        </w:tc>
        <w:tc>
          <w:tcPr>
            <w:tcW w:w="701"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72DA9D8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5.10</w:t>
            </w:r>
          </w:p>
        </w:tc>
        <w:tc>
          <w:tcPr>
            <w:tcW w:w="847"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14:paraId="47DA5F9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5.34</w:t>
            </w:r>
          </w:p>
        </w:tc>
        <w:tc>
          <w:tcPr>
            <w:tcW w:w="824"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14:paraId="1F92275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5.97</w:t>
            </w:r>
          </w:p>
        </w:tc>
        <w:tc>
          <w:tcPr>
            <w:tcW w:w="757"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14:paraId="44FC9F6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5.37</w:t>
            </w:r>
          </w:p>
        </w:tc>
        <w:tc>
          <w:tcPr>
            <w:tcW w:w="917" w:type="dxa"/>
            <w:tcBorders>
              <w:top w:val="single" w:sz="4" w:space="0" w:color="auto"/>
              <w:left w:val="single" w:sz="4" w:space="0" w:color="auto"/>
              <w:bottom w:val="single" w:sz="4" w:space="0" w:color="auto"/>
              <w:right w:val="single" w:sz="4" w:space="0" w:color="auto"/>
            </w:tcBorders>
            <w:shd w:val="clear" w:color="000000" w:fill="FCBA7A"/>
            <w:noWrap/>
            <w:vAlign w:val="bottom"/>
            <w:hideMark/>
          </w:tcPr>
          <w:p w14:paraId="2A7D22D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5.02</w:t>
            </w:r>
          </w:p>
        </w:tc>
        <w:tc>
          <w:tcPr>
            <w:tcW w:w="915" w:type="dxa"/>
            <w:tcBorders>
              <w:top w:val="single" w:sz="4" w:space="0" w:color="auto"/>
              <w:left w:val="single" w:sz="4" w:space="0" w:color="auto"/>
              <w:bottom w:val="single" w:sz="4" w:space="0" w:color="auto"/>
              <w:right w:val="single" w:sz="4" w:space="0" w:color="auto"/>
            </w:tcBorders>
            <w:shd w:val="clear" w:color="000000" w:fill="FBA676"/>
            <w:noWrap/>
            <w:vAlign w:val="bottom"/>
            <w:hideMark/>
          </w:tcPr>
          <w:p w14:paraId="1DAE70D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4.83</w:t>
            </w:r>
          </w:p>
        </w:tc>
        <w:tc>
          <w:tcPr>
            <w:tcW w:w="709" w:type="dxa"/>
            <w:tcBorders>
              <w:top w:val="single" w:sz="4" w:space="0" w:color="auto"/>
              <w:left w:val="single" w:sz="4" w:space="0" w:color="auto"/>
              <w:bottom w:val="single" w:sz="4" w:space="0" w:color="auto"/>
              <w:right w:val="single" w:sz="4" w:space="0" w:color="auto"/>
            </w:tcBorders>
            <w:shd w:val="clear" w:color="000000" w:fill="FA9F75"/>
            <w:noWrap/>
            <w:vAlign w:val="bottom"/>
            <w:hideMark/>
          </w:tcPr>
          <w:p w14:paraId="482ACC2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4.77</w:t>
            </w:r>
          </w:p>
        </w:tc>
      </w:tr>
      <w:tr w:rsidR="003831BC" w:rsidRPr="001528B4" w14:paraId="11ADF1EB"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0C48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Braintree</w:t>
            </w:r>
          </w:p>
        </w:tc>
        <w:tc>
          <w:tcPr>
            <w:tcW w:w="566"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14:paraId="5F3F7C4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5.93</w:t>
            </w:r>
          </w:p>
        </w:tc>
        <w:tc>
          <w:tcPr>
            <w:tcW w:w="863"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14:paraId="218E98F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6.10</w:t>
            </w:r>
          </w:p>
        </w:tc>
        <w:tc>
          <w:tcPr>
            <w:tcW w:w="705" w:type="dxa"/>
            <w:tcBorders>
              <w:top w:val="single" w:sz="4" w:space="0" w:color="auto"/>
              <w:left w:val="single" w:sz="4" w:space="0" w:color="auto"/>
              <w:bottom w:val="single" w:sz="4" w:space="0" w:color="auto"/>
              <w:right w:val="single" w:sz="4" w:space="0" w:color="auto"/>
            </w:tcBorders>
            <w:shd w:val="clear" w:color="000000" w:fill="D1DE82"/>
            <w:noWrap/>
            <w:vAlign w:val="bottom"/>
            <w:hideMark/>
          </w:tcPr>
          <w:p w14:paraId="768EFCE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5.93</w:t>
            </w:r>
          </w:p>
        </w:tc>
        <w:tc>
          <w:tcPr>
            <w:tcW w:w="701"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66899E4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5.53</w:t>
            </w:r>
          </w:p>
        </w:tc>
        <w:tc>
          <w:tcPr>
            <w:tcW w:w="847" w:type="dxa"/>
            <w:tcBorders>
              <w:top w:val="single" w:sz="4" w:space="0" w:color="auto"/>
              <w:left w:val="single" w:sz="4" w:space="0" w:color="auto"/>
              <w:bottom w:val="single" w:sz="4" w:space="0" w:color="auto"/>
              <w:right w:val="single" w:sz="4" w:space="0" w:color="auto"/>
            </w:tcBorders>
            <w:shd w:val="clear" w:color="000000" w:fill="ACD380"/>
            <w:noWrap/>
            <w:vAlign w:val="bottom"/>
            <w:hideMark/>
          </w:tcPr>
          <w:p w14:paraId="4889308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6.29</w:t>
            </w:r>
          </w:p>
        </w:tc>
        <w:tc>
          <w:tcPr>
            <w:tcW w:w="824"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5218849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4.90</w:t>
            </w:r>
          </w:p>
        </w:tc>
        <w:tc>
          <w:tcPr>
            <w:tcW w:w="757"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14:paraId="11A44A6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5.11</w:t>
            </w:r>
          </w:p>
        </w:tc>
        <w:tc>
          <w:tcPr>
            <w:tcW w:w="91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14:paraId="66C6792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5.16</w:t>
            </w:r>
          </w:p>
        </w:tc>
        <w:tc>
          <w:tcPr>
            <w:tcW w:w="915"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14:paraId="6722A80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4.50</w:t>
            </w:r>
          </w:p>
        </w:tc>
        <w:tc>
          <w:tcPr>
            <w:tcW w:w="709"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3796079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5.39</w:t>
            </w:r>
          </w:p>
        </w:tc>
      </w:tr>
      <w:tr w:rsidR="003831BC" w:rsidRPr="001528B4" w14:paraId="0FEAD45F"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717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Brentwood</w:t>
            </w:r>
          </w:p>
        </w:tc>
        <w:tc>
          <w:tcPr>
            <w:tcW w:w="566"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14:paraId="32DC3C7F"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6.73</w:t>
            </w:r>
          </w:p>
        </w:tc>
        <w:tc>
          <w:tcPr>
            <w:tcW w:w="863" w:type="dxa"/>
            <w:tcBorders>
              <w:top w:val="single" w:sz="4" w:space="0" w:color="auto"/>
              <w:left w:val="single" w:sz="4" w:space="0" w:color="auto"/>
              <w:bottom w:val="single" w:sz="4" w:space="0" w:color="auto"/>
              <w:right w:val="single" w:sz="4" w:space="0" w:color="auto"/>
            </w:tcBorders>
            <w:shd w:val="clear" w:color="000000" w:fill="66BF7C"/>
            <w:noWrap/>
            <w:vAlign w:val="bottom"/>
            <w:hideMark/>
          </w:tcPr>
          <w:p w14:paraId="4609B28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6.96</w:t>
            </w:r>
          </w:p>
        </w:tc>
        <w:tc>
          <w:tcPr>
            <w:tcW w:w="705" w:type="dxa"/>
            <w:tcBorders>
              <w:top w:val="single" w:sz="4" w:space="0" w:color="auto"/>
              <w:left w:val="single" w:sz="4" w:space="0" w:color="auto"/>
              <w:bottom w:val="single" w:sz="4" w:space="0" w:color="auto"/>
              <w:right w:val="single" w:sz="4" w:space="0" w:color="auto"/>
            </w:tcBorders>
            <w:shd w:val="clear" w:color="000000" w:fill="BAD881"/>
            <w:noWrap/>
            <w:vAlign w:val="bottom"/>
            <w:hideMark/>
          </w:tcPr>
          <w:p w14:paraId="7D13799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6.15</w:t>
            </w:r>
          </w:p>
        </w:tc>
        <w:tc>
          <w:tcPr>
            <w:tcW w:w="701"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14:paraId="6F2CF37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6.09</w:t>
            </w:r>
          </w:p>
        </w:tc>
        <w:tc>
          <w:tcPr>
            <w:tcW w:w="847" w:type="dxa"/>
            <w:tcBorders>
              <w:top w:val="single" w:sz="4" w:space="0" w:color="auto"/>
              <w:left w:val="single" w:sz="4" w:space="0" w:color="auto"/>
              <w:bottom w:val="single" w:sz="4" w:space="0" w:color="auto"/>
              <w:right w:val="single" w:sz="4" w:space="0" w:color="auto"/>
            </w:tcBorders>
            <w:shd w:val="clear" w:color="000000" w:fill="D6E082"/>
            <w:noWrap/>
            <w:vAlign w:val="bottom"/>
            <w:hideMark/>
          </w:tcPr>
          <w:p w14:paraId="2A860E0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5.88</w:t>
            </w:r>
          </w:p>
        </w:tc>
        <w:tc>
          <w:tcPr>
            <w:tcW w:w="824"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73D3FF1F"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5.20</w:t>
            </w:r>
          </w:p>
        </w:tc>
        <w:tc>
          <w:tcPr>
            <w:tcW w:w="757"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26EF426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5.35</w:t>
            </w:r>
          </w:p>
        </w:tc>
        <w:tc>
          <w:tcPr>
            <w:tcW w:w="917" w:type="dxa"/>
            <w:tcBorders>
              <w:top w:val="single" w:sz="4" w:space="0" w:color="auto"/>
              <w:left w:val="single" w:sz="4" w:space="0" w:color="auto"/>
              <w:bottom w:val="single" w:sz="4" w:space="0" w:color="auto"/>
              <w:right w:val="single" w:sz="4" w:space="0" w:color="auto"/>
            </w:tcBorders>
            <w:shd w:val="clear" w:color="000000" w:fill="94CD7E"/>
            <w:noWrap/>
            <w:vAlign w:val="bottom"/>
            <w:hideMark/>
          </w:tcPr>
          <w:p w14:paraId="43D2F98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6.51</w:t>
            </w:r>
          </w:p>
        </w:tc>
        <w:tc>
          <w:tcPr>
            <w:tcW w:w="915"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0FBB8BE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4.73</w:t>
            </w:r>
          </w:p>
        </w:tc>
        <w:tc>
          <w:tcPr>
            <w:tcW w:w="709" w:type="dxa"/>
            <w:tcBorders>
              <w:top w:val="single" w:sz="4" w:space="0" w:color="auto"/>
              <w:left w:val="single" w:sz="4" w:space="0" w:color="auto"/>
              <w:bottom w:val="single" w:sz="4" w:space="0" w:color="auto"/>
              <w:right w:val="single" w:sz="4" w:space="0" w:color="auto"/>
            </w:tcBorders>
            <w:shd w:val="clear" w:color="000000" w:fill="C8DC81"/>
            <w:noWrap/>
            <w:vAlign w:val="bottom"/>
            <w:hideMark/>
          </w:tcPr>
          <w:p w14:paraId="28F3114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6.01</w:t>
            </w:r>
          </w:p>
        </w:tc>
      </w:tr>
      <w:tr w:rsidR="003831BC" w:rsidRPr="001528B4" w14:paraId="06F9793E"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1F27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Castle Point</w:t>
            </w:r>
          </w:p>
        </w:tc>
        <w:tc>
          <w:tcPr>
            <w:tcW w:w="566"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7D20852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5.62</w:t>
            </w:r>
          </w:p>
        </w:tc>
        <w:tc>
          <w:tcPr>
            <w:tcW w:w="863"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14:paraId="63A1A1B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6.10</w:t>
            </w:r>
          </w:p>
        </w:tc>
        <w:tc>
          <w:tcPr>
            <w:tcW w:w="705"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4AC5639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5.36</w:t>
            </w:r>
          </w:p>
        </w:tc>
        <w:tc>
          <w:tcPr>
            <w:tcW w:w="701"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14:paraId="118957B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5.14</w:t>
            </w:r>
          </w:p>
        </w:tc>
        <w:tc>
          <w:tcPr>
            <w:tcW w:w="847" w:type="dxa"/>
            <w:tcBorders>
              <w:top w:val="single" w:sz="4" w:space="0" w:color="auto"/>
              <w:left w:val="single" w:sz="4" w:space="0" w:color="auto"/>
              <w:bottom w:val="single" w:sz="4" w:space="0" w:color="auto"/>
              <w:right w:val="single" w:sz="4" w:space="0" w:color="auto"/>
            </w:tcBorders>
            <w:shd w:val="clear" w:color="000000" w:fill="BDD881"/>
            <w:noWrap/>
            <w:vAlign w:val="bottom"/>
            <w:hideMark/>
          </w:tcPr>
          <w:p w14:paraId="5CF7D1F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6.12</w:t>
            </w:r>
          </w:p>
        </w:tc>
        <w:tc>
          <w:tcPr>
            <w:tcW w:w="824"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14:paraId="2A3FB91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5.85</w:t>
            </w:r>
          </w:p>
        </w:tc>
        <w:tc>
          <w:tcPr>
            <w:tcW w:w="757"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69AB991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5.34</w:t>
            </w:r>
          </w:p>
        </w:tc>
        <w:tc>
          <w:tcPr>
            <w:tcW w:w="917"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14:paraId="771BFD7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5.42</w:t>
            </w:r>
          </w:p>
        </w:tc>
        <w:tc>
          <w:tcPr>
            <w:tcW w:w="915" w:type="dxa"/>
            <w:tcBorders>
              <w:top w:val="single" w:sz="4" w:space="0" w:color="auto"/>
              <w:left w:val="single" w:sz="4" w:space="0" w:color="auto"/>
              <w:bottom w:val="single" w:sz="4" w:space="0" w:color="auto"/>
              <w:right w:val="single" w:sz="4" w:space="0" w:color="auto"/>
            </w:tcBorders>
            <w:shd w:val="clear" w:color="000000" w:fill="FBA776"/>
            <w:noWrap/>
            <w:vAlign w:val="bottom"/>
            <w:hideMark/>
          </w:tcPr>
          <w:p w14:paraId="07D875D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4.84</w:t>
            </w:r>
          </w:p>
        </w:tc>
        <w:tc>
          <w:tcPr>
            <w:tcW w:w="709"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162E3D7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5.36</w:t>
            </w:r>
          </w:p>
        </w:tc>
      </w:tr>
      <w:tr w:rsidR="003831BC" w:rsidRPr="001528B4" w14:paraId="70292102"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060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Chelmsford</w:t>
            </w:r>
          </w:p>
        </w:tc>
        <w:tc>
          <w:tcPr>
            <w:tcW w:w="566" w:type="dxa"/>
            <w:tcBorders>
              <w:top w:val="single" w:sz="4" w:space="0" w:color="auto"/>
              <w:left w:val="single" w:sz="4" w:space="0" w:color="auto"/>
              <w:bottom w:val="single" w:sz="4" w:space="0" w:color="auto"/>
              <w:right w:val="single" w:sz="4" w:space="0" w:color="auto"/>
            </w:tcBorders>
            <w:shd w:val="clear" w:color="000000" w:fill="85C87D"/>
            <w:noWrap/>
            <w:vAlign w:val="bottom"/>
            <w:hideMark/>
          </w:tcPr>
          <w:p w14:paraId="27CD37D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6.66</w:t>
            </w:r>
          </w:p>
        </w:tc>
        <w:tc>
          <w:tcPr>
            <w:tcW w:w="863" w:type="dxa"/>
            <w:tcBorders>
              <w:top w:val="single" w:sz="4" w:space="0" w:color="auto"/>
              <w:left w:val="single" w:sz="4" w:space="0" w:color="auto"/>
              <w:bottom w:val="single" w:sz="4" w:space="0" w:color="auto"/>
              <w:right w:val="single" w:sz="4" w:space="0" w:color="auto"/>
            </w:tcBorders>
            <w:shd w:val="clear" w:color="000000" w:fill="78C47D"/>
            <w:noWrap/>
            <w:vAlign w:val="bottom"/>
            <w:hideMark/>
          </w:tcPr>
          <w:p w14:paraId="06E3681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6.79</w:t>
            </w:r>
          </w:p>
        </w:tc>
        <w:tc>
          <w:tcPr>
            <w:tcW w:w="705" w:type="dxa"/>
            <w:tcBorders>
              <w:top w:val="single" w:sz="4" w:space="0" w:color="auto"/>
              <w:left w:val="single" w:sz="4" w:space="0" w:color="auto"/>
              <w:bottom w:val="single" w:sz="4" w:space="0" w:color="auto"/>
              <w:right w:val="single" w:sz="4" w:space="0" w:color="auto"/>
            </w:tcBorders>
            <w:shd w:val="clear" w:color="000000" w:fill="B6D680"/>
            <w:noWrap/>
            <w:vAlign w:val="bottom"/>
            <w:hideMark/>
          </w:tcPr>
          <w:p w14:paraId="5D1D8E1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6.19</w:t>
            </w:r>
          </w:p>
        </w:tc>
        <w:tc>
          <w:tcPr>
            <w:tcW w:w="701" w:type="dxa"/>
            <w:tcBorders>
              <w:top w:val="single" w:sz="4" w:space="0" w:color="auto"/>
              <w:left w:val="single" w:sz="4" w:space="0" w:color="auto"/>
              <w:bottom w:val="single" w:sz="4" w:space="0" w:color="auto"/>
              <w:right w:val="single" w:sz="4" w:space="0" w:color="auto"/>
            </w:tcBorders>
            <w:shd w:val="clear" w:color="000000" w:fill="C3DA81"/>
            <w:noWrap/>
            <w:vAlign w:val="bottom"/>
            <w:hideMark/>
          </w:tcPr>
          <w:p w14:paraId="51E1616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6.06</w:t>
            </w:r>
          </w:p>
        </w:tc>
        <w:tc>
          <w:tcPr>
            <w:tcW w:w="847" w:type="dxa"/>
            <w:tcBorders>
              <w:top w:val="single" w:sz="4" w:space="0" w:color="auto"/>
              <w:left w:val="single" w:sz="4" w:space="0" w:color="auto"/>
              <w:bottom w:val="single" w:sz="4" w:space="0" w:color="auto"/>
              <w:right w:val="single" w:sz="4" w:space="0" w:color="auto"/>
            </w:tcBorders>
            <w:shd w:val="clear" w:color="000000" w:fill="DEE283"/>
            <w:noWrap/>
            <w:vAlign w:val="bottom"/>
            <w:hideMark/>
          </w:tcPr>
          <w:p w14:paraId="4E634E3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5.81</w:t>
            </w:r>
          </w:p>
        </w:tc>
        <w:tc>
          <w:tcPr>
            <w:tcW w:w="824"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2BD6A7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5.49</w:t>
            </w:r>
          </w:p>
        </w:tc>
        <w:tc>
          <w:tcPr>
            <w:tcW w:w="757" w:type="dxa"/>
            <w:tcBorders>
              <w:top w:val="single" w:sz="4" w:space="0" w:color="auto"/>
              <w:left w:val="single" w:sz="4" w:space="0" w:color="auto"/>
              <w:bottom w:val="single" w:sz="4" w:space="0" w:color="auto"/>
              <w:right w:val="single" w:sz="4" w:space="0" w:color="auto"/>
            </w:tcBorders>
            <w:shd w:val="clear" w:color="000000" w:fill="FEDB80"/>
            <w:noWrap/>
            <w:vAlign w:val="bottom"/>
            <w:hideMark/>
          </w:tcPr>
          <w:p w14:paraId="47AAAEE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5.33</w:t>
            </w:r>
          </w:p>
        </w:tc>
        <w:tc>
          <w:tcPr>
            <w:tcW w:w="917" w:type="dxa"/>
            <w:tcBorders>
              <w:top w:val="single" w:sz="4" w:space="0" w:color="auto"/>
              <w:left w:val="single" w:sz="4" w:space="0" w:color="auto"/>
              <w:bottom w:val="single" w:sz="4" w:space="0" w:color="auto"/>
              <w:right w:val="single" w:sz="4" w:space="0" w:color="auto"/>
            </w:tcBorders>
            <w:shd w:val="clear" w:color="000000" w:fill="D9E082"/>
            <w:noWrap/>
            <w:vAlign w:val="bottom"/>
            <w:hideMark/>
          </w:tcPr>
          <w:p w14:paraId="7A03981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5.85</w:t>
            </w:r>
          </w:p>
        </w:tc>
        <w:tc>
          <w:tcPr>
            <w:tcW w:w="915"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76EDDC6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5.00</w:t>
            </w:r>
          </w:p>
        </w:tc>
        <w:tc>
          <w:tcPr>
            <w:tcW w:w="709"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14:paraId="1E2E456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5.84</w:t>
            </w:r>
          </w:p>
        </w:tc>
      </w:tr>
      <w:tr w:rsidR="003831BC" w:rsidRPr="001528B4" w14:paraId="7F339374"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4E44A7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Colchester</w:t>
            </w:r>
            <w:r>
              <w:rPr>
                <w:rFonts w:ascii="Century Gothic" w:eastAsia="Times New Roman" w:hAnsi="Century Gothic" w:cs="Calibri"/>
                <w:color w:val="000000"/>
                <w:sz w:val="18"/>
                <w:szCs w:val="18"/>
                <w:lang w:eastAsia="en-GB"/>
              </w:rPr>
              <w:t>*</w:t>
            </w:r>
          </w:p>
        </w:tc>
        <w:tc>
          <w:tcPr>
            <w:tcW w:w="566" w:type="dxa"/>
            <w:tcBorders>
              <w:top w:val="single" w:sz="4" w:space="0" w:color="auto"/>
              <w:left w:val="single" w:sz="4" w:space="0" w:color="auto"/>
              <w:bottom w:val="single" w:sz="4" w:space="0" w:color="auto"/>
              <w:right w:val="single" w:sz="4" w:space="0" w:color="auto"/>
            </w:tcBorders>
            <w:shd w:val="clear" w:color="000000" w:fill="D5DF82"/>
            <w:noWrap/>
            <w:vAlign w:val="bottom"/>
            <w:hideMark/>
          </w:tcPr>
          <w:p w14:paraId="7509206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5.89</w:t>
            </w:r>
          </w:p>
        </w:tc>
        <w:tc>
          <w:tcPr>
            <w:tcW w:w="863"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14:paraId="7A2BF3C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6.05</w:t>
            </w:r>
          </w:p>
        </w:tc>
        <w:tc>
          <w:tcPr>
            <w:tcW w:w="705"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0334826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5.64</w:t>
            </w:r>
          </w:p>
        </w:tc>
        <w:tc>
          <w:tcPr>
            <w:tcW w:w="701"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14:paraId="107B39D5"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5.90</w:t>
            </w:r>
          </w:p>
        </w:tc>
        <w:tc>
          <w:tcPr>
            <w:tcW w:w="847" w:type="dxa"/>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62664B6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5.58</w:t>
            </w:r>
          </w:p>
        </w:tc>
        <w:tc>
          <w:tcPr>
            <w:tcW w:w="824" w:type="dxa"/>
            <w:tcBorders>
              <w:top w:val="single" w:sz="4" w:space="0" w:color="auto"/>
              <w:left w:val="single" w:sz="4" w:space="0" w:color="auto"/>
              <w:bottom w:val="single" w:sz="4" w:space="0" w:color="auto"/>
              <w:right w:val="single" w:sz="4" w:space="0" w:color="auto"/>
            </w:tcBorders>
            <w:shd w:val="clear" w:color="000000" w:fill="FDD880"/>
            <w:noWrap/>
            <w:vAlign w:val="bottom"/>
            <w:hideMark/>
          </w:tcPr>
          <w:p w14:paraId="09670FD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5.30</w:t>
            </w:r>
          </w:p>
        </w:tc>
        <w:tc>
          <w:tcPr>
            <w:tcW w:w="757" w:type="dxa"/>
            <w:tcBorders>
              <w:top w:val="single" w:sz="4" w:space="0" w:color="auto"/>
              <w:left w:val="single" w:sz="4" w:space="0" w:color="auto"/>
              <w:bottom w:val="single" w:sz="4" w:space="0" w:color="auto"/>
              <w:right w:val="single" w:sz="4" w:space="0" w:color="auto"/>
            </w:tcBorders>
            <w:shd w:val="clear" w:color="000000" w:fill="FDD680"/>
            <w:noWrap/>
            <w:vAlign w:val="bottom"/>
            <w:hideMark/>
          </w:tcPr>
          <w:p w14:paraId="51D7CD7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5.29</w:t>
            </w:r>
          </w:p>
        </w:tc>
        <w:tc>
          <w:tcPr>
            <w:tcW w:w="917"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14:paraId="5EF28C6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5.35</w:t>
            </w:r>
          </w:p>
        </w:tc>
        <w:tc>
          <w:tcPr>
            <w:tcW w:w="915" w:type="dxa"/>
            <w:tcBorders>
              <w:top w:val="single" w:sz="4" w:space="0" w:color="auto"/>
              <w:left w:val="single" w:sz="4" w:space="0" w:color="auto"/>
              <w:bottom w:val="single" w:sz="4" w:space="0" w:color="auto"/>
              <w:right w:val="single" w:sz="4" w:space="0" w:color="auto"/>
            </w:tcBorders>
            <w:shd w:val="clear" w:color="000000" w:fill="FCC47C"/>
            <w:noWrap/>
            <w:vAlign w:val="bottom"/>
            <w:hideMark/>
          </w:tcPr>
          <w:p w14:paraId="1A00FF0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5.12</w:t>
            </w:r>
          </w:p>
        </w:tc>
        <w:tc>
          <w:tcPr>
            <w:tcW w:w="709"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3345289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5.55</w:t>
            </w:r>
          </w:p>
        </w:tc>
      </w:tr>
      <w:tr w:rsidR="003831BC" w:rsidRPr="001528B4" w14:paraId="655BC4F5"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CBE7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Epping Forest</w:t>
            </w:r>
          </w:p>
        </w:tc>
        <w:tc>
          <w:tcPr>
            <w:tcW w:w="566" w:type="dxa"/>
            <w:tcBorders>
              <w:top w:val="single" w:sz="4" w:space="0" w:color="auto"/>
              <w:left w:val="single" w:sz="4" w:space="0" w:color="auto"/>
              <w:bottom w:val="single" w:sz="4" w:space="0" w:color="auto"/>
              <w:right w:val="single" w:sz="4" w:space="0" w:color="auto"/>
            </w:tcBorders>
            <w:shd w:val="clear" w:color="000000" w:fill="B0D480"/>
            <w:noWrap/>
            <w:vAlign w:val="bottom"/>
            <w:hideMark/>
          </w:tcPr>
          <w:p w14:paraId="1614398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6.25</w:t>
            </w:r>
          </w:p>
        </w:tc>
        <w:tc>
          <w:tcPr>
            <w:tcW w:w="863"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20F060A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6.49</w:t>
            </w:r>
          </w:p>
        </w:tc>
        <w:tc>
          <w:tcPr>
            <w:tcW w:w="705"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40B8309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5.75</w:t>
            </w:r>
          </w:p>
        </w:tc>
        <w:tc>
          <w:tcPr>
            <w:tcW w:w="701"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752C2555"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5.69</w:t>
            </w:r>
          </w:p>
        </w:tc>
        <w:tc>
          <w:tcPr>
            <w:tcW w:w="847"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14:paraId="39A114F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5.33</w:t>
            </w:r>
          </w:p>
        </w:tc>
        <w:tc>
          <w:tcPr>
            <w:tcW w:w="824"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73AEB89F"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5.47</w:t>
            </w:r>
          </w:p>
        </w:tc>
        <w:tc>
          <w:tcPr>
            <w:tcW w:w="757"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10EDAAF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5.10</w:t>
            </w:r>
          </w:p>
        </w:tc>
        <w:tc>
          <w:tcPr>
            <w:tcW w:w="917" w:type="dxa"/>
            <w:tcBorders>
              <w:top w:val="single" w:sz="4" w:space="0" w:color="auto"/>
              <w:left w:val="single" w:sz="4" w:space="0" w:color="auto"/>
              <w:bottom w:val="single" w:sz="4" w:space="0" w:color="auto"/>
              <w:right w:val="single" w:sz="4" w:space="0" w:color="auto"/>
            </w:tcBorders>
            <w:shd w:val="clear" w:color="000000" w:fill="E0E283"/>
            <w:noWrap/>
            <w:vAlign w:val="bottom"/>
            <w:hideMark/>
          </w:tcPr>
          <w:p w14:paraId="08C5963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5.79</w:t>
            </w:r>
          </w:p>
        </w:tc>
        <w:tc>
          <w:tcPr>
            <w:tcW w:w="915"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14:paraId="1F214BF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4.85</w:t>
            </w:r>
          </w:p>
        </w:tc>
        <w:tc>
          <w:tcPr>
            <w:tcW w:w="709"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5B6C509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5.19</w:t>
            </w:r>
          </w:p>
        </w:tc>
      </w:tr>
      <w:tr w:rsidR="003831BC" w:rsidRPr="001528B4" w14:paraId="7A4CDB6F"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FD5A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Harlow</w:t>
            </w:r>
          </w:p>
        </w:tc>
        <w:tc>
          <w:tcPr>
            <w:tcW w:w="566"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14:paraId="6AD3472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5.39</w:t>
            </w:r>
          </w:p>
        </w:tc>
        <w:tc>
          <w:tcPr>
            <w:tcW w:w="863" w:type="dxa"/>
            <w:tcBorders>
              <w:top w:val="single" w:sz="4" w:space="0" w:color="auto"/>
              <w:left w:val="single" w:sz="4" w:space="0" w:color="auto"/>
              <w:bottom w:val="single" w:sz="4" w:space="0" w:color="auto"/>
              <w:right w:val="single" w:sz="4" w:space="0" w:color="auto"/>
            </w:tcBorders>
            <w:shd w:val="clear" w:color="000000" w:fill="FDC87D"/>
            <w:noWrap/>
            <w:vAlign w:val="bottom"/>
            <w:hideMark/>
          </w:tcPr>
          <w:p w14:paraId="465E39F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5.16</w:t>
            </w:r>
          </w:p>
        </w:tc>
        <w:tc>
          <w:tcPr>
            <w:tcW w:w="705" w:type="dxa"/>
            <w:tcBorders>
              <w:top w:val="single" w:sz="4" w:space="0" w:color="auto"/>
              <w:left w:val="single" w:sz="4" w:space="0" w:color="auto"/>
              <w:bottom w:val="single" w:sz="4" w:space="0" w:color="auto"/>
              <w:right w:val="single" w:sz="4" w:space="0" w:color="auto"/>
            </w:tcBorders>
            <w:shd w:val="clear" w:color="000000" w:fill="FCC57C"/>
            <w:noWrap/>
            <w:vAlign w:val="bottom"/>
            <w:hideMark/>
          </w:tcPr>
          <w:p w14:paraId="27E3015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5.13</w:t>
            </w:r>
          </w:p>
        </w:tc>
        <w:tc>
          <w:tcPr>
            <w:tcW w:w="701" w:type="dxa"/>
            <w:tcBorders>
              <w:top w:val="single" w:sz="4" w:space="0" w:color="auto"/>
              <w:left w:val="single" w:sz="4" w:space="0" w:color="auto"/>
              <w:bottom w:val="single" w:sz="4" w:space="0" w:color="auto"/>
              <w:right w:val="single" w:sz="4" w:space="0" w:color="auto"/>
            </w:tcBorders>
            <w:shd w:val="clear" w:color="000000" w:fill="FA9874"/>
            <w:noWrap/>
            <w:vAlign w:val="bottom"/>
            <w:hideMark/>
          </w:tcPr>
          <w:p w14:paraId="4AB63D9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4.71</w:t>
            </w:r>
          </w:p>
        </w:tc>
        <w:tc>
          <w:tcPr>
            <w:tcW w:w="847"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14:paraId="4C64C5E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4.86</w:t>
            </w:r>
          </w:p>
        </w:tc>
        <w:tc>
          <w:tcPr>
            <w:tcW w:w="824"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5109342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6.07</w:t>
            </w:r>
          </w:p>
        </w:tc>
        <w:tc>
          <w:tcPr>
            <w:tcW w:w="757"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6922214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5.34</w:t>
            </w:r>
          </w:p>
        </w:tc>
        <w:tc>
          <w:tcPr>
            <w:tcW w:w="917"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14:paraId="5D6325E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5.24</w:t>
            </w:r>
          </w:p>
        </w:tc>
        <w:tc>
          <w:tcPr>
            <w:tcW w:w="915"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3FB15CC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4.97</w:t>
            </w:r>
          </w:p>
        </w:tc>
        <w:tc>
          <w:tcPr>
            <w:tcW w:w="709"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14:paraId="12419DB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4.86</w:t>
            </w:r>
          </w:p>
        </w:tc>
      </w:tr>
      <w:tr w:rsidR="003831BC" w:rsidRPr="001528B4" w14:paraId="20250E7D"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B1C9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Maldon</w:t>
            </w:r>
          </w:p>
        </w:tc>
        <w:tc>
          <w:tcPr>
            <w:tcW w:w="566" w:type="dxa"/>
            <w:tcBorders>
              <w:top w:val="single" w:sz="4" w:space="0" w:color="auto"/>
              <w:left w:val="single" w:sz="4" w:space="0" w:color="auto"/>
              <w:bottom w:val="single" w:sz="4" w:space="0" w:color="auto"/>
              <w:right w:val="single" w:sz="4" w:space="0" w:color="auto"/>
            </w:tcBorders>
            <w:shd w:val="clear" w:color="000000" w:fill="BFD981"/>
            <w:noWrap/>
            <w:vAlign w:val="bottom"/>
            <w:hideMark/>
          </w:tcPr>
          <w:p w14:paraId="00D5DDC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6.10</w:t>
            </w:r>
          </w:p>
        </w:tc>
        <w:tc>
          <w:tcPr>
            <w:tcW w:w="863" w:type="dxa"/>
            <w:tcBorders>
              <w:top w:val="single" w:sz="4" w:space="0" w:color="auto"/>
              <w:left w:val="single" w:sz="4" w:space="0" w:color="auto"/>
              <w:bottom w:val="single" w:sz="4" w:space="0" w:color="auto"/>
              <w:right w:val="single" w:sz="4" w:space="0" w:color="auto"/>
            </w:tcBorders>
            <w:shd w:val="clear" w:color="000000" w:fill="A9D27F"/>
            <w:noWrap/>
            <w:vAlign w:val="bottom"/>
            <w:hideMark/>
          </w:tcPr>
          <w:p w14:paraId="27AAB37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6.32</w:t>
            </w:r>
          </w:p>
        </w:tc>
        <w:tc>
          <w:tcPr>
            <w:tcW w:w="705"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5AB3228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5.46</w:t>
            </w:r>
          </w:p>
        </w:tc>
        <w:tc>
          <w:tcPr>
            <w:tcW w:w="701"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2540CC5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5.98</w:t>
            </w:r>
          </w:p>
        </w:tc>
        <w:tc>
          <w:tcPr>
            <w:tcW w:w="847" w:type="dxa"/>
            <w:tcBorders>
              <w:top w:val="single" w:sz="4" w:space="0" w:color="auto"/>
              <w:left w:val="single" w:sz="4" w:space="0" w:color="auto"/>
              <w:bottom w:val="single" w:sz="4" w:space="0" w:color="auto"/>
              <w:right w:val="single" w:sz="4" w:space="0" w:color="auto"/>
            </w:tcBorders>
            <w:shd w:val="clear" w:color="000000" w:fill="69C07C"/>
            <w:noWrap/>
            <w:vAlign w:val="bottom"/>
            <w:hideMark/>
          </w:tcPr>
          <w:p w14:paraId="41EC947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6.93</w:t>
            </w:r>
          </w:p>
        </w:tc>
        <w:tc>
          <w:tcPr>
            <w:tcW w:w="824"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2C08E8D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4.30</w:t>
            </w:r>
          </w:p>
        </w:tc>
        <w:tc>
          <w:tcPr>
            <w:tcW w:w="757" w:type="dxa"/>
            <w:tcBorders>
              <w:top w:val="single" w:sz="4" w:space="0" w:color="auto"/>
              <w:left w:val="single" w:sz="4" w:space="0" w:color="auto"/>
              <w:bottom w:val="single" w:sz="4" w:space="0" w:color="auto"/>
              <w:right w:val="single" w:sz="4" w:space="0" w:color="auto"/>
            </w:tcBorders>
            <w:shd w:val="clear" w:color="000000" w:fill="FCC57C"/>
            <w:noWrap/>
            <w:vAlign w:val="bottom"/>
            <w:hideMark/>
          </w:tcPr>
          <w:p w14:paraId="6CD9FFE9"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5.13</w:t>
            </w:r>
          </w:p>
        </w:tc>
        <w:tc>
          <w:tcPr>
            <w:tcW w:w="917" w:type="dxa"/>
            <w:tcBorders>
              <w:top w:val="single" w:sz="4" w:space="0" w:color="auto"/>
              <w:left w:val="single" w:sz="4" w:space="0" w:color="auto"/>
              <w:bottom w:val="single" w:sz="4" w:space="0" w:color="auto"/>
              <w:right w:val="single" w:sz="4" w:space="0" w:color="auto"/>
            </w:tcBorders>
            <w:shd w:val="clear" w:color="000000" w:fill="FDCC7E"/>
            <w:noWrap/>
            <w:vAlign w:val="bottom"/>
            <w:hideMark/>
          </w:tcPr>
          <w:p w14:paraId="023B6C2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5.19</w:t>
            </w:r>
          </w:p>
        </w:tc>
        <w:tc>
          <w:tcPr>
            <w:tcW w:w="915"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14:paraId="3CB009C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4.63</w:t>
            </w:r>
          </w:p>
        </w:tc>
        <w:tc>
          <w:tcPr>
            <w:tcW w:w="709"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14:paraId="4873DE54"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5.77</w:t>
            </w:r>
          </w:p>
        </w:tc>
      </w:tr>
      <w:tr w:rsidR="003831BC" w:rsidRPr="001528B4" w14:paraId="1925735B"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9A04F"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Rochford</w:t>
            </w:r>
          </w:p>
        </w:tc>
        <w:tc>
          <w:tcPr>
            <w:tcW w:w="566" w:type="dxa"/>
            <w:tcBorders>
              <w:top w:val="single" w:sz="4" w:space="0" w:color="auto"/>
              <w:left w:val="single" w:sz="4" w:space="0" w:color="auto"/>
              <w:bottom w:val="single" w:sz="4" w:space="0" w:color="auto"/>
              <w:right w:val="single" w:sz="4" w:space="0" w:color="auto"/>
            </w:tcBorders>
            <w:shd w:val="clear" w:color="000000" w:fill="A5D17F"/>
            <w:noWrap/>
            <w:vAlign w:val="bottom"/>
            <w:hideMark/>
          </w:tcPr>
          <w:p w14:paraId="2E77DAC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6.35</w:t>
            </w:r>
          </w:p>
        </w:tc>
        <w:tc>
          <w:tcPr>
            <w:tcW w:w="863" w:type="dxa"/>
            <w:tcBorders>
              <w:top w:val="single" w:sz="4" w:space="0" w:color="auto"/>
              <w:left w:val="single" w:sz="4" w:space="0" w:color="auto"/>
              <w:bottom w:val="single" w:sz="4" w:space="0" w:color="auto"/>
              <w:right w:val="single" w:sz="4" w:space="0" w:color="auto"/>
            </w:tcBorders>
            <w:shd w:val="clear" w:color="000000" w:fill="90CB7E"/>
            <w:noWrap/>
            <w:vAlign w:val="bottom"/>
            <w:hideMark/>
          </w:tcPr>
          <w:p w14:paraId="4711DE1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6.56</w:t>
            </w:r>
          </w:p>
        </w:tc>
        <w:tc>
          <w:tcPr>
            <w:tcW w:w="705"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1381D64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6.07</w:t>
            </w:r>
          </w:p>
        </w:tc>
        <w:tc>
          <w:tcPr>
            <w:tcW w:w="701" w:type="dxa"/>
            <w:tcBorders>
              <w:top w:val="single" w:sz="4" w:space="0" w:color="auto"/>
              <w:left w:val="single" w:sz="4" w:space="0" w:color="auto"/>
              <w:bottom w:val="single" w:sz="4" w:space="0" w:color="auto"/>
              <w:right w:val="single" w:sz="4" w:space="0" w:color="auto"/>
            </w:tcBorders>
            <w:shd w:val="clear" w:color="000000" w:fill="FEE583"/>
            <w:noWrap/>
            <w:vAlign w:val="bottom"/>
            <w:hideMark/>
          </w:tcPr>
          <w:p w14:paraId="77050A1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5.43</w:t>
            </w:r>
          </w:p>
        </w:tc>
        <w:tc>
          <w:tcPr>
            <w:tcW w:w="847" w:type="dxa"/>
            <w:tcBorders>
              <w:top w:val="single" w:sz="4" w:space="0" w:color="auto"/>
              <w:left w:val="single" w:sz="4" w:space="0" w:color="auto"/>
              <w:bottom w:val="single" w:sz="4" w:space="0" w:color="auto"/>
              <w:right w:val="single" w:sz="4" w:space="0" w:color="auto"/>
            </w:tcBorders>
            <w:shd w:val="clear" w:color="000000" w:fill="72C37C"/>
            <w:noWrap/>
            <w:vAlign w:val="bottom"/>
            <w:hideMark/>
          </w:tcPr>
          <w:p w14:paraId="176056E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6.85</w:t>
            </w:r>
          </w:p>
        </w:tc>
        <w:tc>
          <w:tcPr>
            <w:tcW w:w="824" w:type="dxa"/>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65F32AF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5.62</w:t>
            </w:r>
          </w:p>
        </w:tc>
        <w:tc>
          <w:tcPr>
            <w:tcW w:w="757"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14:paraId="3CC35AE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5.32</w:t>
            </w:r>
          </w:p>
        </w:tc>
        <w:tc>
          <w:tcPr>
            <w:tcW w:w="917" w:type="dxa"/>
            <w:tcBorders>
              <w:top w:val="single" w:sz="4" w:space="0" w:color="auto"/>
              <w:left w:val="single" w:sz="4" w:space="0" w:color="auto"/>
              <w:bottom w:val="single" w:sz="4" w:space="0" w:color="auto"/>
              <w:right w:val="single" w:sz="4" w:space="0" w:color="auto"/>
            </w:tcBorders>
            <w:shd w:val="clear" w:color="000000" w:fill="C2DA81"/>
            <w:noWrap/>
            <w:vAlign w:val="bottom"/>
            <w:hideMark/>
          </w:tcPr>
          <w:p w14:paraId="2D82693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6.08</w:t>
            </w:r>
          </w:p>
        </w:tc>
        <w:tc>
          <w:tcPr>
            <w:tcW w:w="915" w:type="dxa"/>
            <w:tcBorders>
              <w:top w:val="single" w:sz="4" w:space="0" w:color="auto"/>
              <w:left w:val="single" w:sz="4" w:space="0" w:color="auto"/>
              <w:bottom w:val="single" w:sz="4" w:space="0" w:color="auto"/>
              <w:right w:val="single" w:sz="4" w:space="0" w:color="auto"/>
            </w:tcBorders>
            <w:shd w:val="clear" w:color="000000" w:fill="FA9273"/>
            <w:noWrap/>
            <w:vAlign w:val="bottom"/>
            <w:hideMark/>
          </w:tcPr>
          <w:p w14:paraId="7F0A558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4.65</w:t>
            </w:r>
          </w:p>
        </w:tc>
        <w:tc>
          <w:tcPr>
            <w:tcW w:w="709" w:type="dxa"/>
            <w:tcBorders>
              <w:top w:val="single" w:sz="4" w:space="0" w:color="auto"/>
              <w:left w:val="single" w:sz="4" w:space="0" w:color="auto"/>
              <w:bottom w:val="single" w:sz="4" w:space="0" w:color="auto"/>
              <w:right w:val="single" w:sz="4" w:space="0" w:color="auto"/>
            </w:tcBorders>
            <w:shd w:val="clear" w:color="000000" w:fill="B0D480"/>
            <w:noWrap/>
            <w:vAlign w:val="bottom"/>
            <w:hideMark/>
          </w:tcPr>
          <w:p w14:paraId="4A7F853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6.25</w:t>
            </w:r>
          </w:p>
        </w:tc>
      </w:tr>
      <w:tr w:rsidR="003831BC" w:rsidRPr="001528B4" w14:paraId="53FC5457"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4CC739A2"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Tendring</w:t>
            </w:r>
            <w:r>
              <w:rPr>
                <w:rFonts w:ascii="Century Gothic" w:eastAsia="Times New Roman" w:hAnsi="Century Gothic" w:cs="Calibri"/>
                <w:color w:val="000000"/>
                <w:sz w:val="18"/>
                <w:szCs w:val="18"/>
                <w:lang w:eastAsia="en-GB"/>
              </w:rPr>
              <w:t>*</w:t>
            </w:r>
          </w:p>
        </w:tc>
        <w:tc>
          <w:tcPr>
            <w:tcW w:w="566"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11FAD1F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4.54</w:t>
            </w:r>
          </w:p>
        </w:tc>
        <w:tc>
          <w:tcPr>
            <w:tcW w:w="863" w:type="dxa"/>
            <w:tcBorders>
              <w:top w:val="single" w:sz="4" w:space="0" w:color="auto"/>
              <w:left w:val="single" w:sz="4" w:space="0" w:color="auto"/>
              <w:bottom w:val="single" w:sz="4" w:space="0" w:color="auto"/>
              <w:right w:val="single" w:sz="4" w:space="0" w:color="auto"/>
            </w:tcBorders>
            <w:shd w:val="clear" w:color="000000" w:fill="FCBD7B"/>
            <w:noWrap/>
            <w:vAlign w:val="bottom"/>
            <w:hideMark/>
          </w:tcPr>
          <w:p w14:paraId="5E54FF7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5.05</w:t>
            </w:r>
          </w:p>
        </w:tc>
        <w:tc>
          <w:tcPr>
            <w:tcW w:w="705"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DD8534F"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4.26</w:t>
            </w:r>
          </w:p>
        </w:tc>
        <w:tc>
          <w:tcPr>
            <w:tcW w:w="701" w:type="dxa"/>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6F0105E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5.07</w:t>
            </w:r>
          </w:p>
        </w:tc>
        <w:tc>
          <w:tcPr>
            <w:tcW w:w="847"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154CEAE8"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5.60</w:t>
            </w:r>
          </w:p>
        </w:tc>
        <w:tc>
          <w:tcPr>
            <w:tcW w:w="824" w:type="dxa"/>
            <w:tcBorders>
              <w:top w:val="single" w:sz="4" w:space="0" w:color="auto"/>
              <w:left w:val="single" w:sz="4" w:space="0" w:color="auto"/>
              <w:bottom w:val="single" w:sz="4" w:space="0" w:color="auto"/>
              <w:right w:val="single" w:sz="4" w:space="0" w:color="auto"/>
            </w:tcBorders>
            <w:shd w:val="clear" w:color="000000" w:fill="FA9B74"/>
            <w:noWrap/>
            <w:vAlign w:val="bottom"/>
            <w:hideMark/>
          </w:tcPr>
          <w:p w14:paraId="42DC745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4.73</w:t>
            </w:r>
          </w:p>
        </w:tc>
        <w:tc>
          <w:tcPr>
            <w:tcW w:w="75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1E68E276"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5.51</w:t>
            </w:r>
          </w:p>
        </w:tc>
        <w:tc>
          <w:tcPr>
            <w:tcW w:w="917" w:type="dxa"/>
            <w:tcBorders>
              <w:top w:val="single" w:sz="4" w:space="0" w:color="auto"/>
              <w:left w:val="single" w:sz="4" w:space="0" w:color="auto"/>
              <w:bottom w:val="single" w:sz="4" w:space="0" w:color="auto"/>
              <w:right w:val="single" w:sz="4" w:space="0" w:color="auto"/>
            </w:tcBorders>
            <w:shd w:val="clear" w:color="000000" w:fill="F97B6E"/>
            <w:noWrap/>
            <w:vAlign w:val="bottom"/>
            <w:hideMark/>
          </w:tcPr>
          <w:p w14:paraId="38C49811"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4.44</w:t>
            </w:r>
          </w:p>
        </w:tc>
        <w:tc>
          <w:tcPr>
            <w:tcW w:w="915" w:type="dxa"/>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690A9DC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4.97</w:t>
            </w:r>
          </w:p>
        </w:tc>
        <w:tc>
          <w:tcPr>
            <w:tcW w:w="709"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14:paraId="5754318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4.68</w:t>
            </w:r>
          </w:p>
        </w:tc>
      </w:tr>
      <w:tr w:rsidR="003831BC" w:rsidRPr="001528B4" w14:paraId="56CF992E" w14:textId="77777777" w:rsidTr="00DA302A">
        <w:trPr>
          <w:trHeight w:val="24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C8113"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Uttlesford</w:t>
            </w:r>
          </w:p>
        </w:tc>
        <w:tc>
          <w:tcPr>
            <w:tcW w:w="566" w:type="dxa"/>
            <w:tcBorders>
              <w:top w:val="single" w:sz="4" w:space="0" w:color="auto"/>
              <w:left w:val="single" w:sz="4" w:space="0" w:color="auto"/>
              <w:bottom w:val="single" w:sz="4" w:space="0" w:color="auto"/>
              <w:right w:val="single" w:sz="4" w:space="0" w:color="auto"/>
            </w:tcBorders>
            <w:shd w:val="clear" w:color="000000" w:fill="7CC67D"/>
            <w:noWrap/>
            <w:vAlign w:val="bottom"/>
            <w:hideMark/>
          </w:tcPr>
          <w:p w14:paraId="363065D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6.75</w:t>
            </w:r>
          </w:p>
        </w:tc>
        <w:tc>
          <w:tcPr>
            <w:tcW w:w="863"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9C065F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6.98</w:t>
            </w:r>
          </w:p>
        </w:tc>
        <w:tc>
          <w:tcPr>
            <w:tcW w:w="705" w:type="dxa"/>
            <w:tcBorders>
              <w:top w:val="single" w:sz="4" w:space="0" w:color="auto"/>
              <w:left w:val="single" w:sz="4" w:space="0" w:color="auto"/>
              <w:bottom w:val="single" w:sz="4" w:space="0" w:color="auto"/>
              <w:right w:val="single" w:sz="4" w:space="0" w:color="auto"/>
            </w:tcBorders>
            <w:shd w:val="clear" w:color="000000" w:fill="7DC67D"/>
            <w:noWrap/>
            <w:vAlign w:val="bottom"/>
            <w:hideMark/>
          </w:tcPr>
          <w:p w14:paraId="6515762C"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6.73</w:t>
            </w:r>
          </w:p>
        </w:tc>
        <w:tc>
          <w:tcPr>
            <w:tcW w:w="701" w:type="dxa"/>
            <w:tcBorders>
              <w:top w:val="single" w:sz="4" w:space="0" w:color="auto"/>
              <w:left w:val="single" w:sz="4" w:space="0" w:color="auto"/>
              <w:bottom w:val="single" w:sz="4" w:space="0" w:color="auto"/>
              <w:right w:val="single" w:sz="4" w:space="0" w:color="auto"/>
            </w:tcBorders>
            <w:shd w:val="clear" w:color="000000" w:fill="8BCA7E"/>
            <w:noWrap/>
            <w:vAlign w:val="bottom"/>
            <w:hideMark/>
          </w:tcPr>
          <w:p w14:paraId="0363591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6.60</w:t>
            </w:r>
          </w:p>
        </w:tc>
        <w:tc>
          <w:tcPr>
            <w:tcW w:w="847" w:type="dxa"/>
            <w:tcBorders>
              <w:top w:val="single" w:sz="4" w:space="0" w:color="auto"/>
              <w:left w:val="single" w:sz="4" w:space="0" w:color="auto"/>
              <w:bottom w:val="single" w:sz="4" w:space="0" w:color="auto"/>
              <w:right w:val="single" w:sz="4" w:space="0" w:color="auto"/>
            </w:tcBorders>
            <w:shd w:val="clear" w:color="000000" w:fill="75C47D"/>
            <w:noWrap/>
            <w:vAlign w:val="bottom"/>
            <w:hideMark/>
          </w:tcPr>
          <w:p w14:paraId="155E934A"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6.81</w:t>
            </w:r>
          </w:p>
        </w:tc>
        <w:tc>
          <w:tcPr>
            <w:tcW w:w="824"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14:paraId="68454AFB"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4.75</w:t>
            </w:r>
          </w:p>
        </w:tc>
        <w:tc>
          <w:tcPr>
            <w:tcW w:w="757"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455A7BDD"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4.95</w:t>
            </w:r>
          </w:p>
        </w:tc>
        <w:tc>
          <w:tcPr>
            <w:tcW w:w="917" w:type="dxa"/>
            <w:tcBorders>
              <w:top w:val="single" w:sz="4" w:space="0" w:color="auto"/>
              <w:left w:val="single" w:sz="4" w:space="0" w:color="auto"/>
              <w:bottom w:val="single" w:sz="4" w:space="0" w:color="auto"/>
              <w:right w:val="single" w:sz="4" w:space="0" w:color="auto"/>
            </w:tcBorders>
            <w:shd w:val="clear" w:color="000000" w:fill="9FD07F"/>
            <w:noWrap/>
            <w:vAlign w:val="bottom"/>
            <w:hideMark/>
          </w:tcPr>
          <w:p w14:paraId="3B4EB0B7"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6.41</w:t>
            </w:r>
          </w:p>
        </w:tc>
        <w:tc>
          <w:tcPr>
            <w:tcW w:w="915" w:type="dxa"/>
            <w:tcBorders>
              <w:top w:val="single" w:sz="4" w:space="0" w:color="auto"/>
              <w:left w:val="single" w:sz="4" w:space="0" w:color="auto"/>
              <w:bottom w:val="single" w:sz="4" w:space="0" w:color="auto"/>
              <w:right w:val="single" w:sz="4" w:space="0" w:color="auto"/>
            </w:tcBorders>
            <w:shd w:val="clear" w:color="000000" w:fill="F98D72"/>
            <w:noWrap/>
            <w:vAlign w:val="bottom"/>
            <w:hideMark/>
          </w:tcPr>
          <w:p w14:paraId="54DE37BE"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4.61</w:t>
            </w:r>
          </w:p>
        </w:tc>
        <w:tc>
          <w:tcPr>
            <w:tcW w:w="709"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14:paraId="6C0D5700" w14:textId="77777777" w:rsidR="003831BC" w:rsidRPr="001528B4" w:rsidRDefault="003831BC" w:rsidP="00DA302A">
            <w:pPr>
              <w:spacing w:after="0" w:line="240" w:lineRule="auto"/>
              <w:jc w:val="both"/>
              <w:rPr>
                <w:rFonts w:ascii="Century Gothic" w:eastAsia="Times New Roman" w:hAnsi="Century Gothic" w:cs="Calibri"/>
                <w:color w:val="000000"/>
                <w:sz w:val="18"/>
                <w:szCs w:val="18"/>
                <w:lang w:eastAsia="en-GB"/>
              </w:rPr>
            </w:pPr>
            <w:r w:rsidRPr="001528B4">
              <w:rPr>
                <w:rFonts w:ascii="Century Gothic" w:eastAsia="Times New Roman" w:hAnsi="Century Gothic" w:cs="Calibri"/>
                <w:color w:val="000000"/>
                <w:sz w:val="18"/>
                <w:szCs w:val="18"/>
                <w:lang w:eastAsia="en-GB"/>
              </w:rPr>
              <w:t>5.87</w:t>
            </w:r>
          </w:p>
        </w:tc>
      </w:tr>
    </w:tbl>
    <w:p w14:paraId="75344F0D" w14:textId="77777777" w:rsidR="003831BC" w:rsidRDefault="003831BC" w:rsidP="003831BC">
      <w:pPr>
        <w:jc w:val="both"/>
        <w:rPr>
          <w:rFonts w:ascii="Century Gothic" w:hAnsi="Century Gothic"/>
        </w:rPr>
      </w:pPr>
      <w:r>
        <w:rPr>
          <w:rFonts w:ascii="Century Gothic" w:hAnsi="Century Gothic"/>
        </w:rPr>
        <w:t>*Indicates LDP target district</w:t>
      </w:r>
    </w:p>
    <w:p w14:paraId="72C9A1A7"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Overall Findings by target areas/deprivation:</w:t>
      </w:r>
    </w:p>
    <w:p w14:paraId="3C4B6E4B" w14:textId="77777777" w:rsidR="003831BC" w:rsidRDefault="003831BC" w:rsidP="003831BC">
      <w:pPr>
        <w:jc w:val="both"/>
        <w:rPr>
          <w:rFonts w:ascii="Century Gothic" w:hAnsi="Century Gothic"/>
          <w:sz w:val="22"/>
          <w:szCs w:val="22"/>
        </w:rPr>
      </w:pPr>
      <w:r w:rsidRPr="00280067">
        <w:rPr>
          <w:rFonts w:ascii="Century Gothic" w:hAnsi="Century Gothic"/>
          <w:sz w:val="22"/>
          <w:szCs w:val="22"/>
        </w:rPr>
        <w:t>When looking at the average scores by theme by deprivation decile in Essex, there is largely a clear relationship between a lower theme score and the more deprived an area is. The exceptions to this are communities and environment, in which Essex scores poorly across the board, and housing. Interestingly, access and transport scores in deprived areas are among the highest across the deciles. This is likely because Essex’s most deprived areas are urban areas with closer proximity to local amenities than the less deprived areas which tend to be in a rural setting.</w:t>
      </w:r>
    </w:p>
    <w:tbl>
      <w:tblPr>
        <w:tblW w:w="9518" w:type="dxa"/>
        <w:tblLook w:val="04A0" w:firstRow="1" w:lastRow="0" w:firstColumn="1" w:lastColumn="0" w:noHBand="0" w:noVBand="1"/>
      </w:tblPr>
      <w:tblGrid>
        <w:gridCol w:w="1219"/>
        <w:gridCol w:w="675"/>
        <w:gridCol w:w="674"/>
        <w:gridCol w:w="950"/>
        <w:gridCol w:w="674"/>
        <w:gridCol w:w="674"/>
        <w:gridCol w:w="956"/>
        <w:gridCol w:w="674"/>
        <w:gridCol w:w="1428"/>
        <w:gridCol w:w="756"/>
        <w:gridCol w:w="832"/>
        <w:gridCol w:w="6"/>
      </w:tblGrid>
      <w:tr w:rsidR="003831BC" w:rsidRPr="00E02EAE" w14:paraId="5FE63673" w14:textId="77777777" w:rsidTr="00DA302A">
        <w:trPr>
          <w:trHeight w:val="241"/>
        </w:trPr>
        <w:tc>
          <w:tcPr>
            <w:tcW w:w="1219" w:type="dxa"/>
            <w:tcBorders>
              <w:top w:val="nil"/>
              <w:left w:val="nil"/>
              <w:bottom w:val="nil"/>
              <w:right w:val="nil"/>
            </w:tcBorders>
            <w:shd w:val="clear" w:color="auto" w:fill="auto"/>
            <w:noWrap/>
            <w:vAlign w:val="bottom"/>
            <w:hideMark/>
          </w:tcPr>
          <w:p w14:paraId="34D2F901" w14:textId="77777777" w:rsidR="003831BC" w:rsidRPr="00E02EAE" w:rsidRDefault="003831BC" w:rsidP="00DA302A">
            <w:pPr>
              <w:spacing w:after="0" w:line="240" w:lineRule="auto"/>
              <w:jc w:val="both"/>
              <w:rPr>
                <w:rFonts w:ascii="Century Gothic" w:eastAsia="Times New Roman" w:hAnsi="Century Gothic" w:cs="Times New Roman"/>
                <w:sz w:val="18"/>
                <w:szCs w:val="18"/>
                <w:lang w:eastAsia="en-GB"/>
              </w:rPr>
            </w:pPr>
          </w:p>
        </w:tc>
        <w:tc>
          <w:tcPr>
            <w:tcW w:w="8299" w:type="dxa"/>
            <w:gridSpan w:val="11"/>
            <w:tcBorders>
              <w:top w:val="nil"/>
              <w:left w:val="nil"/>
              <w:bottom w:val="nil"/>
              <w:right w:val="nil"/>
            </w:tcBorders>
            <w:shd w:val="clear" w:color="auto" w:fill="auto"/>
            <w:noWrap/>
            <w:vAlign w:val="bottom"/>
            <w:hideMark/>
          </w:tcPr>
          <w:p w14:paraId="1CA77953" w14:textId="77777777" w:rsidR="003831BC" w:rsidRPr="00E02EAE"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E02EAE">
              <w:rPr>
                <w:rFonts w:ascii="Century Gothic" w:eastAsia="Times New Roman" w:hAnsi="Century Gothic" w:cs="Calibri"/>
                <w:b/>
                <w:bCs/>
                <w:color w:val="000000"/>
                <w:sz w:val="18"/>
                <w:szCs w:val="18"/>
                <w:lang w:eastAsia="en-GB"/>
              </w:rPr>
              <w:t>Average decile by theme</w:t>
            </w:r>
            <w:r>
              <w:rPr>
                <w:rFonts w:ascii="Century Gothic" w:eastAsia="Times New Roman" w:hAnsi="Century Gothic" w:cs="Calibri"/>
                <w:b/>
                <w:bCs/>
                <w:color w:val="000000"/>
                <w:sz w:val="18"/>
                <w:szCs w:val="18"/>
                <w:lang w:eastAsia="en-GB"/>
              </w:rPr>
              <w:t>:</w:t>
            </w:r>
          </w:p>
        </w:tc>
      </w:tr>
      <w:tr w:rsidR="003831BC" w:rsidRPr="00E02EAE" w14:paraId="4B0061B7" w14:textId="77777777" w:rsidTr="00DA302A">
        <w:trPr>
          <w:gridAfter w:val="1"/>
          <w:wAfter w:w="6" w:type="dxa"/>
          <w:cantSplit/>
          <w:trHeight w:val="1984"/>
        </w:trPr>
        <w:tc>
          <w:tcPr>
            <w:tcW w:w="1219" w:type="dxa"/>
            <w:tcBorders>
              <w:top w:val="nil"/>
              <w:left w:val="nil"/>
              <w:bottom w:val="single" w:sz="4" w:space="0" w:color="auto"/>
              <w:right w:val="nil"/>
            </w:tcBorders>
            <w:shd w:val="clear" w:color="auto" w:fill="auto"/>
            <w:noWrap/>
            <w:vAlign w:val="bottom"/>
            <w:hideMark/>
          </w:tcPr>
          <w:p w14:paraId="1DC3B6B1" w14:textId="77777777" w:rsidR="003831BC" w:rsidRPr="00E02EAE"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E02EAE">
              <w:rPr>
                <w:rFonts w:ascii="Century Gothic" w:eastAsia="Times New Roman" w:hAnsi="Century Gothic" w:cs="Calibri"/>
                <w:b/>
                <w:bCs/>
                <w:color w:val="000000"/>
                <w:sz w:val="18"/>
                <w:szCs w:val="18"/>
                <w:lang w:eastAsia="en-GB"/>
              </w:rPr>
              <w:t>IMD 2019 decile</w:t>
            </w:r>
            <w:r>
              <w:rPr>
                <w:rFonts w:ascii="Century Gothic" w:eastAsia="Times New Roman" w:hAnsi="Century Gothic" w:cs="Calibri"/>
                <w:b/>
                <w:bCs/>
                <w:color w:val="000000"/>
                <w:sz w:val="18"/>
                <w:szCs w:val="18"/>
                <w:lang w:eastAsia="en-GB"/>
              </w:rPr>
              <w:t>:</w:t>
            </w:r>
          </w:p>
        </w:tc>
        <w:tc>
          <w:tcPr>
            <w:tcW w:w="675" w:type="dxa"/>
            <w:tcBorders>
              <w:top w:val="nil"/>
              <w:left w:val="nil"/>
              <w:bottom w:val="single" w:sz="4" w:space="0" w:color="auto"/>
              <w:right w:val="nil"/>
            </w:tcBorders>
            <w:shd w:val="clear" w:color="auto" w:fill="auto"/>
            <w:noWrap/>
            <w:textDirection w:val="tbRl"/>
            <w:vAlign w:val="bottom"/>
            <w:hideMark/>
          </w:tcPr>
          <w:p w14:paraId="784460C4"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Health</w:t>
            </w:r>
          </w:p>
        </w:tc>
        <w:tc>
          <w:tcPr>
            <w:tcW w:w="674" w:type="dxa"/>
            <w:tcBorders>
              <w:top w:val="nil"/>
              <w:left w:val="nil"/>
              <w:bottom w:val="single" w:sz="4" w:space="0" w:color="auto"/>
              <w:right w:val="nil"/>
            </w:tcBorders>
            <w:shd w:val="clear" w:color="auto" w:fill="auto"/>
            <w:noWrap/>
            <w:textDirection w:val="tbRl"/>
            <w:vAlign w:val="bottom"/>
            <w:hideMark/>
          </w:tcPr>
          <w:p w14:paraId="72412F71"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Economy</w:t>
            </w:r>
          </w:p>
        </w:tc>
        <w:tc>
          <w:tcPr>
            <w:tcW w:w="950" w:type="dxa"/>
            <w:tcBorders>
              <w:top w:val="nil"/>
              <w:left w:val="nil"/>
              <w:bottom w:val="single" w:sz="4" w:space="0" w:color="auto"/>
              <w:right w:val="nil"/>
            </w:tcBorders>
            <w:shd w:val="clear" w:color="auto" w:fill="auto"/>
            <w:noWrap/>
            <w:textDirection w:val="tbRl"/>
            <w:vAlign w:val="bottom"/>
            <w:hideMark/>
          </w:tcPr>
          <w:p w14:paraId="49C60626"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Vulnerable Groups</w:t>
            </w:r>
          </w:p>
        </w:tc>
        <w:tc>
          <w:tcPr>
            <w:tcW w:w="674" w:type="dxa"/>
            <w:tcBorders>
              <w:top w:val="nil"/>
              <w:left w:val="nil"/>
              <w:bottom w:val="single" w:sz="4" w:space="0" w:color="auto"/>
              <w:right w:val="nil"/>
            </w:tcBorders>
            <w:shd w:val="clear" w:color="auto" w:fill="auto"/>
            <w:noWrap/>
            <w:textDirection w:val="tbRl"/>
            <w:vAlign w:val="bottom"/>
            <w:hideMark/>
          </w:tcPr>
          <w:p w14:paraId="4CE6C2A2"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Active Lives</w:t>
            </w:r>
          </w:p>
        </w:tc>
        <w:tc>
          <w:tcPr>
            <w:tcW w:w="674" w:type="dxa"/>
            <w:tcBorders>
              <w:top w:val="nil"/>
              <w:left w:val="nil"/>
              <w:bottom w:val="single" w:sz="4" w:space="0" w:color="auto"/>
              <w:right w:val="nil"/>
            </w:tcBorders>
            <w:shd w:val="clear" w:color="auto" w:fill="auto"/>
            <w:noWrap/>
            <w:textDirection w:val="tbRl"/>
            <w:vAlign w:val="bottom"/>
            <w:hideMark/>
          </w:tcPr>
          <w:p w14:paraId="4BC5B118"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Crime</w:t>
            </w:r>
          </w:p>
        </w:tc>
        <w:tc>
          <w:tcPr>
            <w:tcW w:w="956" w:type="dxa"/>
            <w:tcBorders>
              <w:top w:val="nil"/>
              <w:left w:val="nil"/>
              <w:bottom w:val="single" w:sz="4" w:space="0" w:color="auto"/>
              <w:right w:val="nil"/>
            </w:tcBorders>
            <w:shd w:val="clear" w:color="auto" w:fill="auto"/>
            <w:noWrap/>
            <w:textDirection w:val="tbRl"/>
            <w:vAlign w:val="bottom"/>
            <w:hideMark/>
          </w:tcPr>
          <w:p w14:paraId="7A27C34D"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Access &amp; transport</w:t>
            </w:r>
          </w:p>
        </w:tc>
        <w:tc>
          <w:tcPr>
            <w:tcW w:w="674" w:type="dxa"/>
            <w:tcBorders>
              <w:top w:val="nil"/>
              <w:left w:val="nil"/>
              <w:bottom w:val="single" w:sz="4" w:space="0" w:color="auto"/>
              <w:right w:val="nil"/>
            </w:tcBorders>
            <w:shd w:val="clear" w:color="auto" w:fill="auto"/>
            <w:noWrap/>
            <w:textDirection w:val="tbRl"/>
            <w:vAlign w:val="bottom"/>
            <w:hideMark/>
          </w:tcPr>
          <w:p w14:paraId="627C5C27"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Housing</w:t>
            </w:r>
          </w:p>
        </w:tc>
        <w:tc>
          <w:tcPr>
            <w:tcW w:w="1428" w:type="dxa"/>
            <w:tcBorders>
              <w:top w:val="nil"/>
              <w:left w:val="nil"/>
              <w:bottom w:val="single" w:sz="4" w:space="0" w:color="auto"/>
              <w:right w:val="nil"/>
            </w:tcBorders>
            <w:shd w:val="clear" w:color="auto" w:fill="auto"/>
            <w:noWrap/>
            <w:textDirection w:val="tbRl"/>
            <w:vAlign w:val="bottom"/>
            <w:hideMark/>
          </w:tcPr>
          <w:p w14:paraId="57E835AF"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Education &amp; Skills</w:t>
            </w:r>
          </w:p>
        </w:tc>
        <w:tc>
          <w:tcPr>
            <w:tcW w:w="756" w:type="dxa"/>
            <w:tcBorders>
              <w:top w:val="nil"/>
              <w:left w:val="nil"/>
              <w:bottom w:val="single" w:sz="4" w:space="0" w:color="auto"/>
              <w:right w:val="nil"/>
            </w:tcBorders>
            <w:shd w:val="clear" w:color="auto" w:fill="auto"/>
            <w:noWrap/>
            <w:textDirection w:val="tbRl"/>
            <w:vAlign w:val="bottom"/>
            <w:hideMark/>
          </w:tcPr>
          <w:p w14:paraId="02605B89"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Communities &amp; Environment</w:t>
            </w:r>
          </w:p>
        </w:tc>
        <w:tc>
          <w:tcPr>
            <w:tcW w:w="832" w:type="dxa"/>
            <w:tcBorders>
              <w:top w:val="nil"/>
              <w:left w:val="nil"/>
              <w:bottom w:val="single" w:sz="4" w:space="0" w:color="auto"/>
              <w:right w:val="nil"/>
            </w:tcBorders>
            <w:shd w:val="clear" w:color="auto" w:fill="auto"/>
            <w:noWrap/>
            <w:textDirection w:val="tbRl"/>
            <w:vAlign w:val="bottom"/>
            <w:hideMark/>
          </w:tcPr>
          <w:p w14:paraId="45A44BE5" w14:textId="77777777" w:rsidR="003831BC" w:rsidRPr="00E02EAE"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Population</w:t>
            </w:r>
          </w:p>
        </w:tc>
      </w:tr>
      <w:tr w:rsidR="003831BC" w:rsidRPr="00E02EAE" w14:paraId="6B855BE3"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8B18BE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 xml:space="preserve"> </w:t>
            </w:r>
            <w:r w:rsidRPr="00E02EAE">
              <w:rPr>
                <w:rFonts w:ascii="Century Gothic" w:eastAsia="Times New Roman" w:hAnsi="Century Gothic" w:cs="Calibri"/>
                <w:color w:val="000000"/>
                <w:sz w:val="18"/>
                <w:szCs w:val="18"/>
                <w:lang w:eastAsia="en-GB"/>
              </w:rPr>
              <w:t>1</w:t>
            </w:r>
            <w:r>
              <w:rPr>
                <w:rFonts w:ascii="Century Gothic" w:eastAsia="Times New Roman" w:hAnsi="Century Gothic" w:cs="Calibri"/>
                <w:color w:val="000000"/>
                <w:sz w:val="18"/>
                <w:szCs w:val="18"/>
                <w:lang w:eastAsia="en-GB"/>
              </w:rPr>
              <w:t xml:space="preserve"> (Most deprived)</w:t>
            </w:r>
          </w:p>
        </w:tc>
        <w:tc>
          <w:tcPr>
            <w:tcW w:w="675" w:type="dxa"/>
            <w:tcBorders>
              <w:top w:val="single" w:sz="4" w:space="0" w:color="auto"/>
              <w:left w:val="single" w:sz="4" w:space="0" w:color="auto"/>
              <w:bottom w:val="single" w:sz="4" w:space="0" w:color="auto"/>
              <w:right w:val="single" w:sz="4" w:space="0" w:color="auto"/>
            </w:tcBorders>
            <w:shd w:val="clear" w:color="000000" w:fill="FBA777"/>
            <w:noWrap/>
            <w:vAlign w:val="bottom"/>
            <w:hideMark/>
          </w:tcPr>
          <w:p w14:paraId="7E52439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4.05</w:t>
            </w:r>
          </w:p>
        </w:tc>
        <w:tc>
          <w:tcPr>
            <w:tcW w:w="674"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14:paraId="34F7C3A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4.09</w:t>
            </w:r>
          </w:p>
        </w:tc>
        <w:tc>
          <w:tcPr>
            <w:tcW w:w="950" w:type="dxa"/>
            <w:tcBorders>
              <w:top w:val="single" w:sz="4" w:space="0" w:color="auto"/>
              <w:left w:val="single" w:sz="4" w:space="0" w:color="auto"/>
              <w:bottom w:val="single" w:sz="4" w:space="0" w:color="auto"/>
              <w:right w:val="single" w:sz="4" w:space="0" w:color="auto"/>
            </w:tcBorders>
            <w:shd w:val="clear" w:color="000000" w:fill="F98E72"/>
            <w:noWrap/>
            <w:vAlign w:val="bottom"/>
            <w:hideMark/>
          </w:tcPr>
          <w:p w14:paraId="201AE38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3.54</w:t>
            </w:r>
          </w:p>
        </w:tc>
        <w:tc>
          <w:tcPr>
            <w:tcW w:w="674"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14:paraId="4297421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4.20</w:t>
            </w:r>
          </w:p>
        </w:tc>
        <w:tc>
          <w:tcPr>
            <w:tcW w:w="674" w:type="dxa"/>
            <w:tcBorders>
              <w:top w:val="single" w:sz="4" w:space="0" w:color="auto"/>
              <w:left w:val="single" w:sz="4" w:space="0" w:color="auto"/>
              <w:bottom w:val="single" w:sz="4" w:space="0" w:color="auto"/>
              <w:right w:val="single" w:sz="4" w:space="0" w:color="auto"/>
            </w:tcBorders>
            <w:shd w:val="clear" w:color="000000" w:fill="F8786D"/>
            <w:noWrap/>
            <w:vAlign w:val="bottom"/>
            <w:hideMark/>
          </w:tcPr>
          <w:p w14:paraId="3FCECE2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3.10</w:t>
            </w:r>
          </w:p>
        </w:tc>
        <w:tc>
          <w:tcPr>
            <w:tcW w:w="956" w:type="dxa"/>
            <w:tcBorders>
              <w:top w:val="single" w:sz="4" w:space="0" w:color="auto"/>
              <w:left w:val="single" w:sz="4" w:space="0" w:color="auto"/>
              <w:bottom w:val="single" w:sz="4" w:space="0" w:color="auto"/>
              <w:right w:val="single" w:sz="4" w:space="0" w:color="auto"/>
            </w:tcBorders>
            <w:shd w:val="clear" w:color="000000" w:fill="E6E483"/>
            <w:noWrap/>
            <w:vAlign w:val="bottom"/>
            <w:hideMark/>
          </w:tcPr>
          <w:p w14:paraId="7BC7CD0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5.74</w:t>
            </w:r>
          </w:p>
        </w:tc>
        <w:tc>
          <w:tcPr>
            <w:tcW w:w="674"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3B10EF4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5.45</w:t>
            </w:r>
          </w:p>
        </w:tc>
        <w:tc>
          <w:tcPr>
            <w:tcW w:w="1428" w:type="dxa"/>
            <w:tcBorders>
              <w:top w:val="single" w:sz="4" w:space="0" w:color="auto"/>
              <w:left w:val="single" w:sz="4" w:space="0" w:color="auto"/>
              <w:bottom w:val="single" w:sz="4" w:space="0" w:color="auto"/>
              <w:right w:val="single" w:sz="4" w:space="0" w:color="auto"/>
            </w:tcBorders>
            <w:shd w:val="clear" w:color="000000" w:fill="F8706C"/>
            <w:noWrap/>
            <w:vAlign w:val="bottom"/>
            <w:hideMark/>
          </w:tcPr>
          <w:p w14:paraId="13B8C5D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2.96</w:t>
            </w:r>
          </w:p>
        </w:tc>
        <w:tc>
          <w:tcPr>
            <w:tcW w:w="756" w:type="dxa"/>
            <w:tcBorders>
              <w:top w:val="single" w:sz="4" w:space="0" w:color="auto"/>
              <w:left w:val="single" w:sz="4" w:space="0" w:color="auto"/>
              <w:bottom w:val="single" w:sz="4" w:space="0" w:color="auto"/>
              <w:right w:val="single" w:sz="4" w:space="0" w:color="auto"/>
            </w:tcBorders>
            <w:shd w:val="clear" w:color="000000" w:fill="FEDB81"/>
            <w:noWrap/>
            <w:vAlign w:val="bottom"/>
            <w:hideMark/>
          </w:tcPr>
          <w:p w14:paraId="3289DE42"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5.08</w:t>
            </w:r>
          </w:p>
        </w:tc>
        <w:tc>
          <w:tcPr>
            <w:tcW w:w="83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E20631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2.80</w:t>
            </w:r>
          </w:p>
        </w:tc>
      </w:tr>
      <w:tr w:rsidR="003831BC" w:rsidRPr="00E02EAE" w14:paraId="316EFBB3"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623161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2</w:t>
            </w:r>
          </w:p>
        </w:tc>
        <w:tc>
          <w:tcPr>
            <w:tcW w:w="675" w:type="dxa"/>
            <w:tcBorders>
              <w:top w:val="single" w:sz="4" w:space="0" w:color="auto"/>
              <w:left w:val="single" w:sz="4" w:space="0" w:color="auto"/>
              <w:bottom w:val="single" w:sz="4" w:space="0" w:color="auto"/>
              <w:right w:val="single" w:sz="4" w:space="0" w:color="auto"/>
            </w:tcBorders>
            <w:shd w:val="clear" w:color="000000" w:fill="FDCB7D"/>
            <w:noWrap/>
            <w:vAlign w:val="bottom"/>
            <w:hideMark/>
          </w:tcPr>
          <w:p w14:paraId="3B1254B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4.76</w:t>
            </w:r>
          </w:p>
        </w:tc>
        <w:tc>
          <w:tcPr>
            <w:tcW w:w="674" w:type="dxa"/>
            <w:tcBorders>
              <w:top w:val="single" w:sz="4" w:space="0" w:color="auto"/>
              <w:left w:val="single" w:sz="4" w:space="0" w:color="auto"/>
              <w:bottom w:val="single" w:sz="4" w:space="0" w:color="auto"/>
              <w:right w:val="single" w:sz="4" w:space="0" w:color="auto"/>
            </w:tcBorders>
            <w:shd w:val="clear" w:color="000000" w:fill="FDC67C"/>
            <w:noWrap/>
            <w:vAlign w:val="bottom"/>
            <w:hideMark/>
          </w:tcPr>
          <w:p w14:paraId="4949599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4.65</w:t>
            </w:r>
          </w:p>
        </w:tc>
        <w:tc>
          <w:tcPr>
            <w:tcW w:w="95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14:paraId="1DFE8631"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4.00</w:t>
            </w:r>
          </w:p>
        </w:tc>
        <w:tc>
          <w:tcPr>
            <w:tcW w:w="674" w:type="dxa"/>
            <w:tcBorders>
              <w:top w:val="single" w:sz="4" w:space="0" w:color="auto"/>
              <w:left w:val="single" w:sz="4" w:space="0" w:color="auto"/>
              <w:bottom w:val="single" w:sz="4" w:space="0" w:color="auto"/>
              <w:right w:val="single" w:sz="4" w:space="0" w:color="auto"/>
            </w:tcBorders>
            <w:shd w:val="clear" w:color="000000" w:fill="FCC37C"/>
            <w:noWrap/>
            <w:vAlign w:val="bottom"/>
            <w:hideMark/>
          </w:tcPr>
          <w:p w14:paraId="486ED03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4.60</w:t>
            </w:r>
          </w:p>
        </w:tc>
        <w:tc>
          <w:tcPr>
            <w:tcW w:w="674"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14:paraId="5E3642E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3.82</w:t>
            </w:r>
          </w:p>
        </w:tc>
        <w:tc>
          <w:tcPr>
            <w:tcW w:w="956" w:type="dxa"/>
            <w:tcBorders>
              <w:top w:val="single" w:sz="4" w:space="0" w:color="auto"/>
              <w:left w:val="single" w:sz="4" w:space="0" w:color="auto"/>
              <w:bottom w:val="single" w:sz="4" w:space="0" w:color="auto"/>
              <w:right w:val="single" w:sz="4" w:space="0" w:color="auto"/>
            </w:tcBorders>
            <w:shd w:val="clear" w:color="000000" w:fill="F9E984"/>
            <w:noWrap/>
            <w:vAlign w:val="bottom"/>
            <w:hideMark/>
          </w:tcPr>
          <w:p w14:paraId="62B1032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5.48</w:t>
            </w:r>
          </w:p>
        </w:tc>
        <w:tc>
          <w:tcPr>
            <w:tcW w:w="674"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3BD3300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5.22</w:t>
            </w:r>
          </w:p>
        </w:tc>
        <w:tc>
          <w:tcPr>
            <w:tcW w:w="1428" w:type="dxa"/>
            <w:tcBorders>
              <w:top w:val="single" w:sz="4" w:space="0" w:color="auto"/>
              <w:left w:val="single" w:sz="4" w:space="0" w:color="auto"/>
              <w:bottom w:val="single" w:sz="4" w:space="0" w:color="auto"/>
              <w:right w:val="single" w:sz="4" w:space="0" w:color="auto"/>
            </w:tcBorders>
            <w:shd w:val="clear" w:color="000000" w:fill="F98670"/>
            <w:noWrap/>
            <w:vAlign w:val="bottom"/>
            <w:hideMark/>
          </w:tcPr>
          <w:p w14:paraId="2FE6919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3.39</w:t>
            </w:r>
          </w:p>
        </w:tc>
        <w:tc>
          <w:tcPr>
            <w:tcW w:w="756" w:type="dxa"/>
            <w:tcBorders>
              <w:top w:val="single" w:sz="4" w:space="0" w:color="auto"/>
              <w:left w:val="single" w:sz="4" w:space="0" w:color="auto"/>
              <w:bottom w:val="single" w:sz="4" w:space="0" w:color="auto"/>
              <w:right w:val="single" w:sz="4" w:space="0" w:color="auto"/>
            </w:tcBorders>
            <w:shd w:val="clear" w:color="000000" w:fill="FDD07E"/>
            <w:noWrap/>
            <w:vAlign w:val="bottom"/>
            <w:hideMark/>
          </w:tcPr>
          <w:p w14:paraId="3B6B991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4.86</w:t>
            </w:r>
          </w:p>
        </w:tc>
        <w:tc>
          <w:tcPr>
            <w:tcW w:w="832"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29DD7F72"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3.70</w:t>
            </w:r>
          </w:p>
        </w:tc>
      </w:tr>
      <w:tr w:rsidR="003831BC" w:rsidRPr="00E02EAE" w14:paraId="7D37C13E"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09BAE03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w:t>
            </w:r>
          </w:p>
        </w:tc>
        <w:tc>
          <w:tcPr>
            <w:tcW w:w="675" w:type="dxa"/>
            <w:tcBorders>
              <w:top w:val="single" w:sz="4" w:space="0" w:color="auto"/>
              <w:left w:val="single" w:sz="4" w:space="0" w:color="auto"/>
              <w:bottom w:val="single" w:sz="4" w:space="0" w:color="auto"/>
              <w:right w:val="single" w:sz="4" w:space="0" w:color="auto"/>
            </w:tcBorders>
            <w:shd w:val="clear" w:color="000000" w:fill="FDD37F"/>
            <w:noWrap/>
            <w:vAlign w:val="bottom"/>
            <w:hideMark/>
          </w:tcPr>
          <w:p w14:paraId="61385DD1"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4.93</w:t>
            </w:r>
          </w:p>
        </w:tc>
        <w:tc>
          <w:tcPr>
            <w:tcW w:w="674"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4A7411D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5.28</w:t>
            </w:r>
          </w:p>
        </w:tc>
        <w:tc>
          <w:tcPr>
            <w:tcW w:w="950" w:type="dxa"/>
            <w:tcBorders>
              <w:top w:val="single" w:sz="4" w:space="0" w:color="auto"/>
              <w:left w:val="single" w:sz="4" w:space="0" w:color="auto"/>
              <w:bottom w:val="single" w:sz="4" w:space="0" w:color="auto"/>
              <w:right w:val="single" w:sz="4" w:space="0" w:color="auto"/>
            </w:tcBorders>
            <w:shd w:val="clear" w:color="000000" w:fill="FCB87A"/>
            <w:noWrap/>
            <w:vAlign w:val="bottom"/>
            <w:hideMark/>
          </w:tcPr>
          <w:p w14:paraId="61DD22B2"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4.39</w:t>
            </w:r>
          </w:p>
        </w:tc>
        <w:tc>
          <w:tcPr>
            <w:tcW w:w="674"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7B88EC5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4.81</w:t>
            </w:r>
          </w:p>
        </w:tc>
        <w:tc>
          <w:tcPr>
            <w:tcW w:w="674" w:type="dxa"/>
            <w:tcBorders>
              <w:top w:val="single" w:sz="4" w:space="0" w:color="auto"/>
              <w:left w:val="single" w:sz="4" w:space="0" w:color="auto"/>
              <w:bottom w:val="single" w:sz="4" w:space="0" w:color="auto"/>
              <w:right w:val="single" w:sz="4" w:space="0" w:color="auto"/>
            </w:tcBorders>
            <w:shd w:val="clear" w:color="000000" w:fill="FBB178"/>
            <w:noWrap/>
            <w:vAlign w:val="bottom"/>
            <w:hideMark/>
          </w:tcPr>
          <w:p w14:paraId="4EDFB21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4.24</w:t>
            </w:r>
          </w:p>
        </w:tc>
        <w:tc>
          <w:tcPr>
            <w:tcW w:w="956"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76C069E1"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5.64</w:t>
            </w:r>
          </w:p>
        </w:tc>
        <w:tc>
          <w:tcPr>
            <w:tcW w:w="674"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4EAAE62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5.33</w:t>
            </w:r>
          </w:p>
        </w:tc>
        <w:tc>
          <w:tcPr>
            <w:tcW w:w="1428"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14:paraId="0D4C6B7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4.08</w:t>
            </w:r>
          </w:p>
        </w:tc>
        <w:tc>
          <w:tcPr>
            <w:tcW w:w="756"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47C3936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4.89</w:t>
            </w:r>
          </w:p>
        </w:tc>
        <w:tc>
          <w:tcPr>
            <w:tcW w:w="832"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14:paraId="34FA310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3.98</w:t>
            </w:r>
          </w:p>
        </w:tc>
      </w:tr>
      <w:tr w:rsidR="003831BC" w:rsidRPr="00E02EAE" w14:paraId="66D03D40"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5EFD505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w:t>
            </w:r>
          </w:p>
        </w:tc>
        <w:tc>
          <w:tcPr>
            <w:tcW w:w="675" w:type="dxa"/>
            <w:tcBorders>
              <w:top w:val="single" w:sz="4" w:space="0" w:color="auto"/>
              <w:left w:val="single" w:sz="4" w:space="0" w:color="auto"/>
              <w:bottom w:val="single" w:sz="4" w:space="0" w:color="auto"/>
              <w:right w:val="single" w:sz="4" w:space="0" w:color="auto"/>
            </w:tcBorders>
            <w:shd w:val="clear" w:color="000000" w:fill="FDD880"/>
            <w:noWrap/>
            <w:vAlign w:val="bottom"/>
            <w:hideMark/>
          </w:tcPr>
          <w:p w14:paraId="370044A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5.01</w:t>
            </w:r>
          </w:p>
        </w:tc>
        <w:tc>
          <w:tcPr>
            <w:tcW w:w="674"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14:paraId="205721E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5.13</w:t>
            </w:r>
          </w:p>
        </w:tc>
        <w:tc>
          <w:tcPr>
            <w:tcW w:w="950"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14:paraId="49BC3CDC"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4.58</w:t>
            </w:r>
          </w:p>
        </w:tc>
        <w:tc>
          <w:tcPr>
            <w:tcW w:w="674"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14:paraId="5577A8A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4.96</w:t>
            </w:r>
          </w:p>
        </w:tc>
        <w:tc>
          <w:tcPr>
            <w:tcW w:w="674"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A8CE0C2"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5.48</w:t>
            </w:r>
          </w:p>
        </w:tc>
        <w:tc>
          <w:tcPr>
            <w:tcW w:w="956"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14:paraId="39975C2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5.10</w:t>
            </w:r>
          </w:p>
        </w:tc>
        <w:tc>
          <w:tcPr>
            <w:tcW w:w="674"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7EB615CE"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5.33</w:t>
            </w:r>
          </w:p>
        </w:tc>
        <w:tc>
          <w:tcPr>
            <w:tcW w:w="1428"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14:paraId="2A6F8C6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4.50</w:t>
            </w:r>
          </w:p>
        </w:tc>
        <w:tc>
          <w:tcPr>
            <w:tcW w:w="756"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146A1BF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4.90</w:t>
            </w:r>
          </w:p>
        </w:tc>
        <w:tc>
          <w:tcPr>
            <w:tcW w:w="832" w:type="dxa"/>
            <w:tcBorders>
              <w:top w:val="single" w:sz="4" w:space="0" w:color="auto"/>
              <w:left w:val="single" w:sz="4" w:space="0" w:color="auto"/>
              <w:bottom w:val="single" w:sz="4" w:space="0" w:color="auto"/>
              <w:right w:val="single" w:sz="4" w:space="0" w:color="auto"/>
            </w:tcBorders>
            <w:shd w:val="clear" w:color="000000" w:fill="FDC67C"/>
            <w:noWrap/>
            <w:vAlign w:val="bottom"/>
            <w:hideMark/>
          </w:tcPr>
          <w:p w14:paraId="45BFB6A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4.66</w:t>
            </w:r>
          </w:p>
        </w:tc>
      </w:tr>
      <w:tr w:rsidR="003831BC" w:rsidRPr="00E02EAE" w14:paraId="1C53646A"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ACB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w:t>
            </w:r>
          </w:p>
        </w:tc>
        <w:tc>
          <w:tcPr>
            <w:tcW w:w="675"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4351F5D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5.51</w:t>
            </w:r>
          </w:p>
        </w:tc>
        <w:tc>
          <w:tcPr>
            <w:tcW w:w="674"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14:paraId="3A5082B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5.81</w:t>
            </w:r>
          </w:p>
        </w:tc>
        <w:tc>
          <w:tcPr>
            <w:tcW w:w="950" w:type="dxa"/>
            <w:tcBorders>
              <w:top w:val="single" w:sz="4" w:space="0" w:color="auto"/>
              <w:left w:val="single" w:sz="4" w:space="0" w:color="auto"/>
              <w:bottom w:val="single" w:sz="4" w:space="0" w:color="auto"/>
              <w:right w:val="single" w:sz="4" w:space="0" w:color="auto"/>
            </w:tcBorders>
            <w:shd w:val="clear" w:color="000000" w:fill="FEE582"/>
            <w:noWrap/>
            <w:vAlign w:val="bottom"/>
            <w:hideMark/>
          </w:tcPr>
          <w:p w14:paraId="3DB3388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5.28</w:t>
            </w:r>
          </w:p>
        </w:tc>
        <w:tc>
          <w:tcPr>
            <w:tcW w:w="674" w:type="dxa"/>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1F8CD75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5.54</w:t>
            </w:r>
          </w:p>
        </w:tc>
        <w:tc>
          <w:tcPr>
            <w:tcW w:w="674"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14:paraId="792E940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6.06</w:t>
            </w:r>
          </w:p>
        </w:tc>
        <w:tc>
          <w:tcPr>
            <w:tcW w:w="956" w:type="dxa"/>
            <w:tcBorders>
              <w:top w:val="single" w:sz="4" w:space="0" w:color="auto"/>
              <w:left w:val="single" w:sz="4" w:space="0" w:color="auto"/>
              <w:bottom w:val="single" w:sz="4" w:space="0" w:color="auto"/>
              <w:right w:val="single" w:sz="4" w:space="0" w:color="auto"/>
            </w:tcBorders>
            <w:shd w:val="clear" w:color="000000" w:fill="FEDF81"/>
            <w:noWrap/>
            <w:vAlign w:val="bottom"/>
            <w:hideMark/>
          </w:tcPr>
          <w:p w14:paraId="0AF0AAF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5.16</w:t>
            </w:r>
          </w:p>
        </w:tc>
        <w:tc>
          <w:tcPr>
            <w:tcW w:w="674"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4DDB1C4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5.33</w:t>
            </w:r>
          </w:p>
        </w:tc>
        <w:tc>
          <w:tcPr>
            <w:tcW w:w="1428"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14:paraId="69D9584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4.96</w:t>
            </w:r>
          </w:p>
        </w:tc>
        <w:tc>
          <w:tcPr>
            <w:tcW w:w="756"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14:paraId="521CF01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4.95</w:t>
            </w:r>
          </w:p>
        </w:tc>
        <w:tc>
          <w:tcPr>
            <w:tcW w:w="832" w:type="dxa"/>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3B32863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5.57</w:t>
            </w:r>
          </w:p>
        </w:tc>
      </w:tr>
      <w:tr w:rsidR="003831BC" w:rsidRPr="00E02EAE" w14:paraId="3EF4D8DF"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0031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w:t>
            </w:r>
          </w:p>
        </w:tc>
        <w:tc>
          <w:tcPr>
            <w:tcW w:w="675"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14:paraId="20C32EE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5.61</w:t>
            </w:r>
          </w:p>
        </w:tc>
        <w:tc>
          <w:tcPr>
            <w:tcW w:w="674" w:type="dxa"/>
            <w:tcBorders>
              <w:top w:val="single" w:sz="4" w:space="0" w:color="auto"/>
              <w:left w:val="single" w:sz="4" w:space="0" w:color="auto"/>
              <w:bottom w:val="single" w:sz="4" w:space="0" w:color="auto"/>
              <w:right w:val="single" w:sz="4" w:space="0" w:color="auto"/>
            </w:tcBorders>
            <w:shd w:val="clear" w:color="000000" w:fill="CCDD82"/>
            <w:noWrap/>
            <w:vAlign w:val="bottom"/>
            <w:hideMark/>
          </w:tcPr>
          <w:p w14:paraId="7AEAE11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6.10</w:t>
            </w:r>
          </w:p>
        </w:tc>
        <w:tc>
          <w:tcPr>
            <w:tcW w:w="950" w:type="dxa"/>
            <w:tcBorders>
              <w:top w:val="single" w:sz="4" w:space="0" w:color="auto"/>
              <w:left w:val="single" w:sz="4" w:space="0" w:color="auto"/>
              <w:bottom w:val="single" w:sz="4" w:space="0" w:color="auto"/>
              <w:right w:val="single" w:sz="4" w:space="0" w:color="auto"/>
            </w:tcBorders>
            <w:shd w:val="clear" w:color="000000" w:fill="F7E984"/>
            <w:noWrap/>
            <w:vAlign w:val="bottom"/>
            <w:hideMark/>
          </w:tcPr>
          <w:p w14:paraId="1FCAA17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5.51</w:t>
            </w:r>
          </w:p>
        </w:tc>
        <w:tc>
          <w:tcPr>
            <w:tcW w:w="674" w:type="dxa"/>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3BA08E1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5.68</w:t>
            </w:r>
          </w:p>
        </w:tc>
        <w:tc>
          <w:tcPr>
            <w:tcW w:w="674" w:type="dxa"/>
            <w:tcBorders>
              <w:top w:val="single" w:sz="4" w:space="0" w:color="auto"/>
              <w:left w:val="single" w:sz="4" w:space="0" w:color="auto"/>
              <w:bottom w:val="single" w:sz="4" w:space="0" w:color="auto"/>
              <w:right w:val="single" w:sz="4" w:space="0" w:color="auto"/>
            </w:tcBorders>
            <w:shd w:val="clear" w:color="000000" w:fill="D5DF82"/>
            <w:noWrap/>
            <w:vAlign w:val="bottom"/>
            <w:hideMark/>
          </w:tcPr>
          <w:p w14:paraId="197910D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5.97</w:t>
            </w:r>
          </w:p>
        </w:tc>
        <w:tc>
          <w:tcPr>
            <w:tcW w:w="956"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4877F7D"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5.39</w:t>
            </w:r>
          </w:p>
        </w:tc>
        <w:tc>
          <w:tcPr>
            <w:tcW w:w="674"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6D32BC8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5.42</w:t>
            </w:r>
          </w:p>
        </w:tc>
        <w:tc>
          <w:tcPr>
            <w:tcW w:w="1428" w:type="dxa"/>
            <w:tcBorders>
              <w:top w:val="single" w:sz="4" w:space="0" w:color="auto"/>
              <w:left w:val="single" w:sz="4" w:space="0" w:color="auto"/>
              <w:bottom w:val="single" w:sz="4" w:space="0" w:color="auto"/>
              <w:right w:val="single" w:sz="4" w:space="0" w:color="auto"/>
            </w:tcBorders>
            <w:shd w:val="clear" w:color="000000" w:fill="FEEA83"/>
            <w:noWrap/>
            <w:vAlign w:val="bottom"/>
            <w:hideMark/>
          </w:tcPr>
          <w:p w14:paraId="4E77198D"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5.39</w:t>
            </w:r>
          </w:p>
        </w:tc>
        <w:tc>
          <w:tcPr>
            <w:tcW w:w="756" w:type="dxa"/>
            <w:tcBorders>
              <w:top w:val="single" w:sz="4" w:space="0" w:color="auto"/>
              <w:left w:val="single" w:sz="4" w:space="0" w:color="auto"/>
              <w:bottom w:val="single" w:sz="4" w:space="0" w:color="auto"/>
              <w:right w:val="single" w:sz="4" w:space="0" w:color="auto"/>
            </w:tcBorders>
            <w:shd w:val="clear" w:color="000000" w:fill="FEDA80"/>
            <w:noWrap/>
            <w:vAlign w:val="bottom"/>
            <w:hideMark/>
          </w:tcPr>
          <w:p w14:paraId="4A1C0AF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5.06</w:t>
            </w:r>
          </w:p>
        </w:tc>
        <w:tc>
          <w:tcPr>
            <w:tcW w:w="832" w:type="dxa"/>
            <w:tcBorders>
              <w:top w:val="single" w:sz="4" w:space="0" w:color="auto"/>
              <w:left w:val="single" w:sz="4" w:space="0" w:color="auto"/>
              <w:bottom w:val="single" w:sz="4" w:space="0" w:color="auto"/>
              <w:right w:val="single" w:sz="4" w:space="0" w:color="auto"/>
            </w:tcBorders>
            <w:shd w:val="clear" w:color="000000" w:fill="FEE282"/>
            <w:noWrap/>
            <w:vAlign w:val="bottom"/>
            <w:hideMark/>
          </w:tcPr>
          <w:p w14:paraId="30DD904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5.22</w:t>
            </w:r>
          </w:p>
        </w:tc>
      </w:tr>
      <w:tr w:rsidR="003831BC" w:rsidRPr="00E02EAE" w14:paraId="49075367"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0BE2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w:t>
            </w:r>
          </w:p>
        </w:tc>
        <w:tc>
          <w:tcPr>
            <w:tcW w:w="675"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14:paraId="32FAA6A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5.98</w:t>
            </w:r>
          </w:p>
        </w:tc>
        <w:tc>
          <w:tcPr>
            <w:tcW w:w="674" w:type="dxa"/>
            <w:tcBorders>
              <w:top w:val="single" w:sz="4" w:space="0" w:color="auto"/>
              <w:left w:val="single" w:sz="4" w:space="0" w:color="auto"/>
              <w:bottom w:val="single" w:sz="4" w:space="0" w:color="auto"/>
              <w:right w:val="single" w:sz="4" w:space="0" w:color="auto"/>
            </w:tcBorders>
            <w:shd w:val="clear" w:color="000000" w:fill="A8D27F"/>
            <w:noWrap/>
            <w:vAlign w:val="bottom"/>
            <w:hideMark/>
          </w:tcPr>
          <w:p w14:paraId="54D8CE2E"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6.59</w:t>
            </w:r>
          </w:p>
        </w:tc>
        <w:tc>
          <w:tcPr>
            <w:tcW w:w="950"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14:paraId="1C6A8F4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5.93</w:t>
            </w:r>
          </w:p>
        </w:tc>
        <w:tc>
          <w:tcPr>
            <w:tcW w:w="674" w:type="dxa"/>
            <w:tcBorders>
              <w:top w:val="single" w:sz="4" w:space="0" w:color="auto"/>
              <w:left w:val="single" w:sz="4" w:space="0" w:color="auto"/>
              <w:bottom w:val="single" w:sz="4" w:space="0" w:color="auto"/>
              <w:right w:val="single" w:sz="4" w:space="0" w:color="auto"/>
            </w:tcBorders>
            <w:shd w:val="clear" w:color="000000" w:fill="D7E082"/>
            <w:noWrap/>
            <w:vAlign w:val="bottom"/>
            <w:hideMark/>
          </w:tcPr>
          <w:p w14:paraId="3F087FF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5.94</w:t>
            </w:r>
          </w:p>
        </w:tc>
        <w:tc>
          <w:tcPr>
            <w:tcW w:w="674"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14:paraId="4421543C"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6.28</w:t>
            </w:r>
          </w:p>
        </w:tc>
        <w:tc>
          <w:tcPr>
            <w:tcW w:w="956" w:type="dxa"/>
            <w:tcBorders>
              <w:top w:val="single" w:sz="4" w:space="0" w:color="auto"/>
              <w:left w:val="single" w:sz="4" w:space="0" w:color="auto"/>
              <w:bottom w:val="single" w:sz="4" w:space="0" w:color="auto"/>
              <w:right w:val="single" w:sz="4" w:space="0" w:color="auto"/>
            </w:tcBorders>
            <w:shd w:val="clear" w:color="000000" w:fill="FED980"/>
            <w:noWrap/>
            <w:vAlign w:val="bottom"/>
            <w:hideMark/>
          </w:tcPr>
          <w:p w14:paraId="4DA95C2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5.03</w:t>
            </w:r>
          </w:p>
        </w:tc>
        <w:tc>
          <w:tcPr>
            <w:tcW w:w="674"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14:paraId="75416CF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5.35</w:t>
            </w:r>
          </w:p>
        </w:tc>
        <w:tc>
          <w:tcPr>
            <w:tcW w:w="1428"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14:paraId="69FEBC1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5.87</w:t>
            </w:r>
          </w:p>
        </w:tc>
        <w:tc>
          <w:tcPr>
            <w:tcW w:w="756" w:type="dxa"/>
            <w:tcBorders>
              <w:top w:val="single" w:sz="4" w:space="0" w:color="auto"/>
              <w:left w:val="single" w:sz="4" w:space="0" w:color="auto"/>
              <w:bottom w:val="single" w:sz="4" w:space="0" w:color="auto"/>
              <w:right w:val="single" w:sz="4" w:space="0" w:color="auto"/>
            </w:tcBorders>
            <w:shd w:val="clear" w:color="000000" w:fill="FDD17F"/>
            <w:noWrap/>
            <w:vAlign w:val="bottom"/>
            <w:hideMark/>
          </w:tcPr>
          <w:p w14:paraId="6C828F3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4.88</w:t>
            </w:r>
          </w:p>
        </w:tc>
        <w:tc>
          <w:tcPr>
            <w:tcW w:w="832" w:type="dxa"/>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67BC975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5.70</w:t>
            </w:r>
          </w:p>
        </w:tc>
      </w:tr>
      <w:tr w:rsidR="003831BC" w:rsidRPr="00E02EAE" w14:paraId="7DCD24CD"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76BFD"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8</w:t>
            </w:r>
          </w:p>
        </w:tc>
        <w:tc>
          <w:tcPr>
            <w:tcW w:w="675"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52968D0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6.10</w:t>
            </w:r>
          </w:p>
        </w:tc>
        <w:tc>
          <w:tcPr>
            <w:tcW w:w="674" w:type="dxa"/>
            <w:tcBorders>
              <w:top w:val="single" w:sz="4" w:space="0" w:color="auto"/>
              <w:left w:val="single" w:sz="4" w:space="0" w:color="auto"/>
              <w:bottom w:val="single" w:sz="4" w:space="0" w:color="auto"/>
              <w:right w:val="single" w:sz="4" w:space="0" w:color="auto"/>
            </w:tcBorders>
            <w:shd w:val="clear" w:color="000000" w:fill="B4D680"/>
            <w:noWrap/>
            <w:vAlign w:val="bottom"/>
            <w:hideMark/>
          </w:tcPr>
          <w:p w14:paraId="74ACD6EC"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6.42</w:t>
            </w:r>
          </w:p>
        </w:tc>
        <w:tc>
          <w:tcPr>
            <w:tcW w:w="950" w:type="dxa"/>
            <w:tcBorders>
              <w:top w:val="single" w:sz="4" w:space="0" w:color="auto"/>
              <w:left w:val="single" w:sz="4" w:space="0" w:color="auto"/>
              <w:bottom w:val="single" w:sz="4" w:space="0" w:color="auto"/>
              <w:right w:val="single" w:sz="4" w:space="0" w:color="auto"/>
            </w:tcBorders>
            <w:shd w:val="clear" w:color="000000" w:fill="CFDE82"/>
            <w:noWrap/>
            <w:vAlign w:val="bottom"/>
            <w:hideMark/>
          </w:tcPr>
          <w:p w14:paraId="25BE215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6.05</w:t>
            </w:r>
          </w:p>
        </w:tc>
        <w:tc>
          <w:tcPr>
            <w:tcW w:w="674" w:type="dxa"/>
            <w:tcBorders>
              <w:top w:val="single" w:sz="4" w:space="0" w:color="auto"/>
              <w:left w:val="single" w:sz="4" w:space="0" w:color="auto"/>
              <w:bottom w:val="single" w:sz="4" w:space="0" w:color="auto"/>
              <w:right w:val="single" w:sz="4" w:space="0" w:color="auto"/>
            </w:tcBorders>
            <w:shd w:val="clear" w:color="000000" w:fill="D8E082"/>
            <w:noWrap/>
            <w:vAlign w:val="bottom"/>
            <w:hideMark/>
          </w:tcPr>
          <w:p w14:paraId="0A118EA0"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5.93</w:t>
            </w:r>
          </w:p>
        </w:tc>
        <w:tc>
          <w:tcPr>
            <w:tcW w:w="674" w:type="dxa"/>
            <w:tcBorders>
              <w:top w:val="single" w:sz="4" w:space="0" w:color="auto"/>
              <w:left w:val="single" w:sz="4" w:space="0" w:color="auto"/>
              <w:bottom w:val="single" w:sz="4" w:space="0" w:color="auto"/>
              <w:right w:val="single" w:sz="4" w:space="0" w:color="auto"/>
            </w:tcBorders>
            <w:shd w:val="clear" w:color="000000" w:fill="A5D27F"/>
            <w:noWrap/>
            <w:vAlign w:val="bottom"/>
            <w:hideMark/>
          </w:tcPr>
          <w:p w14:paraId="5E99544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6.62</w:t>
            </w:r>
          </w:p>
        </w:tc>
        <w:tc>
          <w:tcPr>
            <w:tcW w:w="956"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14:paraId="3B443FC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5.24</w:t>
            </w:r>
          </w:p>
        </w:tc>
        <w:tc>
          <w:tcPr>
            <w:tcW w:w="674"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444F906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5.48</w:t>
            </w:r>
          </w:p>
        </w:tc>
        <w:tc>
          <w:tcPr>
            <w:tcW w:w="1428"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14:paraId="3B63BAD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6.10</w:t>
            </w:r>
          </w:p>
        </w:tc>
        <w:tc>
          <w:tcPr>
            <w:tcW w:w="756"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14:paraId="7C0310B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4.99</w:t>
            </w:r>
          </w:p>
        </w:tc>
        <w:tc>
          <w:tcPr>
            <w:tcW w:w="832" w:type="dxa"/>
            <w:tcBorders>
              <w:top w:val="single" w:sz="4" w:space="0" w:color="auto"/>
              <w:left w:val="single" w:sz="4" w:space="0" w:color="auto"/>
              <w:bottom w:val="single" w:sz="4" w:space="0" w:color="auto"/>
              <w:right w:val="single" w:sz="4" w:space="0" w:color="auto"/>
            </w:tcBorders>
            <w:shd w:val="clear" w:color="000000" w:fill="8FCB7E"/>
            <w:noWrap/>
            <w:vAlign w:val="bottom"/>
            <w:hideMark/>
          </w:tcPr>
          <w:p w14:paraId="1CA4EAB7"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6.92</w:t>
            </w:r>
          </w:p>
        </w:tc>
      </w:tr>
      <w:tr w:rsidR="003831BC" w:rsidRPr="00E02EAE" w14:paraId="2BDA7431"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C0C3"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9</w:t>
            </w:r>
          </w:p>
        </w:tc>
        <w:tc>
          <w:tcPr>
            <w:tcW w:w="675" w:type="dxa"/>
            <w:tcBorders>
              <w:top w:val="single" w:sz="4" w:space="0" w:color="auto"/>
              <w:left w:val="single" w:sz="4" w:space="0" w:color="auto"/>
              <w:bottom w:val="single" w:sz="4" w:space="0" w:color="auto"/>
              <w:right w:val="single" w:sz="4" w:space="0" w:color="auto"/>
            </w:tcBorders>
            <w:shd w:val="clear" w:color="000000" w:fill="C3DA81"/>
            <w:noWrap/>
            <w:vAlign w:val="bottom"/>
            <w:hideMark/>
          </w:tcPr>
          <w:p w14:paraId="0B34CF1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6.21</w:t>
            </w:r>
          </w:p>
        </w:tc>
        <w:tc>
          <w:tcPr>
            <w:tcW w:w="674" w:type="dxa"/>
            <w:tcBorders>
              <w:top w:val="single" w:sz="4" w:space="0" w:color="auto"/>
              <w:left w:val="single" w:sz="4" w:space="0" w:color="auto"/>
              <w:bottom w:val="single" w:sz="4" w:space="0" w:color="auto"/>
              <w:right w:val="single" w:sz="4" w:space="0" w:color="auto"/>
            </w:tcBorders>
            <w:shd w:val="clear" w:color="000000" w:fill="9CCF7F"/>
            <w:noWrap/>
            <w:vAlign w:val="bottom"/>
            <w:hideMark/>
          </w:tcPr>
          <w:p w14:paraId="03F9351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6.76</w:t>
            </w:r>
          </w:p>
        </w:tc>
        <w:tc>
          <w:tcPr>
            <w:tcW w:w="950" w:type="dxa"/>
            <w:tcBorders>
              <w:top w:val="single" w:sz="4" w:space="0" w:color="auto"/>
              <w:left w:val="single" w:sz="4" w:space="0" w:color="auto"/>
              <w:bottom w:val="single" w:sz="4" w:space="0" w:color="auto"/>
              <w:right w:val="single" w:sz="4" w:space="0" w:color="auto"/>
            </w:tcBorders>
            <w:shd w:val="clear" w:color="000000" w:fill="ABD380"/>
            <w:noWrap/>
            <w:vAlign w:val="bottom"/>
            <w:hideMark/>
          </w:tcPr>
          <w:p w14:paraId="0A7692BE"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6.54</w:t>
            </w:r>
          </w:p>
        </w:tc>
        <w:tc>
          <w:tcPr>
            <w:tcW w:w="674" w:type="dxa"/>
            <w:tcBorders>
              <w:top w:val="single" w:sz="4" w:space="0" w:color="auto"/>
              <w:left w:val="single" w:sz="4" w:space="0" w:color="auto"/>
              <w:bottom w:val="single" w:sz="4" w:space="0" w:color="auto"/>
              <w:right w:val="single" w:sz="4" w:space="0" w:color="auto"/>
            </w:tcBorders>
            <w:shd w:val="clear" w:color="000000" w:fill="BED981"/>
            <w:noWrap/>
            <w:vAlign w:val="bottom"/>
            <w:hideMark/>
          </w:tcPr>
          <w:p w14:paraId="01E83F4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6.29</w:t>
            </w:r>
          </w:p>
        </w:tc>
        <w:tc>
          <w:tcPr>
            <w:tcW w:w="674"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45CFEF0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7.52</w:t>
            </w:r>
          </w:p>
        </w:tc>
        <w:tc>
          <w:tcPr>
            <w:tcW w:w="956" w:type="dxa"/>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55123C9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5.52</w:t>
            </w:r>
          </w:p>
        </w:tc>
        <w:tc>
          <w:tcPr>
            <w:tcW w:w="674" w:type="dxa"/>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37AB0AD4"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5.48</w:t>
            </w:r>
          </w:p>
        </w:tc>
        <w:tc>
          <w:tcPr>
            <w:tcW w:w="1428"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14:paraId="37CB33A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6.65</w:t>
            </w:r>
          </w:p>
        </w:tc>
        <w:tc>
          <w:tcPr>
            <w:tcW w:w="756" w:type="dxa"/>
            <w:tcBorders>
              <w:top w:val="single" w:sz="4" w:space="0" w:color="auto"/>
              <w:left w:val="single" w:sz="4" w:space="0" w:color="auto"/>
              <w:bottom w:val="single" w:sz="4" w:space="0" w:color="auto"/>
              <w:right w:val="single" w:sz="4" w:space="0" w:color="auto"/>
            </w:tcBorders>
            <w:shd w:val="clear" w:color="000000" w:fill="FDD57F"/>
            <w:noWrap/>
            <w:vAlign w:val="bottom"/>
            <w:hideMark/>
          </w:tcPr>
          <w:p w14:paraId="0989F9FF"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4.95</w:t>
            </w:r>
          </w:p>
        </w:tc>
        <w:tc>
          <w:tcPr>
            <w:tcW w:w="832"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14:paraId="0D485B12"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6.49</w:t>
            </w:r>
          </w:p>
        </w:tc>
      </w:tr>
      <w:tr w:rsidR="003831BC" w:rsidRPr="00E02EAE" w14:paraId="1D166AD1" w14:textId="77777777" w:rsidTr="00DA302A">
        <w:trPr>
          <w:gridAfter w:val="1"/>
          <w:wAfter w:w="6" w:type="dxa"/>
          <w:trHeight w:val="241"/>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4D8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10</w:t>
            </w:r>
            <w:r>
              <w:rPr>
                <w:rFonts w:ascii="Century Gothic" w:eastAsia="Times New Roman" w:hAnsi="Century Gothic" w:cs="Calibri"/>
                <w:color w:val="000000"/>
                <w:sz w:val="18"/>
                <w:szCs w:val="18"/>
                <w:lang w:eastAsia="en-GB"/>
              </w:rPr>
              <w:t xml:space="preserve"> (Least deprived)</w:t>
            </w:r>
          </w:p>
        </w:tc>
        <w:tc>
          <w:tcPr>
            <w:tcW w:w="675" w:type="dxa"/>
            <w:tcBorders>
              <w:top w:val="single" w:sz="4" w:space="0" w:color="auto"/>
              <w:left w:val="single" w:sz="4" w:space="0" w:color="auto"/>
              <w:bottom w:val="single" w:sz="4" w:space="0" w:color="auto"/>
              <w:right w:val="single" w:sz="4" w:space="0" w:color="auto"/>
            </w:tcBorders>
            <w:shd w:val="clear" w:color="000000" w:fill="90CB7E"/>
            <w:noWrap/>
            <w:vAlign w:val="bottom"/>
            <w:hideMark/>
          </w:tcPr>
          <w:p w14:paraId="31B3D43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6.92</w:t>
            </w:r>
          </w:p>
        </w:tc>
        <w:tc>
          <w:tcPr>
            <w:tcW w:w="674" w:type="dxa"/>
            <w:tcBorders>
              <w:top w:val="single" w:sz="4" w:space="0" w:color="auto"/>
              <w:left w:val="single" w:sz="4" w:space="0" w:color="auto"/>
              <w:bottom w:val="single" w:sz="4" w:space="0" w:color="auto"/>
              <w:right w:val="single" w:sz="4" w:space="0" w:color="auto"/>
            </w:tcBorders>
            <w:shd w:val="clear" w:color="000000" w:fill="85C87D"/>
            <w:noWrap/>
            <w:vAlign w:val="bottom"/>
            <w:hideMark/>
          </w:tcPr>
          <w:p w14:paraId="5AE13299"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7.07</w:t>
            </w:r>
          </w:p>
        </w:tc>
        <w:tc>
          <w:tcPr>
            <w:tcW w:w="950" w:type="dxa"/>
            <w:tcBorders>
              <w:top w:val="single" w:sz="4" w:space="0" w:color="auto"/>
              <w:left w:val="single" w:sz="4" w:space="0" w:color="auto"/>
              <w:bottom w:val="single" w:sz="4" w:space="0" w:color="auto"/>
              <w:right w:val="single" w:sz="4" w:space="0" w:color="auto"/>
            </w:tcBorders>
            <w:shd w:val="clear" w:color="000000" w:fill="86C97E"/>
            <w:noWrap/>
            <w:vAlign w:val="bottom"/>
            <w:hideMark/>
          </w:tcPr>
          <w:p w14:paraId="0C5EF1A6"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7.05</w:t>
            </w:r>
          </w:p>
        </w:tc>
        <w:tc>
          <w:tcPr>
            <w:tcW w:w="674" w:type="dxa"/>
            <w:tcBorders>
              <w:top w:val="single" w:sz="4" w:space="0" w:color="auto"/>
              <w:left w:val="single" w:sz="4" w:space="0" w:color="auto"/>
              <w:bottom w:val="single" w:sz="4" w:space="0" w:color="auto"/>
              <w:right w:val="single" w:sz="4" w:space="0" w:color="auto"/>
            </w:tcBorders>
            <w:shd w:val="clear" w:color="000000" w:fill="A6D27F"/>
            <w:noWrap/>
            <w:vAlign w:val="bottom"/>
            <w:hideMark/>
          </w:tcPr>
          <w:p w14:paraId="31692D8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6.61</w:t>
            </w:r>
          </w:p>
        </w:tc>
        <w:tc>
          <w:tcPr>
            <w:tcW w:w="674" w:type="dxa"/>
            <w:tcBorders>
              <w:top w:val="single" w:sz="4" w:space="0" w:color="auto"/>
              <w:left w:val="single" w:sz="4" w:space="0" w:color="auto"/>
              <w:bottom w:val="single" w:sz="4" w:space="0" w:color="auto"/>
              <w:right w:val="single" w:sz="4" w:space="0" w:color="auto"/>
            </w:tcBorders>
            <w:shd w:val="clear" w:color="000000" w:fill="73C37C"/>
            <w:noWrap/>
            <w:vAlign w:val="bottom"/>
            <w:hideMark/>
          </w:tcPr>
          <w:p w14:paraId="2B041458"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7.31</w:t>
            </w:r>
          </w:p>
        </w:tc>
        <w:tc>
          <w:tcPr>
            <w:tcW w:w="956"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568D4351"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5.44</w:t>
            </w:r>
          </w:p>
        </w:tc>
        <w:tc>
          <w:tcPr>
            <w:tcW w:w="674"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045C61FB"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5.56</w:t>
            </w:r>
          </w:p>
        </w:tc>
        <w:tc>
          <w:tcPr>
            <w:tcW w:w="1428" w:type="dxa"/>
            <w:tcBorders>
              <w:top w:val="single" w:sz="4" w:space="0" w:color="auto"/>
              <w:left w:val="single" w:sz="4" w:space="0" w:color="auto"/>
              <w:bottom w:val="single" w:sz="4" w:space="0" w:color="auto"/>
              <w:right w:val="single" w:sz="4" w:space="0" w:color="auto"/>
            </w:tcBorders>
            <w:shd w:val="clear" w:color="000000" w:fill="6FC27C"/>
            <w:noWrap/>
            <w:vAlign w:val="bottom"/>
            <w:hideMark/>
          </w:tcPr>
          <w:p w14:paraId="67278EB5"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7.37</w:t>
            </w:r>
          </w:p>
        </w:tc>
        <w:tc>
          <w:tcPr>
            <w:tcW w:w="756"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14:paraId="739A9C41"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5.25</w:t>
            </w:r>
          </w:p>
        </w:tc>
        <w:tc>
          <w:tcPr>
            <w:tcW w:w="832"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14:paraId="0D69560A" w14:textId="77777777" w:rsidR="003831BC" w:rsidRPr="00E02EAE" w:rsidRDefault="003831BC" w:rsidP="00DA302A">
            <w:pPr>
              <w:spacing w:after="0" w:line="240" w:lineRule="auto"/>
              <w:jc w:val="both"/>
              <w:rPr>
                <w:rFonts w:ascii="Century Gothic" w:eastAsia="Times New Roman" w:hAnsi="Century Gothic" w:cs="Calibri"/>
                <w:color w:val="000000"/>
                <w:sz w:val="18"/>
                <w:szCs w:val="18"/>
                <w:lang w:eastAsia="en-GB"/>
              </w:rPr>
            </w:pPr>
            <w:r w:rsidRPr="00E02EAE">
              <w:rPr>
                <w:rFonts w:ascii="Century Gothic" w:eastAsia="Times New Roman" w:hAnsi="Century Gothic" w:cs="Calibri"/>
                <w:color w:val="000000"/>
                <w:sz w:val="18"/>
                <w:szCs w:val="18"/>
                <w:lang w:eastAsia="en-GB"/>
              </w:rPr>
              <w:t>6.82</w:t>
            </w:r>
          </w:p>
        </w:tc>
      </w:tr>
    </w:tbl>
    <w:p w14:paraId="000C9BB6" w14:textId="77777777" w:rsidR="003831BC" w:rsidRDefault="003831BC" w:rsidP="003831BC">
      <w:pPr>
        <w:jc w:val="both"/>
        <w:rPr>
          <w:rFonts w:ascii="Century Gothic" w:hAnsi="Century Gothic"/>
        </w:rPr>
      </w:pPr>
      <w:r>
        <w:rPr>
          <w:rFonts w:ascii="Century Gothic" w:hAnsi="Century Gothic"/>
        </w:rPr>
        <w:t>Basildon, Colchester and Tendring LSOAs within deciles 1-4 chosen by the LDP as target areas</w:t>
      </w:r>
    </w:p>
    <w:p w14:paraId="7EBE490A" w14:textId="77777777" w:rsidR="003831BC" w:rsidRPr="006C32D0" w:rsidRDefault="003831BC" w:rsidP="003831BC">
      <w:pPr>
        <w:pStyle w:val="Heading2"/>
        <w:numPr>
          <w:ilvl w:val="1"/>
          <w:numId w:val="9"/>
        </w:numPr>
        <w:rPr>
          <w:rFonts w:ascii="Century Gothic" w:hAnsi="Century Gothic"/>
          <w:b/>
          <w:bCs/>
          <w:i/>
          <w:iCs/>
          <w:color w:val="D8117D"/>
        </w:rPr>
      </w:pPr>
      <w:bookmarkStart w:id="15" w:name="_Toc50553597"/>
      <w:r w:rsidRPr="006C32D0">
        <w:rPr>
          <w:rFonts w:ascii="Century Gothic" w:hAnsi="Century Gothic"/>
          <w:b/>
          <w:bCs/>
          <w:i/>
          <w:iCs/>
          <w:color w:val="D8117D"/>
        </w:rPr>
        <w:t>Findings by data theme</w:t>
      </w:r>
      <w:bookmarkEnd w:id="15"/>
    </w:p>
    <w:p w14:paraId="6505001D" w14:textId="77777777" w:rsidR="003831BC" w:rsidRDefault="003831BC" w:rsidP="003831BC"/>
    <w:p w14:paraId="0BE24D5A"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Our analysis looked at data across ten themes in order to estimate likely levels of inactivity at LSOA level.</w:t>
      </w:r>
    </w:p>
    <w:p w14:paraId="03BE2FFE"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To highlight the barriers to physical activity most prevalent in Essex, this section of the report provides a summary of our findings across these ten themes, providing the average decile scores by each Essex district, and displaying the LSOAs which score lowest across the ten themes.</w:t>
      </w:r>
    </w:p>
    <w:p w14:paraId="3243E2E4" w14:textId="77777777" w:rsidR="003831BC" w:rsidRDefault="003831BC" w:rsidP="003831BC">
      <w:pPr>
        <w:rPr>
          <w:rFonts w:ascii="Century Gothic" w:hAnsi="Century Gothic"/>
          <w:sz w:val="22"/>
          <w:szCs w:val="22"/>
        </w:rPr>
      </w:pPr>
      <w:r w:rsidRPr="00280067">
        <w:rPr>
          <w:rFonts w:ascii="Century Gothic" w:hAnsi="Century Gothic"/>
          <w:sz w:val="22"/>
          <w:szCs w:val="22"/>
        </w:rPr>
        <w:t>The themes are presented in order of the weightings assigned to each theme in the creation of the overall physical activity score.</w:t>
      </w:r>
      <w:r>
        <w:rPr>
          <w:rFonts w:ascii="Century Gothic" w:hAnsi="Century Gothic"/>
          <w:sz w:val="22"/>
          <w:szCs w:val="22"/>
        </w:rPr>
        <w:br/>
      </w:r>
    </w:p>
    <w:p w14:paraId="71640078"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16" w:name="_Toc50553598"/>
      <w:r>
        <w:rPr>
          <w:rFonts w:ascii="Century Gothic" w:hAnsi="Century Gothic"/>
          <w:b/>
          <w:bCs/>
          <w:i/>
          <w:iCs/>
          <w:color w:val="D8117D"/>
          <w:sz w:val="24"/>
          <w:szCs w:val="24"/>
        </w:rPr>
        <w:t>Health</w:t>
      </w:r>
      <w:bookmarkEnd w:id="16"/>
    </w:p>
    <w:p w14:paraId="2472EBEA" w14:textId="77777777" w:rsidR="003831BC" w:rsidRDefault="003831BC" w:rsidP="003831BC">
      <w:pPr>
        <w:jc w:val="both"/>
      </w:pPr>
    </w:p>
    <w:p w14:paraId="67D12E45"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According to our regression analysis, the health data theme was the biggest driver of physical inactivity. </w:t>
      </w:r>
    </w:p>
    <w:p w14:paraId="5EE90B18"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On average, Essex scores 5.93 for health indicators, higher than the national average of 5.49, suggesting </w:t>
      </w:r>
      <w:proofErr w:type="gramStart"/>
      <w:r w:rsidRPr="00280067">
        <w:rPr>
          <w:rFonts w:ascii="Century Gothic" w:hAnsi="Century Gothic"/>
          <w:sz w:val="22"/>
          <w:szCs w:val="22"/>
        </w:rPr>
        <w:t>on the whole</w:t>
      </w:r>
      <w:proofErr w:type="gramEnd"/>
      <w:r w:rsidRPr="00280067">
        <w:rPr>
          <w:rFonts w:ascii="Century Gothic" w:hAnsi="Century Gothic"/>
          <w:sz w:val="22"/>
          <w:szCs w:val="22"/>
        </w:rPr>
        <w:t xml:space="preserve"> that Essex performs better on health measures. The highest scores are found in Uttlesford (6.75), Brentwood (6.73) and Chelmsford (6.66). The lowest scores are found in the districts of Tendring (4.54), Harlow (5.39) and Castle Point (5.62).</w:t>
      </w:r>
    </w:p>
    <w:p w14:paraId="2D5B857D" w14:textId="77777777" w:rsidR="003831BC" w:rsidRPr="0024336C" w:rsidRDefault="003831BC" w:rsidP="003831BC">
      <w:pPr>
        <w:jc w:val="both"/>
        <w:rPr>
          <w:rFonts w:ascii="Century Gothic" w:hAnsi="Century Gothic"/>
        </w:rPr>
      </w:pPr>
    </w:p>
    <w:tbl>
      <w:tblPr>
        <w:tblW w:w="9405" w:type="dxa"/>
        <w:tblLook w:val="04A0" w:firstRow="1" w:lastRow="0" w:firstColumn="1" w:lastColumn="0" w:noHBand="0" w:noVBand="1"/>
      </w:tblPr>
      <w:tblGrid>
        <w:gridCol w:w="1416"/>
        <w:gridCol w:w="566"/>
        <w:gridCol w:w="566"/>
        <w:gridCol w:w="606"/>
        <w:gridCol w:w="566"/>
        <w:gridCol w:w="621"/>
        <w:gridCol w:w="580"/>
        <w:gridCol w:w="566"/>
        <w:gridCol w:w="566"/>
        <w:gridCol w:w="566"/>
        <w:gridCol w:w="566"/>
        <w:gridCol w:w="566"/>
        <w:gridCol w:w="566"/>
        <w:gridCol w:w="569"/>
        <w:gridCol w:w="569"/>
      </w:tblGrid>
      <w:tr w:rsidR="003831BC" w:rsidRPr="009848BB" w14:paraId="611FEF46" w14:textId="77777777" w:rsidTr="00DA302A">
        <w:trPr>
          <w:cantSplit/>
          <w:trHeight w:val="1660"/>
        </w:trPr>
        <w:tc>
          <w:tcPr>
            <w:tcW w:w="1416" w:type="dxa"/>
            <w:tcBorders>
              <w:top w:val="nil"/>
              <w:left w:val="nil"/>
              <w:bottom w:val="nil"/>
              <w:right w:val="nil"/>
            </w:tcBorders>
            <w:shd w:val="clear" w:color="auto" w:fill="auto"/>
            <w:noWrap/>
            <w:vAlign w:val="bottom"/>
            <w:hideMark/>
          </w:tcPr>
          <w:p w14:paraId="2B1CEA39" w14:textId="77777777" w:rsidR="003831BC" w:rsidRPr="00C671A1" w:rsidRDefault="003831BC" w:rsidP="00DA302A">
            <w:pPr>
              <w:spacing w:after="0" w:line="240" w:lineRule="auto"/>
              <w:jc w:val="both"/>
              <w:rPr>
                <w:rFonts w:ascii="Century Gothic" w:eastAsia="Times New Roman" w:hAnsi="Century Gothic" w:cs="Times New Roman"/>
                <w:sz w:val="18"/>
                <w:szCs w:val="18"/>
                <w:lang w:eastAsia="en-GB"/>
              </w:rPr>
            </w:pPr>
          </w:p>
        </w:tc>
        <w:tc>
          <w:tcPr>
            <w:tcW w:w="562" w:type="dxa"/>
            <w:tcBorders>
              <w:top w:val="nil"/>
              <w:left w:val="nil"/>
              <w:bottom w:val="nil"/>
              <w:right w:val="nil"/>
            </w:tcBorders>
            <w:shd w:val="clear" w:color="auto" w:fill="auto"/>
            <w:noWrap/>
            <w:textDirection w:val="tbRl"/>
            <w:vAlign w:val="bottom"/>
            <w:hideMark/>
          </w:tcPr>
          <w:p w14:paraId="0F525012"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Basildon</w:t>
            </w:r>
          </w:p>
        </w:tc>
        <w:tc>
          <w:tcPr>
            <w:tcW w:w="562" w:type="dxa"/>
            <w:tcBorders>
              <w:top w:val="nil"/>
              <w:left w:val="nil"/>
              <w:bottom w:val="nil"/>
              <w:right w:val="nil"/>
            </w:tcBorders>
            <w:shd w:val="clear" w:color="auto" w:fill="auto"/>
            <w:noWrap/>
            <w:textDirection w:val="tbRl"/>
            <w:vAlign w:val="bottom"/>
            <w:hideMark/>
          </w:tcPr>
          <w:p w14:paraId="63D68154"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Braintree</w:t>
            </w:r>
          </w:p>
        </w:tc>
        <w:tc>
          <w:tcPr>
            <w:tcW w:w="606" w:type="dxa"/>
            <w:tcBorders>
              <w:top w:val="nil"/>
              <w:left w:val="nil"/>
              <w:bottom w:val="nil"/>
              <w:right w:val="nil"/>
            </w:tcBorders>
            <w:shd w:val="clear" w:color="auto" w:fill="auto"/>
            <w:noWrap/>
            <w:textDirection w:val="tbRl"/>
            <w:vAlign w:val="bottom"/>
            <w:hideMark/>
          </w:tcPr>
          <w:p w14:paraId="372C5599"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Brentwood</w:t>
            </w:r>
          </w:p>
        </w:tc>
        <w:tc>
          <w:tcPr>
            <w:tcW w:w="562" w:type="dxa"/>
            <w:tcBorders>
              <w:top w:val="nil"/>
              <w:left w:val="nil"/>
              <w:bottom w:val="nil"/>
              <w:right w:val="nil"/>
            </w:tcBorders>
            <w:shd w:val="clear" w:color="auto" w:fill="auto"/>
            <w:noWrap/>
            <w:textDirection w:val="tbRl"/>
            <w:vAlign w:val="bottom"/>
            <w:hideMark/>
          </w:tcPr>
          <w:p w14:paraId="3ADC9F81"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Castle Point</w:t>
            </w:r>
          </w:p>
        </w:tc>
        <w:tc>
          <w:tcPr>
            <w:tcW w:w="621" w:type="dxa"/>
            <w:tcBorders>
              <w:top w:val="nil"/>
              <w:left w:val="nil"/>
              <w:bottom w:val="nil"/>
              <w:right w:val="nil"/>
            </w:tcBorders>
            <w:shd w:val="clear" w:color="auto" w:fill="auto"/>
            <w:noWrap/>
            <w:textDirection w:val="tbRl"/>
            <w:vAlign w:val="bottom"/>
            <w:hideMark/>
          </w:tcPr>
          <w:p w14:paraId="3CDFF84C"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Chelmsford</w:t>
            </w:r>
          </w:p>
        </w:tc>
        <w:tc>
          <w:tcPr>
            <w:tcW w:w="580" w:type="dxa"/>
            <w:tcBorders>
              <w:top w:val="nil"/>
              <w:left w:val="nil"/>
              <w:bottom w:val="nil"/>
              <w:right w:val="nil"/>
            </w:tcBorders>
            <w:shd w:val="clear" w:color="auto" w:fill="auto"/>
            <w:noWrap/>
            <w:textDirection w:val="tbRl"/>
            <w:vAlign w:val="bottom"/>
            <w:hideMark/>
          </w:tcPr>
          <w:p w14:paraId="77454CAE"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Colchester</w:t>
            </w:r>
          </w:p>
        </w:tc>
        <w:tc>
          <w:tcPr>
            <w:tcW w:w="562" w:type="dxa"/>
            <w:tcBorders>
              <w:top w:val="nil"/>
              <w:left w:val="nil"/>
              <w:bottom w:val="nil"/>
              <w:right w:val="nil"/>
            </w:tcBorders>
            <w:shd w:val="clear" w:color="auto" w:fill="auto"/>
            <w:noWrap/>
            <w:textDirection w:val="tbRl"/>
            <w:vAlign w:val="bottom"/>
            <w:hideMark/>
          </w:tcPr>
          <w:p w14:paraId="389B9D95"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Epping Forest</w:t>
            </w:r>
          </w:p>
        </w:tc>
        <w:tc>
          <w:tcPr>
            <w:tcW w:w="562" w:type="dxa"/>
            <w:tcBorders>
              <w:top w:val="nil"/>
              <w:left w:val="nil"/>
              <w:bottom w:val="nil"/>
              <w:right w:val="nil"/>
            </w:tcBorders>
            <w:shd w:val="clear" w:color="auto" w:fill="auto"/>
            <w:noWrap/>
            <w:textDirection w:val="tbRl"/>
            <w:vAlign w:val="bottom"/>
            <w:hideMark/>
          </w:tcPr>
          <w:p w14:paraId="44F92609"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Harlow</w:t>
            </w:r>
          </w:p>
        </w:tc>
        <w:tc>
          <w:tcPr>
            <w:tcW w:w="562" w:type="dxa"/>
            <w:tcBorders>
              <w:top w:val="nil"/>
              <w:left w:val="nil"/>
              <w:bottom w:val="nil"/>
              <w:right w:val="nil"/>
            </w:tcBorders>
            <w:shd w:val="clear" w:color="auto" w:fill="auto"/>
            <w:noWrap/>
            <w:textDirection w:val="tbRl"/>
            <w:vAlign w:val="bottom"/>
            <w:hideMark/>
          </w:tcPr>
          <w:p w14:paraId="2534F6FF"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Maldon</w:t>
            </w:r>
          </w:p>
        </w:tc>
        <w:tc>
          <w:tcPr>
            <w:tcW w:w="562" w:type="dxa"/>
            <w:tcBorders>
              <w:top w:val="nil"/>
              <w:left w:val="nil"/>
              <w:bottom w:val="nil"/>
              <w:right w:val="nil"/>
            </w:tcBorders>
            <w:shd w:val="clear" w:color="auto" w:fill="auto"/>
            <w:noWrap/>
            <w:textDirection w:val="tbRl"/>
            <w:vAlign w:val="bottom"/>
            <w:hideMark/>
          </w:tcPr>
          <w:p w14:paraId="7BF4524D"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Rochford</w:t>
            </w:r>
          </w:p>
        </w:tc>
        <w:tc>
          <w:tcPr>
            <w:tcW w:w="562" w:type="dxa"/>
            <w:tcBorders>
              <w:top w:val="nil"/>
              <w:left w:val="nil"/>
              <w:bottom w:val="nil"/>
              <w:right w:val="nil"/>
            </w:tcBorders>
            <w:shd w:val="clear" w:color="auto" w:fill="auto"/>
            <w:noWrap/>
            <w:textDirection w:val="tbRl"/>
            <w:vAlign w:val="bottom"/>
            <w:hideMark/>
          </w:tcPr>
          <w:p w14:paraId="6706409E"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Tendring</w:t>
            </w:r>
          </w:p>
        </w:tc>
        <w:tc>
          <w:tcPr>
            <w:tcW w:w="562" w:type="dxa"/>
            <w:tcBorders>
              <w:top w:val="nil"/>
              <w:left w:val="nil"/>
              <w:bottom w:val="nil"/>
              <w:right w:val="single" w:sz="4" w:space="0" w:color="auto"/>
            </w:tcBorders>
            <w:shd w:val="clear" w:color="auto" w:fill="auto"/>
            <w:noWrap/>
            <w:textDirection w:val="tbRl"/>
            <w:vAlign w:val="bottom"/>
            <w:hideMark/>
          </w:tcPr>
          <w:p w14:paraId="75E9D5EC"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Uttlesford</w:t>
            </w:r>
          </w:p>
        </w:tc>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26C0A77C"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Essex average</w:t>
            </w:r>
          </w:p>
        </w:tc>
        <w:tc>
          <w:tcPr>
            <w:tcW w:w="562" w:type="dxa"/>
            <w:tcBorders>
              <w:top w:val="single" w:sz="4" w:space="0" w:color="auto"/>
              <w:left w:val="single" w:sz="4" w:space="0" w:color="auto"/>
              <w:bottom w:val="single" w:sz="4" w:space="0" w:color="auto"/>
              <w:right w:val="single" w:sz="4" w:space="0" w:color="auto"/>
            </w:tcBorders>
            <w:textDirection w:val="tbRl"/>
          </w:tcPr>
          <w:p w14:paraId="47E6177D" w14:textId="77777777" w:rsidR="003831BC" w:rsidRPr="00C671A1"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National average</w:t>
            </w:r>
          </w:p>
        </w:tc>
      </w:tr>
      <w:tr w:rsidR="003831BC" w:rsidRPr="009848BB" w14:paraId="7F64C4C3" w14:textId="77777777" w:rsidTr="00DA302A">
        <w:trPr>
          <w:trHeight w:val="524"/>
        </w:trPr>
        <w:tc>
          <w:tcPr>
            <w:tcW w:w="1416" w:type="dxa"/>
            <w:tcBorders>
              <w:top w:val="nil"/>
              <w:left w:val="nil"/>
              <w:bottom w:val="nil"/>
              <w:right w:val="nil"/>
            </w:tcBorders>
            <w:shd w:val="clear" w:color="auto" w:fill="auto"/>
            <w:noWrap/>
            <w:vAlign w:val="bottom"/>
            <w:hideMark/>
          </w:tcPr>
          <w:p w14:paraId="212B3A9B"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Health average decile</w:t>
            </w:r>
          </w:p>
        </w:tc>
        <w:tc>
          <w:tcPr>
            <w:tcW w:w="562" w:type="dxa"/>
            <w:tcBorders>
              <w:top w:val="nil"/>
              <w:left w:val="nil"/>
              <w:bottom w:val="nil"/>
              <w:right w:val="nil"/>
            </w:tcBorders>
            <w:shd w:val="clear" w:color="000000" w:fill="FDCC7E"/>
            <w:noWrap/>
            <w:vAlign w:val="bottom"/>
            <w:hideMark/>
          </w:tcPr>
          <w:p w14:paraId="12740E8C"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5.67</w:t>
            </w:r>
          </w:p>
        </w:tc>
        <w:tc>
          <w:tcPr>
            <w:tcW w:w="562" w:type="dxa"/>
            <w:tcBorders>
              <w:top w:val="nil"/>
              <w:left w:val="nil"/>
              <w:bottom w:val="nil"/>
              <w:right w:val="nil"/>
            </w:tcBorders>
            <w:shd w:val="clear" w:color="000000" w:fill="FEE382"/>
            <w:noWrap/>
            <w:vAlign w:val="bottom"/>
            <w:hideMark/>
          </w:tcPr>
          <w:p w14:paraId="095EDA38"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5.93</w:t>
            </w:r>
          </w:p>
        </w:tc>
        <w:tc>
          <w:tcPr>
            <w:tcW w:w="606" w:type="dxa"/>
            <w:tcBorders>
              <w:top w:val="nil"/>
              <w:left w:val="nil"/>
              <w:bottom w:val="nil"/>
              <w:right w:val="nil"/>
            </w:tcBorders>
            <w:shd w:val="clear" w:color="000000" w:fill="67BF7C"/>
            <w:noWrap/>
            <w:vAlign w:val="bottom"/>
            <w:hideMark/>
          </w:tcPr>
          <w:p w14:paraId="16E64327"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6.73</w:t>
            </w:r>
          </w:p>
        </w:tc>
        <w:tc>
          <w:tcPr>
            <w:tcW w:w="562" w:type="dxa"/>
            <w:tcBorders>
              <w:top w:val="nil"/>
              <w:left w:val="nil"/>
              <w:bottom w:val="nil"/>
              <w:right w:val="nil"/>
            </w:tcBorders>
            <w:shd w:val="clear" w:color="000000" w:fill="FDC77D"/>
            <w:noWrap/>
            <w:vAlign w:val="bottom"/>
            <w:hideMark/>
          </w:tcPr>
          <w:p w14:paraId="1AAAFA79"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5.62</w:t>
            </w:r>
          </w:p>
        </w:tc>
        <w:tc>
          <w:tcPr>
            <w:tcW w:w="621" w:type="dxa"/>
            <w:tcBorders>
              <w:top w:val="nil"/>
              <w:left w:val="nil"/>
              <w:bottom w:val="nil"/>
              <w:right w:val="nil"/>
            </w:tcBorders>
            <w:shd w:val="clear" w:color="000000" w:fill="77C47D"/>
            <w:noWrap/>
            <w:vAlign w:val="bottom"/>
            <w:hideMark/>
          </w:tcPr>
          <w:p w14:paraId="2C57BC7D"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6.66</w:t>
            </w:r>
          </w:p>
        </w:tc>
        <w:tc>
          <w:tcPr>
            <w:tcW w:w="580" w:type="dxa"/>
            <w:tcBorders>
              <w:top w:val="nil"/>
              <w:left w:val="nil"/>
              <w:bottom w:val="nil"/>
              <w:right w:val="nil"/>
            </w:tcBorders>
            <w:shd w:val="clear" w:color="000000" w:fill="FEDF81"/>
            <w:noWrap/>
            <w:vAlign w:val="bottom"/>
            <w:hideMark/>
          </w:tcPr>
          <w:p w14:paraId="3CE6DAA8"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5.89</w:t>
            </w:r>
          </w:p>
        </w:tc>
        <w:tc>
          <w:tcPr>
            <w:tcW w:w="562" w:type="dxa"/>
            <w:tcBorders>
              <w:top w:val="nil"/>
              <w:left w:val="nil"/>
              <w:bottom w:val="nil"/>
              <w:right w:val="nil"/>
            </w:tcBorders>
            <w:shd w:val="clear" w:color="000000" w:fill="CEDD82"/>
            <w:noWrap/>
            <w:vAlign w:val="bottom"/>
            <w:hideMark/>
          </w:tcPr>
          <w:p w14:paraId="7F5F314D"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6.25</w:t>
            </w:r>
          </w:p>
        </w:tc>
        <w:tc>
          <w:tcPr>
            <w:tcW w:w="562" w:type="dxa"/>
            <w:tcBorders>
              <w:top w:val="nil"/>
              <w:left w:val="nil"/>
              <w:bottom w:val="nil"/>
              <w:right w:val="nil"/>
            </w:tcBorders>
            <w:shd w:val="clear" w:color="000000" w:fill="FCB479"/>
            <w:noWrap/>
            <w:vAlign w:val="bottom"/>
            <w:hideMark/>
          </w:tcPr>
          <w:p w14:paraId="01F341C0"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5.39</w:t>
            </w:r>
          </w:p>
        </w:tc>
        <w:tc>
          <w:tcPr>
            <w:tcW w:w="562" w:type="dxa"/>
            <w:tcBorders>
              <w:top w:val="nil"/>
              <w:left w:val="nil"/>
              <w:bottom w:val="nil"/>
              <w:right w:val="nil"/>
            </w:tcBorders>
            <w:shd w:val="clear" w:color="000000" w:fill="EDE683"/>
            <w:noWrap/>
            <w:vAlign w:val="bottom"/>
            <w:hideMark/>
          </w:tcPr>
          <w:p w14:paraId="6C2E1014"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6.10</w:t>
            </w:r>
          </w:p>
        </w:tc>
        <w:tc>
          <w:tcPr>
            <w:tcW w:w="562" w:type="dxa"/>
            <w:tcBorders>
              <w:top w:val="nil"/>
              <w:left w:val="nil"/>
              <w:bottom w:val="nil"/>
              <w:right w:val="nil"/>
            </w:tcBorders>
            <w:shd w:val="clear" w:color="000000" w:fill="B7D780"/>
            <w:noWrap/>
            <w:vAlign w:val="bottom"/>
            <w:hideMark/>
          </w:tcPr>
          <w:p w14:paraId="3E2BCB5A"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6.35</w:t>
            </w:r>
          </w:p>
        </w:tc>
        <w:tc>
          <w:tcPr>
            <w:tcW w:w="562" w:type="dxa"/>
            <w:tcBorders>
              <w:top w:val="nil"/>
              <w:left w:val="nil"/>
              <w:bottom w:val="nil"/>
              <w:right w:val="nil"/>
            </w:tcBorders>
            <w:shd w:val="clear" w:color="000000" w:fill="F8696B"/>
            <w:noWrap/>
            <w:vAlign w:val="bottom"/>
            <w:hideMark/>
          </w:tcPr>
          <w:p w14:paraId="3124FE75"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4.54</w:t>
            </w:r>
          </w:p>
        </w:tc>
        <w:tc>
          <w:tcPr>
            <w:tcW w:w="562" w:type="dxa"/>
            <w:tcBorders>
              <w:top w:val="nil"/>
              <w:left w:val="nil"/>
              <w:bottom w:val="nil"/>
              <w:right w:val="single" w:sz="4" w:space="0" w:color="auto"/>
            </w:tcBorders>
            <w:shd w:val="clear" w:color="000000" w:fill="63BE7B"/>
            <w:noWrap/>
            <w:vAlign w:val="bottom"/>
            <w:hideMark/>
          </w:tcPr>
          <w:p w14:paraId="7342A245" w14:textId="77777777" w:rsidR="003831BC" w:rsidRPr="00C671A1" w:rsidRDefault="003831BC" w:rsidP="00DA302A">
            <w:pPr>
              <w:spacing w:after="0" w:line="240" w:lineRule="auto"/>
              <w:jc w:val="both"/>
              <w:rPr>
                <w:rFonts w:ascii="Century Gothic" w:eastAsia="Times New Roman" w:hAnsi="Century Gothic" w:cs="Calibri"/>
                <w:color w:val="000000"/>
                <w:sz w:val="18"/>
                <w:szCs w:val="18"/>
                <w:lang w:eastAsia="en-GB"/>
              </w:rPr>
            </w:pPr>
            <w:r w:rsidRPr="00C671A1">
              <w:rPr>
                <w:rFonts w:ascii="Century Gothic" w:eastAsia="Times New Roman" w:hAnsi="Century Gothic" w:cs="Calibri"/>
                <w:color w:val="000000"/>
                <w:sz w:val="18"/>
                <w:szCs w:val="18"/>
                <w:lang w:eastAsia="en-GB"/>
              </w:rPr>
              <w:t>6.75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8341D" w14:textId="77777777" w:rsidR="003831BC" w:rsidRPr="00C671A1"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C671A1">
              <w:rPr>
                <w:rFonts w:ascii="Century Gothic" w:eastAsia="Times New Roman" w:hAnsi="Century Gothic" w:cs="Calibri"/>
                <w:b/>
                <w:bCs/>
                <w:color w:val="000000"/>
                <w:sz w:val="18"/>
                <w:szCs w:val="18"/>
                <w:lang w:eastAsia="en-GB"/>
              </w:rPr>
              <w:t>5.93</w:t>
            </w:r>
          </w:p>
        </w:tc>
        <w:tc>
          <w:tcPr>
            <w:tcW w:w="562" w:type="dxa"/>
            <w:tcBorders>
              <w:top w:val="single" w:sz="4" w:space="0" w:color="auto"/>
              <w:left w:val="single" w:sz="4" w:space="0" w:color="auto"/>
              <w:bottom w:val="single" w:sz="4" w:space="0" w:color="auto"/>
              <w:right w:val="single" w:sz="4" w:space="0" w:color="auto"/>
            </w:tcBorders>
            <w:vAlign w:val="bottom"/>
          </w:tcPr>
          <w:p w14:paraId="78D430E5" w14:textId="77777777" w:rsidR="003831BC" w:rsidRPr="00C671A1" w:rsidRDefault="003831BC" w:rsidP="00DA302A">
            <w:pPr>
              <w:spacing w:after="0" w:line="240" w:lineRule="auto"/>
              <w:jc w:val="center"/>
              <w:rPr>
                <w:rFonts w:ascii="Century Gothic" w:eastAsia="Times New Roman" w:hAnsi="Century Gothic" w:cs="Calibri"/>
                <w:b/>
                <w:bCs/>
                <w:color w:val="000000"/>
                <w:sz w:val="18"/>
                <w:szCs w:val="18"/>
                <w:lang w:eastAsia="en-GB"/>
              </w:rPr>
            </w:pPr>
            <w:r w:rsidRPr="00C671A1">
              <w:rPr>
                <w:rFonts w:ascii="Century Gothic" w:eastAsia="Times New Roman" w:hAnsi="Century Gothic" w:cs="Calibri"/>
                <w:b/>
                <w:bCs/>
                <w:color w:val="000000"/>
                <w:sz w:val="18"/>
                <w:szCs w:val="18"/>
                <w:lang w:eastAsia="en-GB"/>
              </w:rPr>
              <w:t>5.49</w:t>
            </w:r>
          </w:p>
        </w:tc>
      </w:tr>
    </w:tbl>
    <w:p w14:paraId="57DD6B8B" w14:textId="77777777" w:rsidR="003831BC" w:rsidRDefault="003831BC" w:rsidP="003831BC">
      <w:pPr>
        <w:jc w:val="both"/>
        <w:rPr>
          <w:rFonts w:ascii="Century Gothic" w:hAnsi="Century Gothic"/>
          <w:b/>
          <w:bCs/>
        </w:rPr>
      </w:pPr>
    </w:p>
    <w:p w14:paraId="64739354"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How Essex LSOAs score nationally for health</w:t>
      </w:r>
    </w:p>
    <w:p w14:paraId="40E7E391"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table below shows 20 LSOAs in Essex which score the lowest for health. The areas which experience the biggest challenges relating to health are largely concentrated on the Tendring coast, specifically in central Clacton and the surrounding areas.</w:t>
      </w:r>
    </w:p>
    <w:p w14:paraId="1B121AA7"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Basildon also has two LSOAs in the 20 lowest scoring areas for health, both based in the </w:t>
      </w:r>
      <w:proofErr w:type="spellStart"/>
      <w:r w:rsidRPr="00280067">
        <w:rPr>
          <w:rFonts w:ascii="Century Gothic" w:hAnsi="Century Gothic"/>
          <w:sz w:val="22"/>
          <w:szCs w:val="22"/>
        </w:rPr>
        <w:t>Pitsea</w:t>
      </w:r>
      <w:proofErr w:type="spellEnd"/>
      <w:r w:rsidRPr="00280067">
        <w:rPr>
          <w:rFonts w:ascii="Century Gothic" w:hAnsi="Century Gothic"/>
          <w:sz w:val="22"/>
          <w:szCs w:val="22"/>
        </w:rPr>
        <w:t xml:space="preserve"> South East ward.</w:t>
      </w:r>
    </w:p>
    <w:p w14:paraId="20953E81" w14:textId="77777777" w:rsidR="003831BC" w:rsidRDefault="003831BC" w:rsidP="003831BC">
      <w:pPr>
        <w:jc w:val="both"/>
        <w:rPr>
          <w:rFonts w:ascii="Century Gothic" w:hAnsi="Century Gothic"/>
          <w:sz w:val="22"/>
          <w:szCs w:val="22"/>
        </w:rPr>
      </w:pPr>
      <w:proofErr w:type="gramStart"/>
      <w:r w:rsidRPr="00280067">
        <w:rPr>
          <w:rFonts w:ascii="Century Gothic" w:hAnsi="Century Gothic"/>
          <w:sz w:val="22"/>
          <w:szCs w:val="22"/>
        </w:rPr>
        <w:t>All of</w:t>
      </w:r>
      <w:proofErr w:type="gramEnd"/>
      <w:r w:rsidRPr="00280067">
        <w:rPr>
          <w:rFonts w:ascii="Century Gothic" w:hAnsi="Century Gothic"/>
          <w:sz w:val="22"/>
          <w:szCs w:val="22"/>
        </w:rPr>
        <w:t xml:space="preserve"> these areas are placed among the most deprived areas (deciles 1-4) according to the 2019 Indices of Deprivation.</w:t>
      </w:r>
    </w:p>
    <w:p w14:paraId="188B996E" w14:textId="77777777" w:rsidR="003831BC" w:rsidRDefault="003831BC" w:rsidP="003831BC">
      <w:pPr>
        <w:jc w:val="both"/>
        <w:rPr>
          <w:rFonts w:ascii="Century Gothic" w:hAnsi="Century Gothic"/>
          <w:sz w:val="22"/>
          <w:szCs w:val="22"/>
        </w:rPr>
      </w:pPr>
    </w:p>
    <w:p w14:paraId="3E89DE23" w14:textId="77777777" w:rsidR="003831BC" w:rsidRPr="00280067" w:rsidRDefault="003831BC" w:rsidP="003831BC">
      <w:pPr>
        <w:jc w:val="both"/>
        <w:rPr>
          <w:rFonts w:ascii="Century Gothic" w:hAnsi="Century Gothic"/>
          <w:sz w:val="22"/>
          <w:szCs w:val="22"/>
        </w:rPr>
      </w:pPr>
    </w:p>
    <w:tbl>
      <w:tblPr>
        <w:tblW w:w="8511" w:type="dxa"/>
        <w:jc w:val="center"/>
        <w:tblLook w:val="04A0" w:firstRow="1" w:lastRow="0" w:firstColumn="1" w:lastColumn="0" w:noHBand="0" w:noVBand="1"/>
      </w:tblPr>
      <w:tblGrid>
        <w:gridCol w:w="960"/>
        <w:gridCol w:w="1111"/>
        <w:gridCol w:w="1757"/>
        <w:gridCol w:w="1777"/>
        <w:gridCol w:w="964"/>
        <w:gridCol w:w="960"/>
        <w:gridCol w:w="982"/>
      </w:tblGrid>
      <w:tr w:rsidR="003831BC" w:rsidRPr="00FB0EF7" w14:paraId="7FD5B397" w14:textId="77777777" w:rsidTr="00DA302A">
        <w:trPr>
          <w:trHeight w:val="288"/>
          <w:jc w:val="center"/>
        </w:trPr>
        <w:tc>
          <w:tcPr>
            <w:tcW w:w="960" w:type="dxa"/>
            <w:tcBorders>
              <w:top w:val="nil"/>
              <w:left w:val="nil"/>
              <w:bottom w:val="single" w:sz="4" w:space="0" w:color="auto"/>
              <w:right w:val="nil"/>
            </w:tcBorders>
            <w:shd w:val="clear" w:color="auto" w:fill="auto"/>
            <w:noWrap/>
            <w:vAlign w:val="bottom"/>
            <w:hideMark/>
          </w:tcPr>
          <w:p w14:paraId="4A1BC20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Theme Rank</w:t>
            </w:r>
          </w:p>
        </w:tc>
        <w:tc>
          <w:tcPr>
            <w:tcW w:w="1111" w:type="dxa"/>
            <w:tcBorders>
              <w:top w:val="nil"/>
              <w:left w:val="nil"/>
              <w:bottom w:val="single" w:sz="4" w:space="0" w:color="auto"/>
              <w:right w:val="nil"/>
            </w:tcBorders>
            <w:shd w:val="clear" w:color="auto" w:fill="auto"/>
            <w:noWrap/>
            <w:vAlign w:val="bottom"/>
            <w:hideMark/>
          </w:tcPr>
          <w:p w14:paraId="25EE595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LSOA Code</w:t>
            </w:r>
          </w:p>
        </w:tc>
        <w:tc>
          <w:tcPr>
            <w:tcW w:w="1757" w:type="dxa"/>
            <w:tcBorders>
              <w:top w:val="nil"/>
              <w:left w:val="nil"/>
              <w:bottom w:val="single" w:sz="4" w:space="0" w:color="auto"/>
              <w:right w:val="nil"/>
            </w:tcBorders>
            <w:shd w:val="clear" w:color="auto" w:fill="auto"/>
            <w:noWrap/>
            <w:vAlign w:val="bottom"/>
            <w:hideMark/>
          </w:tcPr>
          <w:p w14:paraId="43E5075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LSOA Name</w:t>
            </w:r>
          </w:p>
        </w:tc>
        <w:tc>
          <w:tcPr>
            <w:tcW w:w="1777" w:type="dxa"/>
            <w:tcBorders>
              <w:top w:val="nil"/>
              <w:left w:val="nil"/>
              <w:bottom w:val="single" w:sz="4" w:space="0" w:color="auto"/>
              <w:right w:val="nil"/>
            </w:tcBorders>
            <w:shd w:val="clear" w:color="auto" w:fill="auto"/>
            <w:noWrap/>
            <w:vAlign w:val="bottom"/>
            <w:hideMark/>
          </w:tcPr>
          <w:p w14:paraId="44574DB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Ward</w:t>
            </w:r>
          </w:p>
        </w:tc>
        <w:tc>
          <w:tcPr>
            <w:tcW w:w="964" w:type="dxa"/>
            <w:tcBorders>
              <w:top w:val="nil"/>
              <w:left w:val="nil"/>
              <w:bottom w:val="single" w:sz="4" w:space="0" w:color="auto"/>
              <w:right w:val="nil"/>
            </w:tcBorders>
            <w:shd w:val="clear" w:color="auto" w:fill="auto"/>
            <w:noWrap/>
            <w:vAlign w:val="bottom"/>
            <w:hideMark/>
          </w:tcPr>
          <w:p w14:paraId="644CB59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LA Name</w:t>
            </w:r>
          </w:p>
        </w:tc>
        <w:tc>
          <w:tcPr>
            <w:tcW w:w="960" w:type="dxa"/>
            <w:tcBorders>
              <w:top w:val="nil"/>
              <w:left w:val="nil"/>
              <w:bottom w:val="single" w:sz="4" w:space="0" w:color="auto"/>
              <w:right w:val="nil"/>
            </w:tcBorders>
            <w:shd w:val="clear" w:color="auto" w:fill="auto"/>
            <w:noWrap/>
            <w:vAlign w:val="bottom"/>
            <w:hideMark/>
          </w:tcPr>
          <w:p w14:paraId="6DDFAC2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IMD 2019 decile</w:t>
            </w:r>
          </w:p>
        </w:tc>
        <w:tc>
          <w:tcPr>
            <w:tcW w:w="982" w:type="dxa"/>
            <w:tcBorders>
              <w:top w:val="nil"/>
              <w:left w:val="nil"/>
              <w:bottom w:val="single" w:sz="4" w:space="0" w:color="auto"/>
              <w:right w:val="nil"/>
            </w:tcBorders>
            <w:shd w:val="clear" w:color="auto" w:fill="auto"/>
            <w:noWrap/>
            <w:vAlign w:val="bottom"/>
            <w:hideMark/>
          </w:tcPr>
          <w:p w14:paraId="38DC8B3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Health Average</w:t>
            </w:r>
          </w:p>
        </w:tc>
      </w:tr>
      <w:tr w:rsidR="003831BC" w:rsidRPr="00FB0EF7" w14:paraId="7665AFE8"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7964D"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DD7E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E01021988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4B4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018A</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CFC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Golf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989A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209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8E35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3.16</w:t>
            </w:r>
          </w:p>
        </w:tc>
      </w:tr>
      <w:tr w:rsidR="003831BC" w:rsidRPr="00FB0EF7" w14:paraId="2C981736"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A3F8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32B2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E01022045</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C4C1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018D</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FFA0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 xml:space="preserve">St </w:t>
            </w:r>
            <w:proofErr w:type="spellStart"/>
            <w:r w:rsidRPr="00FB0EF7">
              <w:rPr>
                <w:rFonts w:ascii="Century Gothic" w:eastAsia="Times New Roman" w:hAnsi="Century Gothic" w:cs="Calibri"/>
                <w:color w:val="000000"/>
                <w:sz w:val="18"/>
                <w:szCs w:val="18"/>
                <w:lang w:eastAsia="en-GB"/>
              </w:rPr>
              <w:t>Osyth</w:t>
            </w:r>
            <w:proofErr w:type="spellEnd"/>
            <w:r w:rsidRPr="00FB0EF7">
              <w:rPr>
                <w:rFonts w:ascii="Century Gothic" w:eastAsia="Times New Roman" w:hAnsi="Century Gothic" w:cs="Calibri"/>
                <w:color w:val="000000"/>
                <w:sz w:val="18"/>
                <w:szCs w:val="18"/>
                <w:lang w:eastAsia="en-GB"/>
              </w:rPr>
              <w:t xml:space="preserve"> and Point Clear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7B90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381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64EA"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3.17</w:t>
            </w:r>
          </w:p>
        </w:tc>
      </w:tr>
      <w:tr w:rsidR="003831BC" w:rsidRPr="00FB0EF7" w14:paraId="2FE776DF"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F40EA"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4A1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E01022027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429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016D</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BE2A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Pier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49D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535F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3412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3.18</w:t>
            </w:r>
          </w:p>
        </w:tc>
      </w:tr>
      <w:tr w:rsidR="003831BC" w:rsidRPr="00FB0EF7" w14:paraId="5AFC5E20"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80CA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AFD2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E01022026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6C6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016C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7DD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Pier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737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AF48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361D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3.19</w:t>
            </w:r>
          </w:p>
        </w:tc>
      </w:tr>
      <w:tr w:rsidR="003831BC" w:rsidRPr="00FB0EF7" w14:paraId="18C764E5"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3CB5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BA62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E01022025</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2548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016B</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18C9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Pier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B7D0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7A1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ED0A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3.20</w:t>
            </w:r>
          </w:p>
        </w:tc>
      </w:tr>
      <w:tr w:rsidR="003831BC" w:rsidRPr="00FB0EF7" w14:paraId="65591384"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670F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7BFE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E01021970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6EB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016A</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910A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Alton Park</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12D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04D0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6D2F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3.20</w:t>
            </w:r>
          </w:p>
        </w:tc>
      </w:tr>
      <w:tr w:rsidR="003831BC" w:rsidRPr="00FB0EF7" w14:paraId="2A5D485A"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A67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4F23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E01021990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C9FF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018C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18FD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Golf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8CF8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F2BE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3916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3.21</w:t>
            </w:r>
          </w:p>
        </w:tc>
      </w:tr>
      <w:tr w:rsidR="003831BC" w:rsidRPr="00FB0EF7" w14:paraId="139CE32D"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D5FD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1947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E01022047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44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018E</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E492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 xml:space="preserve">St </w:t>
            </w:r>
            <w:proofErr w:type="spellStart"/>
            <w:r w:rsidRPr="00FB0EF7">
              <w:rPr>
                <w:rFonts w:ascii="Century Gothic" w:eastAsia="Times New Roman" w:hAnsi="Century Gothic" w:cs="Calibri"/>
                <w:color w:val="000000"/>
                <w:sz w:val="18"/>
                <w:szCs w:val="18"/>
                <w:lang w:eastAsia="en-GB"/>
              </w:rPr>
              <w:t>Osyth</w:t>
            </w:r>
            <w:proofErr w:type="spellEnd"/>
            <w:r w:rsidRPr="00FB0EF7">
              <w:rPr>
                <w:rFonts w:ascii="Century Gothic" w:eastAsia="Times New Roman" w:hAnsi="Century Gothic" w:cs="Calibri"/>
                <w:color w:val="000000"/>
                <w:sz w:val="18"/>
                <w:szCs w:val="18"/>
                <w:lang w:eastAsia="en-GB"/>
              </w:rPr>
              <w:t xml:space="preserve"> and Point Clear</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8CE4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D8E3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4F44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3.32</w:t>
            </w:r>
          </w:p>
        </w:tc>
      </w:tr>
      <w:tr w:rsidR="003831BC" w:rsidRPr="00FB0EF7" w14:paraId="36609505"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3E7A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9BA6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E01021989</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834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018B</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99C7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Golf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D20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45D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3326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3.34</w:t>
            </w:r>
          </w:p>
        </w:tc>
      </w:tr>
      <w:tr w:rsidR="003831BC" w:rsidRPr="00FB0EF7" w14:paraId="26378493"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1BC3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EEDFD"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E01022032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CD27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015E</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3B52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8F49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C9F9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85E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3.43</w:t>
            </w:r>
          </w:p>
        </w:tc>
      </w:tr>
      <w:tr w:rsidR="003831BC" w:rsidRPr="00FB0EF7" w14:paraId="096527BE"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C1E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DE9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E01022030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308C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015C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4017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A4B44"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6394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673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3.55</w:t>
            </w:r>
          </w:p>
        </w:tc>
      </w:tr>
      <w:tr w:rsidR="003831BC" w:rsidRPr="00FB0EF7" w14:paraId="0457F385"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475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6B71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E01022024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B67F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015B</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454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 xml:space="preserve">Peter </w:t>
            </w:r>
            <w:proofErr w:type="spellStart"/>
            <w:r w:rsidRPr="00FB0EF7">
              <w:rPr>
                <w:rFonts w:ascii="Century Gothic" w:eastAsia="Times New Roman" w:hAnsi="Century Gothic" w:cs="Calibri"/>
                <w:color w:val="000000"/>
                <w:sz w:val="18"/>
                <w:szCs w:val="18"/>
                <w:lang w:eastAsia="en-GB"/>
              </w:rPr>
              <w:t>Bruff</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C867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082B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3726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3.57</w:t>
            </w:r>
          </w:p>
        </w:tc>
      </w:tr>
      <w:tr w:rsidR="003831BC" w:rsidRPr="00FB0EF7" w14:paraId="4F08F3CF"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E79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877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E01022031</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950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015D</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55C6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Rush Green</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6736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5C85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301C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3.59</w:t>
            </w:r>
          </w:p>
        </w:tc>
      </w:tr>
      <w:tr w:rsidR="003831BC" w:rsidRPr="00FB0EF7" w14:paraId="16DB25E7"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E1A0D"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A33F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E01022023</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99E3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015A</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A96D"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 xml:space="preserve">Peter </w:t>
            </w:r>
            <w:proofErr w:type="spellStart"/>
            <w:r w:rsidRPr="00FB0EF7">
              <w:rPr>
                <w:rFonts w:ascii="Century Gothic" w:eastAsia="Times New Roman" w:hAnsi="Century Gothic" w:cs="Calibri"/>
                <w:color w:val="000000"/>
                <w:sz w:val="18"/>
                <w:szCs w:val="18"/>
                <w:lang w:eastAsia="en-GB"/>
              </w:rPr>
              <w:t>Bruff</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A7B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1D1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316B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3.61</w:t>
            </w:r>
          </w:p>
        </w:tc>
      </w:tr>
      <w:tr w:rsidR="003831BC" w:rsidRPr="00FB0EF7" w14:paraId="619AB96A"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9C3F7"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FCBA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E01022042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46EF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014A</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63B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St Marys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ABAC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CFCC0"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9270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3.69</w:t>
            </w:r>
          </w:p>
        </w:tc>
      </w:tr>
      <w:tr w:rsidR="003831BC" w:rsidRPr="00FB0EF7" w14:paraId="56478C68"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8061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EF12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E01022038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7547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017E</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0428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St James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309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8257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2D4B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3.71</w:t>
            </w:r>
          </w:p>
        </w:tc>
      </w:tr>
      <w:tr w:rsidR="003831BC" w:rsidRPr="00FB0EF7" w14:paraId="0C276BAF"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24B6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344D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E01022048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4120B"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014C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4FD1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St Pauls</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E7E6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3F27D"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5A4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3.71</w:t>
            </w:r>
          </w:p>
        </w:tc>
      </w:tr>
      <w:tr w:rsidR="003831BC" w:rsidRPr="00FB0EF7" w14:paraId="6233B08C"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CA0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543E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E01021315</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A310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Basildon 018C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7EA6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FB0EF7">
              <w:rPr>
                <w:rFonts w:ascii="Century Gothic" w:eastAsia="Times New Roman" w:hAnsi="Century Gothic" w:cs="Calibri"/>
                <w:color w:val="000000"/>
                <w:sz w:val="18"/>
                <w:szCs w:val="18"/>
                <w:lang w:eastAsia="en-GB"/>
              </w:rPr>
              <w:t>Pitsea</w:t>
            </w:r>
            <w:proofErr w:type="spellEnd"/>
            <w:r w:rsidRPr="00FB0EF7">
              <w:rPr>
                <w:rFonts w:ascii="Century Gothic" w:eastAsia="Times New Roman" w:hAnsi="Century Gothic" w:cs="Calibri"/>
                <w:color w:val="000000"/>
                <w:sz w:val="18"/>
                <w:szCs w:val="18"/>
                <w:lang w:eastAsia="en-GB"/>
              </w:rPr>
              <w:t xml:space="preserve"> South East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7695A"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15A9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C415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3.75</w:t>
            </w:r>
          </w:p>
        </w:tc>
      </w:tr>
      <w:tr w:rsidR="003831BC" w:rsidRPr="00FB0EF7" w14:paraId="0267E9A4"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D40E"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19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C1E31"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E01021977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EF013"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 013C</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D0489"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FB0EF7">
              <w:rPr>
                <w:rFonts w:ascii="Century Gothic" w:eastAsia="Times New Roman" w:hAnsi="Century Gothic" w:cs="Calibri"/>
                <w:color w:val="000000"/>
                <w:sz w:val="18"/>
                <w:szCs w:val="18"/>
                <w:lang w:eastAsia="en-GB"/>
              </w:rPr>
              <w:t>Bockings</w:t>
            </w:r>
            <w:proofErr w:type="spellEnd"/>
            <w:r w:rsidRPr="00FB0EF7">
              <w:rPr>
                <w:rFonts w:ascii="Century Gothic" w:eastAsia="Times New Roman" w:hAnsi="Century Gothic" w:cs="Calibri"/>
                <w:color w:val="000000"/>
                <w:sz w:val="18"/>
                <w:szCs w:val="18"/>
                <w:lang w:eastAsia="en-GB"/>
              </w:rPr>
              <w:t xml:space="preserve"> Elm</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3CA85"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D267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A388A"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3.79</w:t>
            </w:r>
          </w:p>
        </w:tc>
      </w:tr>
      <w:tr w:rsidR="003831BC" w:rsidRPr="00FB0EF7" w14:paraId="37A8106C"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AF47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0984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E01021316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EA49F"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Basildon 018D</w:t>
            </w:r>
          </w:p>
        </w:tc>
        <w:tc>
          <w:tcPr>
            <w:tcW w:w="1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E56E2"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FB0EF7">
              <w:rPr>
                <w:rFonts w:ascii="Century Gothic" w:eastAsia="Times New Roman" w:hAnsi="Century Gothic" w:cs="Calibri"/>
                <w:color w:val="000000"/>
                <w:sz w:val="18"/>
                <w:szCs w:val="18"/>
                <w:lang w:eastAsia="en-GB"/>
              </w:rPr>
              <w:t>Pitsea</w:t>
            </w:r>
            <w:proofErr w:type="spellEnd"/>
            <w:r w:rsidRPr="00FB0EF7">
              <w:rPr>
                <w:rFonts w:ascii="Century Gothic" w:eastAsia="Times New Roman" w:hAnsi="Century Gothic" w:cs="Calibri"/>
                <w:color w:val="000000"/>
                <w:sz w:val="18"/>
                <w:szCs w:val="18"/>
                <w:lang w:eastAsia="en-GB"/>
              </w:rPr>
              <w:t xml:space="preserve"> South East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7DDF8"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B199C"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23716" w14:textId="77777777" w:rsidR="003831BC" w:rsidRPr="00FB0EF7" w:rsidRDefault="003831BC" w:rsidP="00DA302A">
            <w:pPr>
              <w:spacing w:after="0" w:line="240" w:lineRule="auto"/>
              <w:jc w:val="both"/>
              <w:rPr>
                <w:rFonts w:ascii="Century Gothic" w:eastAsia="Times New Roman" w:hAnsi="Century Gothic" w:cs="Calibri"/>
                <w:color w:val="000000"/>
                <w:sz w:val="18"/>
                <w:szCs w:val="18"/>
                <w:lang w:eastAsia="en-GB"/>
              </w:rPr>
            </w:pPr>
            <w:r w:rsidRPr="00FB0EF7">
              <w:rPr>
                <w:rFonts w:ascii="Century Gothic" w:eastAsia="Times New Roman" w:hAnsi="Century Gothic" w:cs="Calibri"/>
                <w:color w:val="000000"/>
                <w:sz w:val="18"/>
                <w:szCs w:val="18"/>
                <w:lang w:eastAsia="en-GB"/>
              </w:rPr>
              <w:t>3.80</w:t>
            </w:r>
          </w:p>
        </w:tc>
      </w:tr>
    </w:tbl>
    <w:p w14:paraId="458AD960" w14:textId="77777777" w:rsidR="003831BC" w:rsidRPr="00280067" w:rsidRDefault="003831BC" w:rsidP="003831BC">
      <w:pPr>
        <w:jc w:val="both"/>
        <w:rPr>
          <w:rFonts w:ascii="Century Gothic" w:hAnsi="Century Gothic"/>
          <w:sz w:val="22"/>
          <w:szCs w:val="22"/>
        </w:rPr>
      </w:pPr>
      <w:r>
        <w:rPr>
          <w:rFonts w:ascii="Century Gothic" w:hAnsi="Century Gothic"/>
          <w:sz w:val="22"/>
          <w:szCs w:val="22"/>
        </w:rPr>
        <w:br/>
      </w:r>
      <w:r w:rsidRPr="00280067">
        <w:rPr>
          <w:rFonts w:ascii="Century Gothic" w:hAnsi="Century Gothic"/>
          <w:sz w:val="22"/>
          <w:szCs w:val="22"/>
        </w:rPr>
        <w:t>The map below shows where each LSOA in Essex places nationally in our health decile. As outlined in the table above, the lowest scoring areas are found around Clacton and in central Basildon. Central Colchester, Braintree, the Maldon coast, most of Harlow, Canvey Island in Castle Point and Epping Forest’s London border are placed in deciles 4-6 for health.</w:t>
      </w:r>
    </w:p>
    <w:p w14:paraId="7AC1FF0E" w14:textId="77777777" w:rsidR="003831BC" w:rsidRDefault="003831BC" w:rsidP="003831BC">
      <w:pPr>
        <w:jc w:val="center"/>
        <w:rPr>
          <w:rFonts w:ascii="Century Gothic" w:hAnsi="Century Gothic"/>
          <w:b/>
          <w:bCs/>
        </w:rPr>
      </w:pPr>
      <w:r>
        <w:rPr>
          <w:noProof/>
        </w:rPr>
        <w:drawing>
          <wp:inline distT="0" distB="0" distL="0" distR="0" wp14:anchorId="577BED0D" wp14:editId="48420242">
            <wp:extent cx="4579620" cy="323100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9620" cy="3231001"/>
                    </a:xfrm>
                    <a:prstGeom prst="rect">
                      <a:avLst/>
                    </a:prstGeom>
                  </pic:spPr>
                </pic:pic>
              </a:graphicData>
            </a:graphic>
          </wp:inline>
        </w:drawing>
      </w:r>
    </w:p>
    <w:p w14:paraId="7F62AB5A"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How health ranks within Essex</w:t>
      </w:r>
    </w:p>
    <w:p w14:paraId="075491DC"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map below shows each Essex LSOA ranked from 1 to 872 depending on its health decile score, with 1 being the lowest health decile score, and 872 the highest. This allows us to see the spread of health inequalities on an Essex-specific scale.</w:t>
      </w:r>
    </w:p>
    <w:p w14:paraId="526C69A1" w14:textId="77777777" w:rsidR="003831BC" w:rsidRPr="00FD286B" w:rsidRDefault="003831BC" w:rsidP="003831BC">
      <w:pPr>
        <w:jc w:val="both"/>
        <w:rPr>
          <w:rFonts w:ascii="Century Gothic" w:hAnsi="Century Gothic"/>
          <w:b/>
          <w:bCs/>
        </w:rPr>
      </w:pPr>
      <w:r>
        <w:rPr>
          <w:noProof/>
        </w:rPr>
        <w:drawing>
          <wp:inline distT="0" distB="0" distL="0" distR="0" wp14:anchorId="275D8574" wp14:editId="49D5870F">
            <wp:extent cx="5731510" cy="40074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007485"/>
                    </a:xfrm>
                    <a:prstGeom prst="rect">
                      <a:avLst/>
                    </a:prstGeom>
                  </pic:spPr>
                </pic:pic>
              </a:graphicData>
            </a:graphic>
          </wp:inline>
        </w:drawing>
      </w:r>
    </w:p>
    <w:p w14:paraId="241D34FC" w14:textId="77777777" w:rsidR="003831BC" w:rsidRPr="003C548D" w:rsidRDefault="003831BC" w:rsidP="003831BC">
      <w:pPr>
        <w:jc w:val="both"/>
        <w:rPr>
          <w:rFonts w:ascii="Century Gothic" w:hAnsi="Century Gothic"/>
          <w:b/>
          <w:bCs/>
        </w:rPr>
      </w:pPr>
    </w:p>
    <w:p w14:paraId="0F8665D1"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17" w:name="_Toc50553599"/>
      <w:r>
        <w:rPr>
          <w:rFonts w:ascii="Century Gothic" w:hAnsi="Century Gothic"/>
          <w:b/>
          <w:bCs/>
          <w:i/>
          <w:iCs/>
          <w:color w:val="D8117D"/>
          <w:sz w:val="24"/>
          <w:szCs w:val="24"/>
        </w:rPr>
        <w:t>Economy</w:t>
      </w:r>
      <w:bookmarkEnd w:id="17"/>
    </w:p>
    <w:p w14:paraId="31FCB43B" w14:textId="77777777" w:rsidR="003831BC" w:rsidRDefault="003831BC" w:rsidP="003831BC">
      <w:pPr>
        <w:jc w:val="both"/>
      </w:pPr>
    </w:p>
    <w:p w14:paraId="469B02D7"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From the findings of our regression analysis, economic factors were the second biggest driver of physical inactivity.</w:t>
      </w:r>
    </w:p>
    <w:p w14:paraId="43C8CFEA"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On average, Essex scores 6.15 on economic indicators, higher than the national average of 5.44. The highest scores are found in Uttlesford (6.98), Brentwood (6.96) and Chelmsford (6.79). The lowest scores are found in the districts of Tendring (5.05), Harlow (5.16) and Basildon (5.86).</w:t>
      </w:r>
    </w:p>
    <w:p w14:paraId="09DD2DBC" w14:textId="77777777" w:rsidR="003831BC" w:rsidRDefault="003831BC" w:rsidP="003831BC">
      <w:pPr>
        <w:jc w:val="both"/>
        <w:rPr>
          <w:rFonts w:ascii="Century Gothic" w:hAnsi="Century Gothic"/>
          <w:b/>
          <w:bCs/>
        </w:rPr>
      </w:pPr>
    </w:p>
    <w:tbl>
      <w:tblPr>
        <w:tblW w:w="9386" w:type="dxa"/>
        <w:tblLook w:val="04A0" w:firstRow="1" w:lastRow="0" w:firstColumn="1" w:lastColumn="0" w:noHBand="0" w:noVBand="1"/>
      </w:tblPr>
      <w:tblGrid>
        <w:gridCol w:w="1413"/>
        <w:gridCol w:w="561"/>
        <w:gridCol w:w="561"/>
        <w:gridCol w:w="604"/>
        <w:gridCol w:w="561"/>
        <w:gridCol w:w="620"/>
        <w:gridCol w:w="578"/>
        <w:gridCol w:w="561"/>
        <w:gridCol w:w="561"/>
        <w:gridCol w:w="561"/>
        <w:gridCol w:w="561"/>
        <w:gridCol w:w="561"/>
        <w:gridCol w:w="561"/>
        <w:gridCol w:w="561"/>
        <w:gridCol w:w="561"/>
      </w:tblGrid>
      <w:tr w:rsidR="003831BC" w:rsidRPr="009848BB" w14:paraId="2727E2AF" w14:textId="77777777" w:rsidTr="00DA302A">
        <w:trPr>
          <w:cantSplit/>
          <w:trHeight w:val="1458"/>
        </w:trPr>
        <w:tc>
          <w:tcPr>
            <w:tcW w:w="1413" w:type="dxa"/>
            <w:tcBorders>
              <w:top w:val="nil"/>
              <w:left w:val="nil"/>
              <w:bottom w:val="nil"/>
              <w:right w:val="nil"/>
            </w:tcBorders>
            <w:shd w:val="clear" w:color="auto" w:fill="auto"/>
            <w:noWrap/>
            <w:vAlign w:val="bottom"/>
            <w:hideMark/>
          </w:tcPr>
          <w:p w14:paraId="05304417"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61" w:type="dxa"/>
            <w:tcBorders>
              <w:top w:val="nil"/>
              <w:left w:val="nil"/>
              <w:bottom w:val="nil"/>
              <w:right w:val="nil"/>
            </w:tcBorders>
            <w:shd w:val="clear" w:color="auto" w:fill="auto"/>
            <w:noWrap/>
            <w:textDirection w:val="tbRl"/>
            <w:vAlign w:val="bottom"/>
            <w:hideMark/>
          </w:tcPr>
          <w:p w14:paraId="27B0E21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61" w:type="dxa"/>
            <w:tcBorders>
              <w:top w:val="nil"/>
              <w:left w:val="nil"/>
              <w:bottom w:val="nil"/>
              <w:right w:val="nil"/>
            </w:tcBorders>
            <w:shd w:val="clear" w:color="auto" w:fill="auto"/>
            <w:noWrap/>
            <w:textDirection w:val="tbRl"/>
            <w:vAlign w:val="bottom"/>
            <w:hideMark/>
          </w:tcPr>
          <w:p w14:paraId="47DDC3D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604" w:type="dxa"/>
            <w:tcBorders>
              <w:top w:val="nil"/>
              <w:left w:val="nil"/>
              <w:bottom w:val="nil"/>
              <w:right w:val="nil"/>
            </w:tcBorders>
            <w:shd w:val="clear" w:color="auto" w:fill="auto"/>
            <w:noWrap/>
            <w:textDirection w:val="tbRl"/>
            <w:vAlign w:val="bottom"/>
            <w:hideMark/>
          </w:tcPr>
          <w:p w14:paraId="21AE561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61" w:type="dxa"/>
            <w:tcBorders>
              <w:top w:val="nil"/>
              <w:left w:val="nil"/>
              <w:bottom w:val="nil"/>
              <w:right w:val="nil"/>
            </w:tcBorders>
            <w:shd w:val="clear" w:color="auto" w:fill="auto"/>
            <w:noWrap/>
            <w:textDirection w:val="tbRl"/>
            <w:vAlign w:val="bottom"/>
            <w:hideMark/>
          </w:tcPr>
          <w:p w14:paraId="38295B1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20" w:type="dxa"/>
            <w:tcBorders>
              <w:top w:val="nil"/>
              <w:left w:val="nil"/>
              <w:bottom w:val="nil"/>
              <w:right w:val="nil"/>
            </w:tcBorders>
            <w:shd w:val="clear" w:color="auto" w:fill="auto"/>
            <w:noWrap/>
            <w:textDirection w:val="tbRl"/>
            <w:vAlign w:val="bottom"/>
            <w:hideMark/>
          </w:tcPr>
          <w:p w14:paraId="2597632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78" w:type="dxa"/>
            <w:tcBorders>
              <w:top w:val="nil"/>
              <w:left w:val="nil"/>
              <w:bottom w:val="nil"/>
              <w:right w:val="nil"/>
            </w:tcBorders>
            <w:shd w:val="clear" w:color="auto" w:fill="auto"/>
            <w:noWrap/>
            <w:textDirection w:val="tbRl"/>
            <w:vAlign w:val="bottom"/>
            <w:hideMark/>
          </w:tcPr>
          <w:p w14:paraId="3BC4CAE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61" w:type="dxa"/>
            <w:tcBorders>
              <w:top w:val="nil"/>
              <w:left w:val="nil"/>
              <w:bottom w:val="nil"/>
              <w:right w:val="nil"/>
            </w:tcBorders>
            <w:shd w:val="clear" w:color="auto" w:fill="auto"/>
            <w:noWrap/>
            <w:textDirection w:val="tbRl"/>
            <w:vAlign w:val="bottom"/>
            <w:hideMark/>
          </w:tcPr>
          <w:p w14:paraId="07A8EF0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61" w:type="dxa"/>
            <w:tcBorders>
              <w:top w:val="nil"/>
              <w:left w:val="nil"/>
              <w:bottom w:val="nil"/>
              <w:right w:val="nil"/>
            </w:tcBorders>
            <w:shd w:val="clear" w:color="auto" w:fill="auto"/>
            <w:noWrap/>
            <w:textDirection w:val="tbRl"/>
            <w:vAlign w:val="bottom"/>
            <w:hideMark/>
          </w:tcPr>
          <w:p w14:paraId="76E7146B"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61" w:type="dxa"/>
            <w:tcBorders>
              <w:top w:val="nil"/>
              <w:left w:val="nil"/>
              <w:bottom w:val="nil"/>
              <w:right w:val="nil"/>
            </w:tcBorders>
            <w:shd w:val="clear" w:color="auto" w:fill="auto"/>
            <w:noWrap/>
            <w:textDirection w:val="tbRl"/>
            <w:vAlign w:val="bottom"/>
            <w:hideMark/>
          </w:tcPr>
          <w:p w14:paraId="1A07392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61" w:type="dxa"/>
            <w:tcBorders>
              <w:top w:val="nil"/>
              <w:left w:val="nil"/>
              <w:bottom w:val="nil"/>
              <w:right w:val="nil"/>
            </w:tcBorders>
            <w:shd w:val="clear" w:color="auto" w:fill="auto"/>
            <w:noWrap/>
            <w:textDirection w:val="tbRl"/>
            <w:vAlign w:val="bottom"/>
            <w:hideMark/>
          </w:tcPr>
          <w:p w14:paraId="2228060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61" w:type="dxa"/>
            <w:tcBorders>
              <w:top w:val="nil"/>
              <w:left w:val="nil"/>
              <w:bottom w:val="nil"/>
              <w:right w:val="nil"/>
            </w:tcBorders>
            <w:shd w:val="clear" w:color="auto" w:fill="auto"/>
            <w:noWrap/>
            <w:textDirection w:val="tbRl"/>
            <w:vAlign w:val="bottom"/>
            <w:hideMark/>
          </w:tcPr>
          <w:p w14:paraId="747CF0B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61" w:type="dxa"/>
            <w:tcBorders>
              <w:top w:val="nil"/>
              <w:left w:val="nil"/>
              <w:bottom w:val="nil"/>
              <w:right w:val="single" w:sz="4" w:space="0" w:color="auto"/>
            </w:tcBorders>
            <w:shd w:val="clear" w:color="auto" w:fill="auto"/>
            <w:noWrap/>
            <w:textDirection w:val="tbRl"/>
            <w:vAlign w:val="bottom"/>
            <w:hideMark/>
          </w:tcPr>
          <w:p w14:paraId="782CA8E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61"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6459685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61" w:type="dxa"/>
            <w:tcBorders>
              <w:top w:val="single" w:sz="4" w:space="0" w:color="auto"/>
              <w:left w:val="single" w:sz="4" w:space="0" w:color="auto"/>
              <w:bottom w:val="single" w:sz="4" w:space="0" w:color="auto"/>
              <w:right w:val="single" w:sz="4" w:space="0" w:color="auto"/>
            </w:tcBorders>
            <w:textDirection w:val="tbRl"/>
          </w:tcPr>
          <w:p w14:paraId="550475CB"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2F5EA022" w14:textId="77777777" w:rsidTr="00DA302A">
        <w:trPr>
          <w:trHeight w:val="460"/>
        </w:trPr>
        <w:tc>
          <w:tcPr>
            <w:tcW w:w="1413" w:type="dxa"/>
            <w:tcBorders>
              <w:top w:val="nil"/>
              <w:left w:val="nil"/>
              <w:bottom w:val="nil"/>
              <w:right w:val="nil"/>
            </w:tcBorders>
            <w:shd w:val="clear" w:color="auto" w:fill="auto"/>
            <w:noWrap/>
            <w:vAlign w:val="bottom"/>
            <w:hideMark/>
          </w:tcPr>
          <w:p w14:paraId="403029AB" w14:textId="77777777" w:rsidR="003831BC" w:rsidRPr="009848BB" w:rsidRDefault="003831BC" w:rsidP="00DA302A">
            <w:pPr>
              <w:spacing w:after="0" w:line="240" w:lineRule="auto"/>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 xml:space="preserve">Economy </w:t>
            </w:r>
            <w:r w:rsidRPr="009848BB">
              <w:rPr>
                <w:rFonts w:ascii="Century Gothic" w:eastAsia="Times New Roman" w:hAnsi="Century Gothic" w:cs="Calibri"/>
                <w:color w:val="000000"/>
                <w:sz w:val="18"/>
                <w:szCs w:val="18"/>
                <w:lang w:eastAsia="en-GB"/>
              </w:rPr>
              <w:t>average decile</w:t>
            </w:r>
          </w:p>
        </w:tc>
        <w:tc>
          <w:tcPr>
            <w:tcW w:w="561" w:type="dxa"/>
            <w:tcBorders>
              <w:top w:val="nil"/>
              <w:left w:val="nil"/>
              <w:bottom w:val="nil"/>
              <w:right w:val="nil"/>
            </w:tcBorders>
            <w:shd w:val="clear" w:color="000000" w:fill="FCC37C"/>
            <w:noWrap/>
            <w:vAlign w:val="bottom"/>
            <w:hideMark/>
          </w:tcPr>
          <w:p w14:paraId="12BB53A6"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5.86</w:t>
            </w:r>
          </w:p>
        </w:tc>
        <w:tc>
          <w:tcPr>
            <w:tcW w:w="561" w:type="dxa"/>
            <w:tcBorders>
              <w:top w:val="nil"/>
              <w:left w:val="nil"/>
              <w:bottom w:val="nil"/>
              <w:right w:val="nil"/>
            </w:tcBorders>
            <w:shd w:val="clear" w:color="000000" w:fill="FEDF81"/>
            <w:noWrap/>
            <w:vAlign w:val="bottom"/>
            <w:hideMark/>
          </w:tcPr>
          <w:p w14:paraId="3784C891"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6.10</w:t>
            </w:r>
          </w:p>
        </w:tc>
        <w:tc>
          <w:tcPr>
            <w:tcW w:w="604" w:type="dxa"/>
            <w:tcBorders>
              <w:top w:val="nil"/>
              <w:left w:val="nil"/>
              <w:bottom w:val="nil"/>
              <w:right w:val="nil"/>
            </w:tcBorders>
            <w:shd w:val="clear" w:color="000000" w:fill="68C07C"/>
            <w:noWrap/>
            <w:vAlign w:val="bottom"/>
            <w:hideMark/>
          </w:tcPr>
          <w:p w14:paraId="7C0F4487"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6.96</w:t>
            </w:r>
          </w:p>
        </w:tc>
        <w:tc>
          <w:tcPr>
            <w:tcW w:w="561" w:type="dxa"/>
            <w:tcBorders>
              <w:top w:val="nil"/>
              <w:left w:val="nil"/>
              <w:bottom w:val="nil"/>
              <w:right w:val="nil"/>
            </w:tcBorders>
            <w:shd w:val="clear" w:color="000000" w:fill="FEDE81"/>
            <w:noWrap/>
            <w:vAlign w:val="bottom"/>
            <w:hideMark/>
          </w:tcPr>
          <w:p w14:paraId="70C4F7C9"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6.10</w:t>
            </w:r>
          </w:p>
        </w:tc>
        <w:tc>
          <w:tcPr>
            <w:tcW w:w="620" w:type="dxa"/>
            <w:tcBorders>
              <w:top w:val="nil"/>
              <w:left w:val="nil"/>
              <w:bottom w:val="nil"/>
              <w:right w:val="nil"/>
            </w:tcBorders>
            <w:shd w:val="clear" w:color="000000" w:fill="8BCA7E"/>
            <w:noWrap/>
            <w:vAlign w:val="bottom"/>
            <w:hideMark/>
          </w:tcPr>
          <w:p w14:paraId="4F62C6E4"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6.79</w:t>
            </w:r>
          </w:p>
        </w:tc>
        <w:tc>
          <w:tcPr>
            <w:tcW w:w="578" w:type="dxa"/>
            <w:tcBorders>
              <w:top w:val="nil"/>
              <w:left w:val="nil"/>
              <w:bottom w:val="nil"/>
              <w:right w:val="nil"/>
            </w:tcBorders>
            <w:shd w:val="clear" w:color="000000" w:fill="FED880"/>
            <w:noWrap/>
            <w:vAlign w:val="bottom"/>
            <w:hideMark/>
          </w:tcPr>
          <w:p w14:paraId="1B74EFD3"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6.05</w:t>
            </w:r>
          </w:p>
        </w:tc>
        <w:tc>
          <w:tcPr>
            <w:tcW w:w="561" w:type="dxa"/>
            <w:tcBorders>
              <w:top w:val="nil"/>
              <w:left w:val="nil"/>
              <w:bottom w:val="nil"/>
              <w:right w:val="nil"/>
            </w:tcBorders>
            <w:shd w:val="clear" w:color="000000" w:fill="C8DB81"/>
            <w:noWrap/>
            <w:vAlign w:val="bottom"/>
            <w:hideMark/>
          </w:tcPr>
          <w:p w14:paraId="702120B4"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6.49</w:t>
            </w:r>
          </w:p>
        </w:tc>
        <w:tc>
          <w:tcPr>
            <w:tcW w:w="561" w:type="dxa"/>
            <w:tcBorders>
              <w:top w:val="nil"/>
              <w:left w:val="nil"/>
              <w:bottom w:val="nil"/>
              <w:right w:val="nil"/>
            </w:tcBorders>
            <w:shd w:val="clear" w:color="000000" w:fill="F8756D"/>
            <w:noWrap/>
            <w:vAlign w:val="bottom"/>
            <w:hideMark/>
          </w:tcPr>
          <w:p w14:paraId="41F09C4A"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5.16</w:t>
            </w:r>
          </w:p>
        </w:tc>
        <w:tc>
          <w:tcPr>
            <w:tcW w:w="561" w:type="dxa"/>
            <w:tcBorders>
              <w:top w:val="nil"/>
              <w:left w:val="nil"/>
              <w:bottom w:val="nil"/>
              <w:right w:val="nil"/>
            </w:tcBorders>
            <w:shd w:val="clear" w:color="000000" w:fill="EAE583"/>
            <w:noWrap/>
            <w:vAlign w:val="bottom"/>
            <w:hideMark/>
          </w:tcPr>
          <w:p w14:paraId="46A8A94F"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6.32</w:t>
            </w:r>
          </w:p>
        </w:tc>
        <w:tc>
          <w:tcPr>
            <w:tcW w:w="561" w:type="dxa"/>
            <w:tcBorders>
              <w:top w:val="nil"/>
              <w:left w:val="nil"/>
              <w:bottom w:val="nil"/>
              <w:right w:val="nil"/>
            </w:tcBorders>
            <w:shd w:val="clear" w:color="000000" w:fill="BAD780"/>
            <w:noWrap/>
            <w:vAlign w:val="bottom"/>
            <w:hideMark/>
          </w:tcPr>
          <w:p w14:paraId="4F742127"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6.56</w:t>
            </w:r>
          </w:p>
        </w:tc>
        <w:tc>
          <w:tcPr>
            <w:tcW w:w="561" w:type="dxa"/>
            <w:tcBorders>
              <w:top w:val="nil"/>
              <w:left w:val="nil"/>
              <w:bottom w:val="nil"/>
              <w:right w:val="nil"/>
            </w:tcBorders>
            <w:shd w:val="clear" w:color="000000" w:fill="F8696B"/>
            <w:noWrap/>
            <w:vAlign w:val="bottom"/>
            <w:hideMark/>
          </w:tcPr>
          <w:p w14:paraId="3528ACC3"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5.05</w:t>
            </w:r>
          </w:p>
        </w:tc>
        <w:tc>
          <w:tcPr>
            <w:tcW w:w="561" w:type="dxa"/>
            <w:tcBorders>
              <w:top w:val="nil"/>
              <w:left w:val="nil"/>
              <w:bottom w:val="nil"/>
              <w:right w:val="nil"/>
            </w:tcBorders>
            <w:shd w:val="clear" w:color="000000" w:fill="63BE7B"/>
            <w:noWrap/>
            <w:vAlign w:val="bottom"/>
            <w:hideMark/>
          </w:tcPr>
          <w:p w14:paraId="74787546"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alibri" w:hAnsi="Calibri" w:cs="Calibri"/>
                <w:color w:val="000000"/>
                <w:sz w:val="18"/>
                <w:szCs w:val="18"/>
              </w:rPr>
              <w:t>6.98</w:t>
            </w:r>
          </w:p>
        </w:tc>
        <w:tc>
          <w:tcPr>
            <w:tcW w:w="561" w:type="dxa"/>
            <w:tcBorders>
              <w:top w:val="nil"/>
              <w:left w:val="nil"/>
              <w:bottom w:val="nil"/>
              <w:right w:val="nil"/>
            </w:tcBorders>
            <w:shd w:val="clear" w:color="auto" w:fill="auto"/>
            <w:noWrap/>
            <w:vAlign w:val="bottom"/>
            <w:hideMark/>
          </w:tcPr>
          <w:p w14:paraId="4C3806B9" w14:textId="77777777" w:rsidR="003831BC" w:rsidRPr="00720B41"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720B41">
              <w:rPr>
                <w:rFonts w:ascii="Calibri" w:hAnsi="Calibri" w:cs="Calibri"/>
                <w:b/>
                <w:bCs/>
                <w:color w:val="000000"/>
                <w:sz w:val="18"/>
                <w:szCs w:val="18"/>
              </w:rPr>
              <w:t>6.15</w:t>
            </w:r>
          </w:p>
        </w:tc>
        <w:tc>
          <w:tcPr>
            <w:tcW w:w="561" w:type="dxa"/>
            <w:tcBorders>
              <w:top w:val="nil"/>
              <w:left w:val="nil"/>
              <w:bottom w:val="nil"/>
              <w:right w:val="nil"/>
            </w:tcBorders>
            <w:vAlign w:val="bottom"/>
          </w:tcPr>
          <w:p w14:paraId="1C66D0A2" w14:textId="77777777" w:rsidR="003831BC" w:rsidRPr="00720B41" w:rsidRDefault="003831BC" w:rsidP="00DA302A">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5.44</w:t>
            </w:r>
          </w:p>
        </w:tc>
      </w:tr>
    </w:tbl>
    <w:p w14:paraId="5C32048D" w14:textId="77777777" w:rsidR="003831BC" w:rsidRDefault="003831BC" w:rsidP="003831BC">
      <w:pPr>
        <w:jc w:val="both"/>
        <w:rPr>
          <w:rFonts w:ascii="Century Gothic" w:hAnsi="Century Gothic"/>
          <w:b/>
          <w:bCs/>
        </w:rPr>
      </w:pPr>
    </w:p>
    <w:p w14:paraId="05E58B04"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How Essex LSOAs score nationally for economy</w:t>
      </w:r>
    </w:p>
    <w:p w14:paraId="5212BA3F"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The table below shows 20 LSOAs in Essex which score the lowest on economic indicators. The areas which experience the biggest challenges relating to the local economy are largely found in both Tendring and Basildon. Despite the Harlow district having the second lowest average economic score, no Harlow LSOAs are present in the top 20. The lowest scoring area in economic indicators </w:t>
      </w:r>
      <w:proofErr w:type="gramStart"/>
      <w:r w:rsidRPr="00280067">
        <w:rPr>
          <w:rFonts w:ascii="Century Gothic" w:hAnsi="Century Gothic"/>
          <w:sz w:val="22"/>
          <w:szCs w:val="22"/>
        </w:rPr>
        <w:t>is located in</w:t>
      </w:r>
      <w:proofErr w:type="gramEnd"/>
      <w:r w:rsidRPr="00280067">
        <w:rPr>
          <w:rFonts w:ascii="Century Gothic" w:hAnsi="Century Gothic"/>
          <w:sz w:val="22"/>
          <w:szCs w:val="22"/>
        </w:rPr>
        <w:t xml:space="preserve"> the </w:t>
      </w:r>
      <w:proofErr w:type="spellStart"/>
      <w:r w:rsidRPr="00280067">
        <w:rPr>
          <w:rFonts w:ascii="Century Gothic" w:hAnsi="Century Gothic"/>
          <w:sz w:val="22"/>
          <w:szCs w:val="22"/>
        </w:rPr>
        <w:t>Fyrerns</w:t>
      </w:r>
      <w:proofErr w:type="spellEnd"/>
      <w:r w:rsidRPr="00280067">
        <w:rPr>
          <w:rFonts w:ascii="Century Gothic" w:hAnsi="Century Gothic"/>
          <w:sz w:val="22"/>
          <w:szCs w:val="22"/>
        </w:rPr>
        <w:t xml:space="preserve"> ward in Basildon.</w:t>
      </w:r>
    </w:p>
    <w:p w14:paraId="337FD9A8"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 xml:space="preserve">All these LSOAs are placed in deciles 1-4 of the 2019 Indices of Deprivation, </w:t>
      </w:r>
      <w:proofErr w:type="gramStart"/>
      <w:r w:rsidRPr="00280067">
        <w:rPr>
          <w:rFonts w:ascii="Century Gothic" w:hAnsi="Century Gothic"/>
          <w:sz w:val="22"/>
          <w:szCs w:val="22"/>
        </w:rPr>
        <w:t>with the exception of</w:t>
      </w:r>
      <w:proofErr w:type="gramEnd"/>
      <w:r w:rsidRPr="00280067">
        <w:rPr>
          <w:rFonts w:ascii="Century Gothic" w:hAnsi="Century Gothic"/>
          <w:sz w:val="22"/>
          <w:szCs w:val="22"/>
        </w:rPr>
        <w:t xml:space="preserve"> one LSOA in the ward of </w:t>
      </w:r>
      <w:proofErr w:type="spellStart"/>
      <w:r w:rsidRPr="00280067">
        <w:rPr>
          <w:rFonts w:ascii="Century Gothic" w:hAnsi="Century Gothic"/>
          <w:sz w:val="22"/>
          <w:szCs w:val="22"/>
        </w:rPr>
        <w:t>Bockings</w:t>
      </w:r>
      <w:proofErr w:type="spellEnd"/>
      <w:r w:rsidRPr="00280067">
        <w:rPr>
          <w:rFonts w:ascii="Century Gothic" w:hAnsi="Century Gothic"/>
          <w:sz w:val="22"/>
          <w:szCs w:val="22"/>
        </w:rPr>
        <w:t xml:space="preserve"> Elm in Tendring, which is in decile 5.</w:t>
      </w:r>
    </w:p>
    <w:tbl>
      <w:tblPr>
        <w:tblW w:w="8713" w:type="dxa"/>
        <w:jc w:val="center"/>
        <w:tblLook w:val="04A0" w:firstRow="1" w:lastRow="0" w:firstColumn="1" w:lastColumn="0" w:noHBand="0" w:noVBand="1"/>
      </w:tblPr>
      <w:tblGrid>
        <w:gridCol w:w="960"/>
        <w:gridCol w:w="1111"/>
        <w:gridCol w:w="1596"/>
        <w:gridCol w:w="1954"/>
        <w:gridCol w:w="1092"/>
        <w:gridCol w:w="960"/>
        <w:gridCol w:w="1040"/>
      </w:tblGrid>
      <w:tr w:rsidR="003831BC" w:rsidRPr="00893662" w14:paraId="7DC12194" w14:textId="77777777" w:rsidTr="00DA302A">
        <w:trPr>
          <w:trHeight w:val="288"/>
          <w:jc w:val="center"/>
        </w:trPr>
        <w:tc>
          <w:tcPr>
            <w:tcW w:w="960" w:type="dxa"/>
            <w:tcBorders>
              <w:top w:val="nil"/>
              <w:left w:val="nil"/>
              <w:bottom w:val="single" w:sz="4" w:space="0" w:color="auto"/>
              <w:right w:val="nil"/>
            </w:tcBorders>
            <w:shd w:val="clear" w:color="auto" w:fill="auto"/>
            <w:noWrap/>
            <w:vAlign w:val="bottom"/>
            <w:hideMark/>
          </w:tcPr>
          <w:p w14:paraId="4ACDC28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Theme Rank</w:t>
            </w:r>
          </w:p>
        </w:tc>
        <w:tc>
          <w:tcPr>
            <w:tcW w:w="1111" w:type="dxa"/>
            <w:tcBorders>
              <w:top w:val="nil"/>
              <w:left w:val="nil"/>
              <w:bottom w:val="single" w:sz="4" w:space="0" w:color="auto"/>
              <w:right w:val="nil"/>
            </w:tcBorders>
            <w:shd w:val="clear" w:color="auto" w:fill="auto"/>
            <w:noWrap/>
            <w:vAlign w:val="bottom"/>
            <w:hideMark/>
          </w:tcPr>
          <w:p w14:paraId="52AD376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LSOA Code</w:t>
            </w:r>
          </w:p>
        </w:tc>
        <w:tc>
          <w:tcPr>
            <w:tcW w:w="1596" w:type="dxa"/>
            <w:tcBorders>
              <w:top w:val="nil"/>
              <w:left w:val="nil"/>
              <w:bottom w:val="single" w:sz="4" w:space="0" w:color="auto"/>
              <w:right w:val="nil"/>
            </w:tcBorders>
            <w:shd w:val="clear" w:color="auto" w:fill="auto"/>
            <w:noWrap/>
            <w:vAlign w:val="bottom"/>
            <w:hideMark/>
          </w:tcPr>
          <w:p w14:paraId="5A3302E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LSOA Name</w:t>
            </w:r>
          </w:p>
        </w:tc>
        <w:tc>
          <w:tcPr>
            <w:tcW w:w="1954" w:type="dxa"/>
            <w:tcBorders>
              <w:top w:val="nil"/>
              <w:left w:val="nil"/>
              <w:bottom w:val="single" w:sz="4" w:space="0" w:color="auto"/>
              <w:right w:val="nil"/>
            </w:tcBorders>
            <w:shd w:val="clear" w:color="auto" w:fill="auto"/>
            <w:noWrap/>
            <w:vAlign w:val="bottom"/>
            <w:hideMark/>
          </w:tcPr>
          <w:p w14:paraId="7203DA6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Ward</w:t>
            </w:r>
          </w:p>
        </w:tc>
        <w:tc>
          <w:tcPr>
            <w:tcW w:w="1092" w:type="dxa"/>
            <w:tcBorders>
              <w:top w:val="nil"/>
              <w:left w:val="nil"/>
              <w:bottom w:val="single" w:sz="4" w:space="0" w:color="auto"/>
              <w:right w:val="nil"/>
            </w:tcBorders>
            <w:shd w:val="clear" w:color="auto" w:fill="auto"/>
            <w:noWrap/>
            <w:vAlign w:val="bottom"/>
            <w:hideMark/>
          </w:tcPr>
          <w:p w14:paraId="18DF2E0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LA Name</w:t>
            </w:r>
          </w:p>
        </w:tc>
        <w:tc>
          <w:tcPr>
            <w:tcW w:w="960" w:type="dxa"/>
            <w:tcBorders>
              <w:top w:val="nil"/>
              <w:left w:val="nil"/>
              <w:bottom w:val="single" w:sz="4" w:space="0" w:color="auto"/>
              <w:right w:val="nil"/>
            </w:tcBorders>
            <w:shd w:val="clear" w:color="auto" w:fill="auto"/>
            <w:noWrap/>
            <w:vAlign w:val="bottom"/>
            <w:hideMark/>
          </w:tcPr>
          <w:p w14:paraId="44F5F02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IMD 2019 decile</w:t>
            </w:r>
          </w:p>
        </w:tc>
        <w:tc>
          <w:tcPr>
            <w:tcW w:w="1040" w:type="dxa"/>
            <w:tcBorders>
              <w:top w:val="nil"/>
              <w:left w:val="nil"/>
              <w:bottom w:val="single" w:sz="4" w:space="0" w:color="auto"/>
              <w:right w:val="nil"/>
            </w:tcBorders>
            <w:shd w:val="clear" w:color="auto" w:fill="auto"/>
            <w:noWrap/>
            <w:vAlign w:val="bottom"/>
            <w:hideMark/>
          </w:tcPr>
          <w:p w14:paraId="2A0ADCB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Economy Average</w:t>
            </w:r>
          </w:p>
        </w:tc>
      </w:tr>
      <w:tr w:rsidR="003831BC" w:rsidRPr="00893662" w14:paraId="286E4D43"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1C3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0F76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E01021271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FA4F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013A</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7CE2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Fryerns</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C79E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E1EB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0D2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2.08</w:t>
            </w:r>
          </w:p>
        </w:tc>
      </w:tr>
      <w:tr w:rsidR="003831BC" w:rsidRPr="00893662" w14:paraId="36083A50"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6D0B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D4D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E01022024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C822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015B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97BE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 xml:space="preserve">Peter </w:t>
            </w:r>
            <w:proofErr w:type="spellStart"/>
            <w:r w:rsidRPr="00893662">
              <w:rPr>
                <w:rFonts w:ascii="Century Gothic" w:eastAsia="Times New Roman" w:hAnsi="Century Gothic" w:cs="Calibri"/>
                <w:color w:val="000000"/>
                <w:sz w:val="18"/>
                <w:szCs w:val="18"/>
                <w:lang w:eastAsia="en-GB"/>
              </w:rPr>
              <w:t>Bruff</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39BD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F880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1B84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2.67</w:t>
            </w:r>
          </w:p>
        </w:tc>
      </w:tr>
      <w:tr w:rsidR="003831BC" w:rsidRPr="00893662" w14:paraId="38243130"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1EED1"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CD5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E01021286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A2A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016A</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FE00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Lee Chapel North</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445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72CA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99A6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3.00</w:t>
            </w:r>
          </w:p>
        </w:tc>
      </w:tr>
      <w:tr w:rsidR="003831BC" w:rsidRPr="00893662" w14:paraId="4ED4EC95"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FCFE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6FBF3"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E01021975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C73D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013A</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5D64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Bockings</w:t>
            </w:r>
            <w:proofErr w:type="spellEnd"/>
            <w:r w:rsidRPr="00893662">
              <w:rPr>
                <w:rFonts w:ascii="Century Gothic" w:eastAsia="Times New Roman" w:hAnsi="Century Gothic" w:cs="Calibri"/>
                <w:color w:val="000000"/>
                <w:sz w:val="18"/>
                <w:szCs w:val="18"/>
                <w:lang w:eastAsia="en-GB"/>
              </w:rPr>
              <w:t xml:space="preserve"> Elm</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A385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0D38"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7C60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3.00</w:t>
            </w:r>
          </w:p>
        </w:tc>
      </w:tr>
      <w:tr w:rsidR="003831BC" w:rsidRPr="00893662" w14:paraId="0AC4BA7F"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4FBA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7023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E01021302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DF6C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013B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17D4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Pitsea</w:t>
            </w:r>
            <w:proofErr w:type="spellEnd"/>
            <w:r w:rsidRPr="00893662">
              <w:rPr>
                <w:rFonts w:ascii="Century Gothic" w:eastAsia="Times New Roman" w:hAnsi="Century Gothic" w:cs="Calibri"/>
                <w:color w:val="000000"/>
                <w:sz w:val="18"/>
                <w:szCs w:val="18"/>
                <w:lang w:eastAsia="en-GB"/>
              </w:rPr>
              <w:t xml:space="preserve"> North West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0A54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5D9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365C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3.08</w:t>
            </w:r>
          </w:p>
        </w:tc>
      </w:tr>
      <w:tr w:rsidR="003831BC" w:rsidRPr="00893662" w14:paraId="75167EE6"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51E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92A5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E01021304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9F9E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013C</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5433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Pitsea</w:t>
            </w:r>
            <w:proofErr w:type="spellEnd"/>
            <w:r w:rsidRPr="00893662">
              <w:rPr>
                <w:rFonts w:ascii="Century Gothic" w:eastAsia="Times New Roman" w:hAnsi="Century Gothic" w:cs="Calibri"/>
                <w:color w:val="000000"/>
                <w:sz w:val="18"/>
                <w:szCs w:val="18"/>
                <w:lang w:eastAsia="en-GB"/>
              </w:rPr>
              <w:t xml:space="preserve"> North West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0CAE8"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5010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4F56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3.17</w:t>
            </w:r>
          </w:p>
        </w:tc>
      </w:tr>
      <w:tr w:rsidR="003831BC" w:rsidRPr="00893662" w14:paraId="751D7D4A"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F36A3"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FF97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E01022030</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0F8A8"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015C</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1CF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Rush Green</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45E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815C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818D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3.17</w:t>
            </w:r>
          </w:p>
        </w:tc>
      </w:tr>
      <w:tr w:rsidR="003831BC" w:rsidRPr="00893662" w14:paraId="6E5B3A6E"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7EE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C9FD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E01022023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B9DC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015A</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052A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 xml:space="preserve">Peter </w:t>
            </w:r>
            <w:proofErr w:type="spellStart"/>
            <w:r w:rsidRPr="00893662">
              <w:rPr>
                <w:rFonts w:ascii="Century Gothic" w:eastAsia="Times New Roman" w:hAnsi="Century Gothic" w:cs="Calibri"/>
                <w:color w:val="000000"/>
                <w:sz w:val="18"/>
                <w:szCs w:val="18"/>
                <w:lang w:eastAsia="en-GB"/>
              </w:rPr>
              <w:t>Bruff</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0ABF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1A48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26EA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3.33</w:t>
            </w:r>
          </w:p>
        </w:tc>
      </w:tr>
      <w:tr w:rsidR="003831BC" w:rsidRPr="00893662" w14:paraId="632F4F75"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D784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C58C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E01021486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645A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Castle Point 010B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AC11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Canvey Island Central</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EED7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Castle Point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F09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5202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3.42</w:t>
            </w:r>
          </w:p>
        </w:tc>
      </w:tr>
      <w:tr w:rsidR="003831BC" w:rsidRPr="00893662" w14:paraId="43A6D2C2"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82CC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B5A2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E01021288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BEB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016B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875C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Lee Chapel North</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B761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F051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1F813"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3.42</w:t>
            </w:r>
          </w:p>
        </w:tc>
      </w:tr>
      <w:tr w:rsidR="003831BC" w:rsidRPr="00893662" w14:paraId="61E2A25B"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03ED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8445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E01021306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32701"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013E</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C4A4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Pitsea</w:t>
            </w:r>
            <w:proofErr w:type="spellEnd"/>
            <w:r w:rsidRPr="00893662">
              <w:rPr>
                <w:rFonts w:ascii="Century Gothic" w:eastAsia="Times New Roman" w:hAnsi="Century Gothic" w:cs="Calibri"/>
                <w:color w:val="000000"/>
                <w:sz w:val="18"/>
                <w:szCs w:val="18"/>
                <w:lang w:eastAsia="en-GB"/>
              </w:rPr>
              <w:t xml:space="preserve"> North West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B25E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98553"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CB7C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3.42</w:t>
            </w:r>
          </w:p>
        </w:tc>
      </w:tr>
      <w:tr w:rsidR="003831BC" w:rsidRPr="00893662" w14:paraId="3CB66F0E"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B7A3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12</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B6A50"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E01021976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A67F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013B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32D9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Bockings</w:t>
            </w:r>
            <w:proofErr w:type="spellEnd"/>
            <w:r w:rsidRPr="00893662">
              <w:rPr>
                <w:rFonts w:ascii="Century Gothic" w:eastAsia="Times New Roman" w:hAnsi="Century Gothic" w:cs="Calibri"/>
                <w:color w:val="000000"/>
                <w:sz w:val="18"/>
                <w:szCs w:val="18"/>
                <w:lang w:eastAsia="en-GB"/>
              </w:rPr>
              <w:t xml:space="preserve"> Elm</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9094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568D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4ED7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3.42</w:t>
            </w:r>
          </w:p>
        </w:tc>
      </w:tr>
      <w:tr w:rsidR="003831BC" w:rsidRPr="00893662" w14:paraId="4E050CD9"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F45E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13</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A66C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E01022036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56CF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017C</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C13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St James</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EC02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FBD6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6C6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3.50</w:t>
            </w:r>
          </w:p>
        </w:tc>
      </w:tr>
      <w:tr w:rsidR="003831BC" w:rsidRPr="00893662" w14:paraId="0E8DFD17"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ACD7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14</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9A9B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E01021988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FEC7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018A</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E3D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Golf Green</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512B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CAFC1"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F69E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3.58</w:t>
            </w:r>
          </w:p>
        </w:tc>
      </w:tr>
      <w:tr w:rsidR="003831BC" w:rsidRPr="00893662" w14:paraId="2AF0AD26"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03B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36631"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E01022031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43B71"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015D</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94F7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Rush Green</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6EC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0E72"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822E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3.58</w:t>
            </w:r>
          </w:p>
        </w:tc>
      </w:tr>
      <w:tr w:rsidR="003831BC" w:rsidRPr="00893662" w14:paraId="2135F262"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F567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5980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E01021977</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7362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013C</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5C45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Bockings</w:t>
            </w:r>
            <w:proofErr w:type="spellEnd"/>
            <w:r w:rsidRPr="00893662">
              <w:rPr>
                <w:rFonts w:ascii="Century Gothic" w:eastAsia="Times New Roman" w:hAnsi="Century Gothic" w:cs="Calibri"/>
                <w:color w:val="000000"/>
                <w:sz w:val="18"/>
                <w:szCs w:val="18"/>
                <w:lang w:eastAsia="en-GB"/>
              </w:rPr>
              <w:t xml:space="preserve"> Elm</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B458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838A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1E68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3.58</w:t>
            </w:r>
          </w:p>
        </w:tc>
      </w:tr>
      <w:tr w:rsidR="003831BC" w:rsidRPr="00893662" w14:paraId="106C236D"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0608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5284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E01022032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8612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015E</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D1C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Rush Green</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3E3D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85E1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478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3.58</w:t>
            </w:r>
          </w:p>
        </w:tc>
      </w:tr>
      <w:tr w:rsidR="003831BC" w:rsidRPr="00893662" w14:paraId="10A64C96"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7C45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44335"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E01021969</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F68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 017B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9AF8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Alton Park</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FB73E"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5A04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02E7"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3.58</w:t>
            </w:r>
          </w:p>
        </w:tc>
      </w:tr>
      <w:tr w:rsidR="003831BC" w:rsidRPr="00893662" w14:paraId="7CE71B0D"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4C2D9"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3ED0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E01021290</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ECFB"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016D</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52A2F"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Lee Chapel North</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00E1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A3B7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8F2C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3.67</w:t>
            </w:r>
          </w:p>
        </w:tc>
      </w:tr>
      <w:tr w:rsidR="003831BC" w:rsidRPr="00893662" w14:paraId="7372BA3B" w14:textId="77777777" w:rsidTr="00DA302A">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5C2A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A318C"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E01021314</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BCBBD"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 018B</w:t>
            </w: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3B926"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893662">
              <w:rPr>
                <w:rFonts w:ascii="Century Gothic" w:eastAsia="Times New Roman" w:hAnsi="Century Gothic" w:cs="Calibri"/>
                <w:color w:val="000000"/>
                <w:sz w:val="18"/>
                <w:szCs w:val="18"/>
                <w:lang w:eastAsia="en-GB"/>
              </w:rPr>
              <w:t>Pitsea</w:t>
            </w:r>
            <w:proofErr w:type="spellEnd"/>
            <w:r w:rsidRPr="00893662">
              <w:rPr>
                <w:rFonts w:ascii="Century Gothic" w:eastAsia="Times New Roman" w:hAnsi="Century Gothic" w:cs="Calibri"/>
                <w:color w:val="000000"/>
                <w:sz w:val="18"/>
                <w:szCs w:val="18"/>
                <w:lang w:eastAsia="en-GB"/>
              </w:rPr>
              <w:t xml:space="preserve"> South East</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2B614"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FFDDA"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A4CD8" w14:textId="77777777" w:rsidR="003831BC" w:rsidRPr="00893662" w:rsidRDefault="003831BC" w:rsidP="00DA302A">
            <w:pPr>
              <w:spacing w:after="0" w:line="240" w:lineRule="auto"/>
              <w:jc w:val="both"/>
              <w:rPr>
                <w:rFonts w:ascii="Century Gothic" w:eastAsia="Times New Roman" w:hAnsi="Century Gothic" w:cs="Calibri"/>
                <w:color w:val="000000"/>
                <w:sz w:val="18"/>
                <w:szCs w:val="18"/>
                <w:lang w:eastAsia="en-GB"/>
              </w:rPr>
            </w:pPr>
            <w:r w:rsidRPr="00893662">
              <w:rPr>
                <w:rFonts w:ascii="Century Gothic" w:eastAsia="Times New Roman" w:hAnsi="Century Gothic" w:cs="Calibri"/>
                <w:color w:val="000000"/>
                <w:sz w:val="18"/>
                <w:szCs w:val="18"/>
                <w:lang w:eastAsia="en-GB"/>
              </w:rPr>
              <w:t>3.67</w:t>
            </w:r>
          </w:p>
        </w:tc>
      </w:tr>
    </w:tbl>
    <w:p w14:paraId="135F5961" w14:textId="77777777" w:rsidR="003831BC" w:rsidRDefault="003831BC" w:rsidP="003831BC">
      <w:pPr>
        <w:jc w:val="both"/>
        <w:rPr>
          <w:rFonts w:ascii="Century Gothic" w:hAnsi="Century Gothic"/>
          <w:b/>
          <w:bCs/>
        </w:rPr>
      </w:pPr>
    </w:p>
    <w:p w14:paraId="4BF4A01A"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map below shows where each LSOA in Essex places nationally in our economy decile. As outlined in the table above, the lowest scoring areas are found on the Tendring coast, and in central Basildon. Harlow and LSOAs on the outskirts of Colchester town centre also score low, with pockets of low scoring areas also appearing in Castle Point, Braintree, Rochford, Epping Forest and Maldon.</w:t>
      </w:r>
    </w:p>
    <w:p w14:paraId="02AED253" w14:textId="77777777" w:rsidR="003831BC" w:rsidRDefault="003831BC" w:rsidP="003831BC">
      <w:pPr>
        <w:jc w:val="both"/>
        <w:rPr>
          <w:rFonts w:ascii="Century Gothic" w:hAnsi="Century Gothic"/>
          <w:b/>
          <w:bCs/>
        </w:rPr>
      </w:pPr>
    </w:p>
    <w:p w14:paraId="07C77B92" w14:textId="77777777" w:rsidR="003831BC" w:rsidRDefault="003831BC" w:rsidP="003831BC">
      <w:pPr>
        <w:jc w:val="center"/>
        <w:rPr>
          <w:rFonts w:ascii="Century Gothic" w:hAnsi="Century Gothic"/>
          <w:b/>
          <w:bCs/>
        </w:rPr>
      </w:pPr>
      <w:r>
        <w:rPr>
          <w:noProof/>
        </w:rPr>
        <w:drawing>
          <wp:inline distT="0" distB="0" distL="0" distR="0" wp14:anchorId="1FAB3513" wp14:editId="061FDF97">
            <wp:extent cx="5145034" cy="3604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0648" cy="3608193"/>
                    </a:xfrm>
                    <a:prstGeom prst="rect">
                      <a:avLst/>
                    </a:prstGeom>
                  </pic:spPr>
                </pic:pic>
              </a:graphicData>
            </a:graphic>
          </wp:inline>
        </w:drawing>
      </w:r>
    </w:p>
    <w:p w14:paraId="0ADC331D" w14:textId="77777777" w:rsidR="003831BC" w:rsidRPr="00280067" w:rsidRDefault="003831BC" w:rsidP="003831BC">
      <w:pPr>
        <w:jc w:val="both"/>
        <w:rPr>
          <w:rFonts w:ascii="Century Gothic" w:hAnsi="Century Gothic"/>
          <w:b/>
          <w:bCs/>
          <w:sz w:val="22"/>
          <w:szCs w:val="22"/>
        </w:rPr>
      </w:pPr>
      <w:r w:rsidRPr="00280067">
        <w:rPr>
          <w:rFonts w:ascii="Century Gothic" w:hAnsi="Century Gothic"/>
          <w:b/>
          <w:bCs/>
          <w:sz w:val="22"/>
          <w:szCs w:val="22"/>
        </w:rPr>
        <w:t>How economy ranks within Essex</w:t>
      </w:r>
    </w:p>
    <w:p w14:paraId="3CA183F1" w14:textId="77777777" w:rsidR="003831BC" w:rsidRPr="00280067" w:rsidRDefault="003831BC" w:rsidP="003831BC">
      <w:pPr>
        <w:jc w:val="both"/>
        <w:rPr>
          <w:rFonts w:ascii="Century Gothic" w:hAnsi="Century Gothic"/>
          <w:sz w:val="22"/>
          <w:szCs w:val="22"/>
        </w:rPr>
      </w:pPr>
      <w:r w:rsidRPr="00280067">
        <w:rPr>
          <w:rFonts w:ascii="Century Gothic" w:hAnsi="Century Gothic"/>
          <w:sz w:val="22"/>
          <w:szCs w:val="22"/>
        </w:rPr>
        <w:t>The map below shows each Essex LSOA ranked from 1 to 872 depending on its economy decile score, with 1 being the lowest economy decile score, and 872 the highest. This allows us to see the spread of economic inequalities on an Essex-specific scale.</w:t>
      </w:r>
    </w:p>
    <w:p w14:paraId="1B4F89C6" w14:textId="77777777" w:rsidR="003831BC" w:rsidRPr="00FD286B" w:rsidRDefault="003831BC" w:rsidP="003831BC">
      <w:pPr>
        <w:jc w:val="center"/>
        <w:rPr>
          <w:rFonts w:ascii="Century Gothic" w:hAnsi="Century Gothic"/>
          <w:b/>
          <w:bCs/>
        </w:rPr>
      </w:pPr>
      <w:r>
        <w:rPr>
          <w:noProof/>
        </w:rPr>
        <w:drawing>
          <wp:inline distT="0" distB="0" distL="0" distR="0" wp14:anchorId="0FD1547D" wp14:editId="6CA2EE76">
            <wp:extent cx="5731510" cy="403161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031615"/>
                    </a:xfrm>
                    <a:prstGeom prst="rect">
                      <a:avLst/>
                    </a:prstGeom>
                  </pic:spPr>
                </pic:pic>
              </a:graphicData>
            </a:graphic>
          </wp:inline>
        </w:drawing>
      </w:r>
    </w:p>
    <w:p w14:paraId="55653FFA"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18" w:name="_Toc50553600"/>
      <w:r>
        <w:rPr>
          <w:rFonts w:ascii="Century Gothic" w:hAnsi="Century Gothic"/>
          <w:b/>
          <w:bCs/>
          <w:i/>
          <w:iCs/>
          <w:color w:val="D8117D"/>
          <w:sz w:val="24"/>
          <w:szCs w:val="24"/>
        </w:rPr>
        <w:t>Vulnerable groups</w:t>
      </w:r>
      <w:bookmarkEnd w:id="18"/>
    </w:p>
    <w:p w14:paraId="28544BDD" w14:textId="77777777" w:rsidR="003831BC" w:rsidRDefault="003831BC" w:rsidP="003831BC">
      <w:pPr>
        <w:jc w:val="both"/>
      </w:pPr>
    </w:p>
    <w:p w14:paraId="44EF224B"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A higher presence of vulnerable groups was identified as the third biggest driver of physical inactivity according to our regression analysis.</w:t>
      </w:r>
    </w:p>
    <w:p w14:paraId="25037C40"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On average, Essex scores 5.63 for the presence of vulnerable groups, higher than the national average of 5.28. The highest scores are found in Uttlesford (6.73), Chelmsford (6.19) and Brentwood (6.15) indicating a lower presence of vulnerable groups in these areas. The lowest scores are found in the districts of Tendring (4.26), Harlow (5.13) and Castle Point (5.36).</w:t>
      </w:r>
    </w:p>
    <w:p w14:paraId="11C27766" w14:textId="77777777" w:rsidR="003831BC" w:rsidRDefault="003831BC" w:rsidP="003831BC">
      <w:pPr>
        <w:jc w:val="both"/>
        <w:rPr>
          <w:rFonts w:ascii="Century Gothic" w:hAnsi="Century Gothic"/>
          <w:b/>
          <w:bCs/>
        </w:rPr>
      </w:pPr>
    </w:p>
    <w:tbl>
      <w:tblPr>
        <w:tblW w:w="9154" w:type="dxa"/>
        <w:tblLook w:val="04A0" w:firstRow="1" w:lastRow="0" w:firstColumn="1" w:lastColumn="0" w:noHBand="0" w:noVBand="1"/>
      </w:tblPr>
      <w:tblGrid>
        <w:gridCol w:w="1379"/>
        <w:gridCol w:w="566"/>
        <w:gridCol w:w="566"/>
        <w:gridCol w:w="589"/>
        <w:gridCol w:w="566"/>
        <w:gridCol w:w="605"/>
        <w:gridCol w:w="566"/>
        <w:gridCol w:w="566"/>
        <w:gridCol w:w="566"/>
        <w:gridCol w:w="566"/>
        <w:gridCol w:w="566"/>
        <w:gridCol w:w="566"/>
        <w:gridCol w:w="566"/>
        <w:gridCol w:w="569"/>
        <w:gridCol w:w="569"/>
      </w:tblGrid>
      <w:tr w:rsidR="003831BC" w:rsidRPr="009848BB" w14:paraId="6D95A578" w14:textId="77777777" w:rsidTr="00DA302A">
        <w:trPr>
          <w:cantSplit/>
          <w:trHeight w:val="1339"/>
        </w:trPr>
        <w:tc>
          <w:tcPr>
            <w:tcW w:w="1379" w:type="dxa"/>
            <w:tcBorders>
              <w:top w:val="nil"/>
              <w:left w:val="nil"/>
              <w:bottom w:val="nil"/>
              <w:right w:val="nil"/>
            </w:tcBorders>
            <w:shd w:val="clear" w:color="auto" w:fill="auto"/>
            <w:noWrap/>
            <w:vAlign w:val="bottom"/>
            <w:hideMark/>
          </w:tcPr>
          <w:p w14:paraId="6C6B36DB"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47" w:type="dxa"/>
            <w:tcBorders>
              <w:top w:val="nil"/>
              <w:left w:val="nil"/>
              <w:bottom w:val="nil"/>
              <w:right w:val="nil"/>
            </w:tcBorders>
            <w:shd w:val="clear" w:color="auto" w:fill="auto"/>
            <w:noWrap/>
            <w:textDirection w:val="tbRl"/>
            <w:vAlign w:val="bottom"/>
            <w:hideMark/>
          </w:tcPr>
          <w:p w14:paraId="68244F3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47" w:type="dxa"/>
            <w:tcBorders>
              <w:top w:val="nil"/>
              <w:left w:val="nil"/>
              <w:bottom w:val="nil"/>
              <w:right w:val="nil"/>
            </w:tcBorders>
            <w:shd w:val="clear" w:color="auto" w:fill="auto"/>
            <w:noWrap/>
            <w:textDirection w:val="tbRl"/>
            <w:vAlign w:val="bottom"/>
            <w:hideMark/>
          </w:tcPr>
          <w:p w14:paraId="5400D5B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89" w:type="dxa"/>
            <w:tcBorders>
              <w:top w:val="nil"/>
              <w:left w:val="nil"/>
              <w:bottom w:val="nil"/>
              <w:right w:val="nil"/>
            </w:tcBorders>
            <w:shd w:val="clear" w:color="auto" w:fill="auto"/>
            <w:noWrap/>
            <w:textDirection w:val="tbRl"/>
            <w:vAlign w:val="bottom"/>
            <w:hideMark/>
          </w:tcPr>
          <w:p w14:paraId="3F139F4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47" w:type="dxa"/>
            <w:tcBorders>
              <w:top w:val="nil"/>
              <w:left w:val="nil"/>
              <w:bottom w:val="nil"/>
              <w:right w:val="nil"/>
            </w:tcBorders>
            <w:shd w:val="clear" w:color="auto" w:fill="auto"/>
            <w:noWrap/>
            <w:textDirection w:val="tbRl"/>
            <w:vAlign w:val="bottom"/>
            <w:hideMark/>
          </w:tcPr>
          <w:p w14:paraId="6ED3344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05" w:type="dxa"/>
            <w:tcBorders>
              <w:top w:val="nil"/>
              <w:left w:val="nil"/>
              <w:bottom w:val="nil"/>
              <w:right w:val="nil"/>
            </w:tcBorders>
            <w:shd w:val="clear" w:color="auto" w:fill="auto"/>
            <w:noWrap/>
            <w:textDirection w:val="tbRl"/>
            <w:vAlign w:val="bottom"/>
            <w:hideMark/>
          </w:tcPr>
          <w:p w14:paraId="378A33F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64" w:type="dxa"/>
            <w:tcBorders>
              <w:top w:val="nil"/>
              <w:left w:val="nil"/>
              <w:bottom w:val="nil"/>
              <w:right w:val="nil"/>
            </w:tcBorders>
            <w:shd w:val="clear" w:color="auto" w:fill="auto"/>
            <w:noWrap/>
            <w:textDirection w:val="tbRl"/>
            <w:vAlign w:val="bottom"/>
            <w:hideMark/>
          </w:tcPr>
          <w:p w14:paraId="4BF80AA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47" w:type="dxa"/>
            <w:tcBorders>
              <w:top w:val="nil"/>
              <w:left w:val="nil"/>
              <w:bottom w:val="nil"/>
              <w:right w:val="nil"/>
            </w:tcBorders>
            <w:shd w:val="clear" w:color="auto" w:fill="auto"/>
            <w:noWrap/>
            <w:textDirection w:val="tbRl"/>
            <w:vAlign w:val="bottom"/>
            <w:hideMark/>
          </w:tcPr>
          <w:p w14:paraId="05BDA1E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47" w:type="dxa"/>
            <w:tcBorders>
              <w:top w:val="nil"/>
              <w:left w:val="nil"/>
              <w:bottom w:val="nil"/>
              <w:right w:val="nil"/>
            </w:tcBorders>
            <w:shd w:val="clear" w:color="auto" w:fill="auto"/>
            <w:noWrap/>
            <w:textDirection w:val="tbRl"/>
            <w:vAlign w:val="bottom"/>
            <w:hideMark/>
          </w:tcPr>
          <w:p w14:paraId="56F8F0B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47" w:type="dxa"/>
            <w:tcBorders>
              <w:top w:val="nil"/>
              <w:left w:val="nil"/>
              <w:bottom w:val="nil"/>
              <w:right w:val="nil"/>
            </w:tcBorders>
            <w:shd w:val="clear" w:color="auto" w:fill="auto"/>
            <w:noWrap/>
            <w:textDirection w:val="tbRl"/>
            <w:vAlign w:val="bottom"/>
            <w:hideMark/>
          </w:tcPr>
          <w:p w14:paraId="27374F2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47" w:type="dxa"/>
            <w:tcBorders>
              <w:top w:val="nil"/>
              <w:left w:val="nil"/>
              <w:bottom w:val="nil"/>
              <w:right w:val="nil"/>
            </w:tcBorders>
            <w:shd w:val="clear" w:color="auto" w:fill="auto"/>
            <w:noWrap/>
            <w:textDirection w:val="tbRl"/>
            <w:vAlign w:val="bottom"/>
            <w:hideMark/>
          </w:tcPr>
          <w:p w14:paraId="0FE39D1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47" w:type="dxa"/>
            <w:tcBorders>
              <w:top w:val="nil"/>
              <w:left w:val="nil"/>
              <w:bottom w:val="nil"/>
              <w:right w:val="nil"/>
            </w:tcBorders>
            <w:shd w:val="clear" w:color="auto" w:fill="auto"/>
            <w:noWrap/>
            <w:textDirection w:val="tbRl"/>
            <w:vAlign w:val="bottom"/>
            <w:hideMark/>
          </w:tcPr>
          <w:p w14:paraId="2A0EA87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47" w:type="dxa"/>
            <w:tcBorders>
              <w:top w:val="nil"/>
              <w:left w:val="nil"/>
              <w:bottom w:val="nil"/>
              <w:right w:val="single" w:sz="4" w:space="0" w:color="auto"/>
            </w:tcBorders>
            <w:shd w:val="clear" w:color="auto" w:fill="auto"/>
            <w:noWrap/>
            <w:textDirection w:val="tbRl"/>
            <w:vAlign w:val="bottom"/>
            <w:hideMark/>
          </w:tcPr>
          <w:p w14:paraId="0F60C12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4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0DDEE7A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47" w:type="dxa"/>
            <w:tcBorders>
              <w:top w:val="single" w:sz="4" w:space="0" w:color="auto"/>
              <w:left w:val="single" w:sz="4" w:space="0" w:color="auto"/>
              <w:bottom w:val="single" w:sz="4" w:space="0" w:color="auto"/>
              <w:right w:val="single" w:sz="4" w:space="0" w:color="auto"/>
            </w:tcBorders>
            <w:textDirection w:val="tbRl"/>
          </w:tcPr>
          <w:p w14:paraId="3B6A06D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5DE88536" w14:textId="77777777" w:rsidTr="00DA302A">
        <w:trPr>
          <w:trHeight w:val="423"/>
        </w:trPr>
        <w:tc>
          <w:tcPr>
            <w:tcW w:w="1379" w:type="dxa"/>
            <w:tcBorders>
              <w:top w:val="nil"/>
              <w:left w:val="nil"/>
              <w:bottom w:val="nil"/>
              <w:right w:val="nil"/>
            </w:tcBorders>
            <w:shd w:val="clear" w:color="auto" w:fill="auto"/>
            <w:noWrap/>
            <w:vAlign w:val="bottom"/>
            <w:hideMark/>
          </w:tcPr>
          <w:p w14:paraId="20F9E95A"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Vulnerable Groups Average</w:t>
            </w:r>
            <w:r>
              <w:rPr>
                <w:rFonts w:ascii="Century Gothic" w:hAnsi="Century Gothic" w:cs="Calibri"/>
                <w:color w:val="000000"/>
                <w:sz w:val="18"/>
                <w:szCs w:val="18"/>
              </w:rPr>
              <w:t xml:space="preserve"> decile</w:t>
            </w:r>
          </w:p>
        </w:tc>
        <w:tc>
          <w:tcPr>
            <w:tcW w:w="547" w:type="dxa"/>
            <w:tcBorders>
              <w:top w:val="nil"/>
              <w:left w:val="nil"/>
              <w:bottom w:val="nil"/>
              <w:right w:val="nil"/>
            </w:tcBorders>
            <w:shd w:val="clear" w:color="000000" w:fill="FDD17F"/>
            <w:noWrap/>
            <w:vAlign w:val="bottom"/>
            <w:hideMark/>
          </w:tcPr>
          <w:p w14:paraId="2E79E5CE"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5.42</w:t>
            </w:r>
          </w:p>
        </w:tc>
        <w:tc>
          <w:tcPr>
            <w:tcW w:w="547" w:type="dxa"/>
            <w:tcBorders>
              <w:top w:val="nil"/>
              <w:left w:val="nil"/>
              <w:bottom w:val="nil"/>
              <w:right w:val="nil"/>
            </w:tcBorders>
            <w:shd w:val="clear" w:color="000000" w:fill="DBE182"/>
            <w:noWrap/>
            <w:vAlign w:val="bottom"/>
            <w:hideMark/>
          </w:tcPr>
          <w:p w14:paraId="1571EDF3"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5.93</w:t>
            </w:r>
          </w:p>
        </w:tc>
        <w:tc>
          <w:tcPr>
            <w:tcW w:w="589" w:type="dxa"/>
            <w:tcBorders>
              <w:top w:val="nil"/>
              <w:left w:val="nil"/>
              <w:bottom w:val="nil"/>
              <w:right w:val="nil"/>
            </w:tcBorders>
            <w:shd w:val="clear" w:color="000000" w:fill="BBD881"/>
            <w:noWrap/>
            <w:vAlign w:val="bottom"/>
            <w:hideMark/>
          </w:tcPr>
          <w:p w14:paraId="4EC23C26"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6.15</w:t>
            </w:r>
          </w:p>
        </w:tc>
        <w:tc>
          <w:tcPr>
            <w:tcW w:w="547" w:type="dxa"/>
            <w:tcBorders>
              <w:top w:val="nil"/>
              <w:left w:val="nil"/>
              <w:bottom w:val="nil"/>
              <w:right w:val="nil"/>
            </w:tcBorders>
            <w:shd w:val="clear" w:color="000000" w:fill="FDCC7E"/>
            <w:noWrap/>
            <w:vAlign w:val="bottom"/>
            <w:hideMark/>
          </w:tcPr>
          <w:p w14:paraId="0C8A527A"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5.36</w:t>
            </w:r>
          </w:p>
        </w:tc>
        <w:tc>
          <w:tcPr>
            <w:tcW w:w="605" w:type="dxa"/>
            <w:tcBorders>
              <w:top w:val="nil"/>
              <w:left w:val="nil"/>
              <w:bottom w:val="nil"/>
              <w:right w:val="nil"/>
            </w:tcBorders>
            <w:shd w:val="clear" w:color="000000" w:fill="B5D680"/>
            <w:noWrap/>
            <w:vAlign w:val="bottom"/>
            <w:hideMark/>
          </w:tcPr>
          <w:p w14:paraId="318ACF8A"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6.19</w:t>
            </w:r>
          </w:p>
        </w:tc>
        <w:tc>
          <w:tcPr>
            <w:tcW w:w="564" w:type="dxa"/>
            <w:tcBorders>
              <w:top w:val="nil"/>
              <w:left w:val="nil"/>
              <w:bottom w:val="nil"/>
              <w:right w:val="nil"/>
            </w:tcBorders>
            <w:shd w:val="clear" w:color="000000" w:fill="FEE683"/>
            <w:noWrap/>
            <w:vAlign w:val="bottom"/>
            <w:hideMark/>
          </w:tcPr>
          <w:p w14:paraId="3548A3F8"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5.64</w:t>
            </w:r>
          </w:p>
        </w:tc>
        <w:tc>
          <w:tcPr>
            <w:tcW w:w="547" w:type="dxa"/>
            <w:tcBorders>
              <w:top w:val="nil"/>
              <w:left w:val="nil"/>
              <w:bottom w:val="nil"/>
              <w:right w:val="nil"/>
            </w:tcBorders>
            <w:shd w:val="clear" w:color="000000" w:fill="F7E984"/>
            <w:noWrap/>
            <w:vAlign w:val="bottom"/>
            <w:hideMark/>
          </w:tcPr>
          <w:p w14:paraId="3EC73BD5"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5.75</w:t>
            </w:r>
          </w:p>
        </w:tc>
        <w:tc>
          <w:tcPr>
            <w:tcW w:w="547" w:type="dxa"/>
            <w:tcBorders>
              <w:top w:val="nil"/>
              <w:left w:val="nil"/>
              <w:bottom w:val="nil"/>
              <w:right w:val="nil"/>
            </w:tcBorders>
            <w:shd w:val="clear" w:color="000000" w:fill="FCB87A"/>
            <w:noWrap/>
            <w:vAlign w:val="bottom"/>
            <w:hideMark/>
          </w:tcPr>
          <w:p w14:paraId="7C4F32F1"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5.13</w:t>
            </w:r>
          </w:p>
        </w:tc>
        <w:tc>
          <w:tcPr>
            <w:tcW w:w="547" w:type="dxa"/>
            <w:tcBorders>
              <w:top w:val="nil"/>
              <w:left w:val="nil"/>
              <w:bottom w:val="nil"/>
              <w:right w:val="nil"/>
            </w:tcBorders>
            <w:shd w:val="clear" w:color="000000" w:fill="FDD67F"/>
            <w:noWrap/>
            <w:vAlign w:val="bottom"/>
            <w:hideMark/>
          </w:tcPr>
          <w:p w14:paraId="05623C38"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5.46</w:t>
            </w:r>
          </w:p>
        </w:tc>
        <w:tc>
          <w:tcPr>
            <w:tcW w:w="547" w:type="dxa"/>
            <w:tcBorders>
              <w:top w:val="nil"/>
              <w:left w:val="nil"/>
              <w:bottom w:val="nil"/>
              <w:right w:val="nil"/>
            </w:tcBorders>
            <w:shd w:val="clear" w:color="000000" w:fill="C7DB81"/>
            <w:noWrap/>
            <w:vAlign w:val="bottom"/>
            <w:hideMark/>
          </w:tcPr>
          <w:p w14:paraId="24ACDCC7"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6.07</w:t>
            </w:r>
          </w:p>
        </w:tc>
        <w:tc>
          <w:tcPr>
            <w:tcW w:w="547" w:type="dxa"/>
            <w:tcBorders>
              <w:top w:val="nil"/>
              <w:left w:val="nil"/>
              <w:bottom w:val="nil"/>
              <w:right w:val="nil"/>
            </w:tcBorders>
            <w:shd w:val="clear" w:color="000000" w:fill="F8696B"/>
            <w:noWrap/>
            <w:vAlign w:val="bottom"/>
            <w:hideMark/>
          </w:tcPr>
          <w:p w14:paraId="169E8D1F"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4.26</w:t>
            </w:r>
          </w:p>
        </w:tc>
        <w:tc>
          <w:tcPr>
            <w:tcW w:w="547" w:type="dxa"/>
            <w:tcBorders>
              <w:top w:val="nil"/>
              <w:left w:val="nil"/>
              <w:bottom w:val="nil"/>
              <w:right w:val="nil"/>
            </w:tcBorders>
            <w:shd w:val="clear" w:color="000000" w:fill="63BE7B"/>
            <w:noWrap/>
            <w:vAlign w:val="bottom"/>
            <w:hideMark/>
          </w:tcPr>
          <w:p w14:paraId="5B989508" w14:textId="77777777" w:rsidR="003831BC" w:rsidRPr="00720B41" w:rsidRDefault="003831BC" w:rsidP="00DA302A">
            <w:pPr>
              <w:spacing w:after="0" w:line="240" w:lineRule="auto"/>
              <w:jc w:val="both"/>
              <w:rPr>
                <w:rFonts w:ascii="Century Gothic" w:eastAsia="Times New Roman" w:hAnsi="Century Gothic" w:cs="Calibri"/>
                <w:color w:val="000000"/>
                <w:sz w:val="18"/>
                <w:szCs w:val="18"/>
                <w:lang w:eastAsia="en-GB"/>
              </w:rPr>
            </w:pPr>
            <w:r w:rsidRPr="00720B41">
              <w:rPr>
                <w:rFonts w:ascii="Century Gothic" w:hAnsi="Century Gothic" w:cs="Calibri"/>
                <w:color w:val="000000"/>
                <w:sz w:val="18"/>
                <w:szCs w:val="18"/>
              </w:rPr>
              <w:t>6.73</w:t>
            </w:r>
          </w:p>
        </w:tc>
        <w:tc>
          <w:tcPr>
            <w:tcW w:w="547" w:type="dxa"/>
            <w:tcBorders>
              <w:top w:val="nil"/>
              <w:left w:val="nil"/>
              <w:bottom w:val="nil"/>
              <w:right w:val="nil"/>
            </w:tcBorders>
            <w:shd w:val="clear" w:color="auto" w:fill="auto"/>
            <w:noWrap/>
            <w:vAlign w:val="bottom"/>
            <w:hideMark/>
          </w:tcPr>
          <w:p w14:paraId="079A4BA5" w14:textId="77777777" w:rsidR="003831BC" w:rsidRPr="00720B41"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720B41">
              <w:rPr>
                <w:rFonts w:ascii="Century Gothic" w:hAnsi="Century Gothic" w:cs="Calibri"/>
                <w:b/>
                <w:bCs/>
                <w:color w:val="000000"/>
                <w:sz w:val="18"/>
                <w:szCs w:val="18"/>
              </w:rPr>
              <w:t>5.63</w:t>
            </w:r>
          </w:p>
        </w:tc>
        <w:tc>
          <w:tcPr>
            <w:tcW w:w="547" w:type="dxa"/>
            <w:tcBorders>
              <w:top w:val="nil"/>
              <w:left w:val="nil"/>
              <w:bottom w:val="nil"/>
              <w:right w:val="nil"/>
            </w:tcBorders>
            <w:vAlign w:val="bottom"/>
          </w:tcPr>
          <w:p w14:paraId="4554B675" w14:textId="77777777" w:rsidR="003831BC" w:rsidRPr="00720B41"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5.28</w:t>
            </w:r>
          </w:p>
        </w:tc>
      </w:tr>
    </w:tbl>
    <w:p w14:paraId="3C4B593C" w14:textId="77777777" w:rsidR="003831BC" w:rsidRDefault="003831BC" w:rsidP="003831BC">
      <w:pPr>
        <w:jc w:val="both"/>
        <w:rPr>
          <w:rFonts w:ascii="Century Gothic" w:hAnsi="Century Gothic"/>
          <w:b/>
          <w:bCs/>
        </w:rPr>
      </w:pPr>
    </w:p>
    <w:p w14:paraId="31AB2CDD" w14:textId="77777777" w:rsidR="003831BC" w:rsidRDefault="003831BC" w:rsidP="003831BC">
      <w:pPr>
        <w:jc w:val="both"/>
        <w:rPr>
          <w:rFonts w:ascii="Century Gothic" w:hAnsi="Century Gothic"/>
          <w:b/>
          <w:bCs/>
        </w:rPr>
      </w:pPr>
    </w:p>
    <w:p w14:paraId="0EE4DA81" w14:textId="77777777" w:rsidR="003831BC" w:rsidRDefault="003831BC" w:rsidP="003831BC">
      <w:pPr>
        <w:jc w:val="both"/>
        <w:rPr>
          <w:rFonts w:ascii="Century Gothic" w:hAnsi="Century Gothic"/>
          <w:b/>
          <w:bCs/>
          <w:sz w:val="22"/>
          <w:szCs w:val="22"/>
        </w:rPr>
      </w:pPr>
      <w:r w:rsidRPr="001F43A8">
        <w:rPr>
          <w:rFonts w:ascii="Century Gothic" w:hAnsi="Century Gothic"/>
          <w:b/>
          <w:bCs/>
          <w:sz w:val="22"/>
          <w:szCs w:val="22"/>
        </w:rPr>
        <w:t>How Essex LSOAs score nationally for presence of vulnerable groups</w:t>
      </w:r>
    </w:p>
    <w:p w14:paraId="7C9F2D86" w14:textId="77777777" w:rsidR="003831BC" w:rsidRPr="001F43A8" w:rsidRDefault="003831BC" w:rsidP="003831BC">
      <w:pPr>
        <w:jc w:val="both"/>
        <w:rPr>
          <w:rFonts w:ascii="Century Gothic" w:hAnsi="Century Gothic"/>
          <w:b/>
          <w:bCs/>
          <w:sz w:val="22"/>
          <w:szCs w:val="22"/>
        </w:rPr>
      </w:pPr>
    </w:p>
    <w:p w14:paraId="01A26365"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The table below shows 20 LSOAs in Essex which score the lowest on indicators relating to vulnerable groups. The areas which experience the biggest challenges relating to the presence of vulnerable groups are largely found in Tendring, </w:t>
      </w:r>
      <w:proofErr w:type="gramStart"/>
      <w:r w:rsidRPr="001F43A8">
        <w:rPr>
          <w:rFonts w:ascii="Century Gothic" w:hAnsi="Century Gothic"/>
          <w:sz w:val="22"/>
          <w:szCs w:val="22"/>
        </w:rPr>
        <w:t>in particular in</w:t>
      </w:r>
      <w:proofErr w:type="gramEnd"/>
      <w:r w:rsidRPr="001F43A8">
        <w:rPr>
          <w:rFonts w:ascii="Century Gothic" w:hAnsi="Century Gothic"/>
          <w:sz w:val="22"/>
          <w:szCs w:val="22"/>
        </w:rPr>
        <w:t xml:space="preserve"> Clacton and the surrounding areas, stretching along the Tendring coastline. Basildon has two LSOAs in the table below, with one each from Castle Point, Chelmsford and Maldon.</w:t>
      </w:r>
    </w:p>
    <w:p w14:paraId="4DCBDAF4" w14:textId="77777777" w:rsidR="003831BC" w:rsidRPr="001F43A8" w:rsidRDefault="003831BC" w:rsidP="003831BC">
      <w:pPr>
        <w:jc w:val="both"/>
        <w:rPr>
          <w:rFonts w:ascii="Century Gothic" w:hAnsi="Century Gothic"/>
          <w:b/>
          <w:bCs/>
          <w:sz w:val="22"/>
          <w:szCs w:val="22"/>
        </w:rPr>
      </w:pPr>
      <w:r w:rsidRPr="001F43A8">
        <w:rPr>
          <w:rFonts w:ascii="Century Gothic" w:hAnsi="Century Gothic"/>
          <w:sz w:val="22"/>
          <w:szCs w:val="22"/>
        </w:rPr>
        <w:t>All these LSOAs are placed in deciles 1-4 of the 2019 Indices of Deprivation.</w:t>
      </w:r>
    </w:p>
    <w:tbl>
      <w:tblPr>
        <w:tblW w:w="9026" w:type="dxa"/>
        <w:tblLook w:val="04A0" w:firstRow="1" w:lastRow="0" w:firstColumn="1" w:lastColumn="0" w:noHBand="0" w:noVBand="1"/>
      </w:tblPr>
      <w:tblGrid>
        <w:gridCol w:w="877"/>
        <w:gridCol w:w="1221"/>
        <w:gridCol w:w="1886"/>
        <w:gridCol w:w="1902"/>
        <w:gridCol w:w="1208"/>
        <w:gridCol w:w="772"/>
        <w:gridCol w:w="1160"/>
      </w:tblGrid>
      <w:tr w:rsidR="003831BC" w:rsidRPr="006A58E0" w14:paraId="6B77D6A4" w14:textId="77777777" w:rsidTr="00DA302A">
        <w:trPr>
          <w:trHeight w:val="288"/>
          <w:tblHeader/>
        </w:trPr>
        <w:tc>
          <w:tcPr>
            <w:tcW w:w="883" w:type="dxa"/>
            <w:tcBorders>
              <w:top w:val="nil"/>
              <w:left w:val="nil"/>
              <w:bottom w:val="single" w:sz="4" w:space="0" w:color="auto"/>
              <w:right w:val="nil"/>
            </w:tcBorders>
            <w:shd w:val="clear" w:color="auto" w:fill="auto"/>
            <w:noWrap/>
            <w:vAlign w:val="bottom"/>
            <w:hideMark/>
          </w:tcPr>
          <w:p w14:paraId="209BA48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Theme Rank</w:t>
            </w:r>
          </w:p>
        </w:tc>
        <w:tc>
          <w:tcPr>
            <w:tcW w:w="1229" w:type="dxa"/>
            <w:tcBorders>
              <w:top w:val="nil"/>
              <w:left w:val="nil"/>
              <w:bottom w:val="single" w:sz="4" w:space="0" w:color="auto"/>
              <w:right w:val="nil"/>
            </w:tcBorders>
            <w:shd w:val="clear" w:color="auto" w:fill="auto"/>
            <w:noWrap/>
            <w:vAlign w:val="bottom"/>
            <w:hideMark/>
          </w:tcPr>
          <w:p w14:paraId="0E0289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LSOA Code</w:t>
            </w:r>
          </w:p>
        </w:tc>
        <w:tc>
          <w:tcPr>
            <w:tcW w:w="1900" w:type="dxa"/>
            <w:tcBorders>
              <w:top w:val="nil"/>
              <w:left w:val="nil"/>
              <w:bottom w:val="single" w:sz="4" w:space="0" w:color="auto"/>
              <w:right w:val="nil"/>
            </w:tcBorders>
            <w:shd w:val="clear" w:color="auto" w:fill="auto"/>
            <w:noWrap/>
            <w:vAlign w:val="bottom"/>
            <w:hideMark/>
          </w:tcPr>
          <w:p w14:paraId="127446F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LSOA Name</w:t>
            </w:r>
          </w:p>
        </w:tc>
        <w:tc>
          <w:tcPr>
            <w:tcW w:w="1916" w:type="dxa"/>
            <w:tcBorders>
              <w:top w:val="nil"/>
              <w:left w:val="nil"/>
              <w:bottom w:val="single" w:sz="4" w:space="0" w:color="auto"/>
              <w:right w:val="nil"/>
            </w:tcBorders>
            <w:shd w:val="clear" w:color="auto" w:fill="auto"/>
            <w:noWrap/>
            <w:vAlign w:val="bottom"/>
            <w:hideMark/>
          </w:tcPr>
          <w:p w14:paraId="11D330F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Ward</w:t>
            </w:r>
          </w:p>
        </w:tc>
        <w:tc>
          <w:tcPr>
            <w:tcW w:w="1184" w:type="dxa"/>
            <w:tcBorders>
              <w:top w:val="nil"/>
              <w:left w:val="nil"/>
              <w:bottom w:val="single" w:sz="4" w:space="0" w:color="auto"/>
              <w:right w:val="nil"/>
            </w:tcBorders>
            <w:shd w:val="clear" w:color="auto" w:fill="auto"/>
            <w:noWrap/>
            <w:vAlign w:val="bottom"/>
            <w:hideMark/>
          </w:tcPr>
          <w:p w14:paraId="6E0A7F9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LA Name</w:t>
            </w:r>
          </w:p>
        </w:tc>
        <w:tc>
          <w:tcPr>
            <w:tcW w:w="777" w:type="dxa"/>
            <w:tcBorders>
              <w:top w:val="nil"/>
              <w:left w:val="nil"/>
              <w:bottom w:val="single" w:sz="4" w:space="0" w:color="auto"/>
              <w:right w:val="nil"/>
            </w:tcBorders>
            <w:shd w:val="clear" w:color="auto" w:fill="auto"/>
            <w:noWrap/>
            <w:vAlign w:val="bottom"/>
            <w:hideMark/>
          </w:tcPr>
          <w:p w14:paraId="23CED55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IMD 2019 decile</w:t>
            </w:r>
          </w:p>
        </w:tc>
        <w:tc>
          <w:tcPr>
            <w:tcW w:w="1137" w:type="dxa"/>
            <w:tcBorders>
              <w:top w:val="nil"/>
              <w:left w:val="nil"/>
              <w:bottom w:val="single" w:sz="4" w:space="0" w:color="auto"/>
              <w:right w:val="nil"/>
            </w:tcBorders>
            <w:shd w:val="clear" w:color="auto" w:fill="auto"/>
            <w:noWrap/>
            <w:vAlign w:val="bottom"/>
            <w:hideMark/>
          </w:tcPr>
          <w:p w14:paraId="50DA8D9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Vulnerable Groups Average</w:t>
            </w:r>
          </w:p>
        </w:tc>
      </w:tr>
      <w:tr w:rsidR="003831BC" w:rsidRPr="006A58E0" w14:paraId="7EC44B23"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2F2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8332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E01021988</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F315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018A</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5A09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Golf Green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989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0F3F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BD7D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2.30</w:t>
            </w:r>
          </w:p>
        </w:tc>
      </w:tr>
      <w:tr w:rsidR="003831BC" w:rsidRPr="006A58E0" w14:paraId="06EB134D"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7D9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F2A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721B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015E</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724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Rush Green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09B4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1E74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867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2.70</w:t>
            </w:r>
          </w:p>
        </w:tc>
      </w:tr>
      <w:tr w:rsidR="003831BC" w:rsidRPr="006A58E0" w14:paraId="3FB18445"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12C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CBFF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E01021696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D73F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Colchester 008A</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6F0F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Greenstead</w:t>
            </w:r>
            <w:proofErr w:type="spellEnd"/>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842C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Colchester</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775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6114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2.83</w:t>
            </w:r>
          </w:p>
        </w:tc>
      </w:tr>
      <w:tr w:rsidR="003831BC" w:rsidRPr="006A58E0" w14:paraId="1B462BD2"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C1CB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7580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E01022045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9B8F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90E0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St </w:t>
            </w:r>
            <w:proofErr w:type="spellStart"/>
            <w:r w:rsidRPr="006A58E0">
              <w:rPr>
                <w:rFonts w:ascii="Century Gothic" w:eastAsia="Times New Roman" w:hAnsi="Century Gothic" w:cs="Calibri"/>
                <w:color w:val="000000"/>
                <w:sz w:val="18"/>
                <w:szCs w:val="18"/>
                <w:lang w:eastAsia="en-GB"/>
              </w:rPr>
              <w:t>Osyth</w:t>
            </w:r>
            <w:proofErr w:type="spellEnd"/>
            <w:r w:rsidRPr="006A58E0">
              <w:rPr>
                <w:rFonts w:ascii="Century Gothic" w:eastAsia="Times New Roman" w:hAnsi="Century Gothic" w:cs="Calibri"/>
                <w:color w:val="000000"/>
                <w:sz w:val="18"/>
                <w:szCs w:val="18"/>
                <w:lang w:eastAsia="en-GB"/>
              </w:rPr>
              <w:t xml:space="preserve"> and Point Clear</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C14E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02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1521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2.83</w:t>
            </w:r>
          </w:p>
        </w:tc>
      </w:tr>
      <w:tr w:rsidR="003831BC" w:rsidRPr="006A58E0" w14:paraId="6F2A552A"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E25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5</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80A2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E01021990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9C06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018C</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6E12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Golf Green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91FD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403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65D6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2.87</w:t>
            </w:r>
          </w:p>
        </w:tc>
      </w:tr>
      <w:tr w:rsidR="003831BC" w:rsidRPr="006A58E0" w14:paraId="2F77E156"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2C2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6</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508A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E01022023</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A77E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015A</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7262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Peter </w:t>
            </w:r>
            <w:proofErr w:type="spellStart"/>
            <w:r w:rsidRPr="006A58E0">
              <w:rPr>
                <w:rFonts w:ascii="Century Gothic" w:eastAsia="Times New Roman" w:hAnsi="Century Gothic" w:cs="Calibri"/>
                <w:color w:val="000000"/>
                <w:sz w:val="18"/>
                <w:szCs w:val="18"/>
                <w:lang w:eastAsia="en-GB"/>
              </w:rPr>
              <w:t>Bruff</w:t>
            </w:r>
            <w:proofErr w:type="spellEnd"/>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46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320D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EC1A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2.91</w:t>
            </w:r>
          </w:p>
        </w:tc>
      </w:tr>
      <w:tr w:rsidR="003831BC" w:rsidRPr="006A58E0" w14:paraId="1E275F33"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C668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60B0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E01022046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2F2E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011E</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411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St </w:t>
            </w:r>
            <w:proofErr w:type="spellStart"/>
            <w:r w:rsidRPr="006A58E0">
              <w:rPr>
                <w:rFonts w:ascii="Century Gothic" w:eastAsia="Times New Roman" w:hAnsi="Century Gothic" w:cs="Calibri"/>
                <w:color w:val="000000"/>
                <w:sz w:val="18"/>
                <w:szCs w:val="18"/>
                <w:lang w:eastAsia="en-GB"/>
              </w:rPr>
              <w:t>Osyth</w:t>
            </w:r>
            <w:proofErr w:type="spellEnd"/>
            <w:r w:rsidRPr="006A58E0">
              <w:rPr>
                <w:rFonts w:ascii="Century Gothic" w:eastAsia="Times New Roman" w:hAnsi="Century Gothic" w:cs="Calibri"/>
                <w:color w:val="000000"/>
                <w:sz w:val="18"/>
                <w:szCs w:val="18"/>
                <w:lang w:eastAsia="en-GB"/>
              </w:rPr>
              <w:t xml:space="preserve"> and Point Clear</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6D98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42FD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D1B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2.91</w:t>
            </w:r>
          </w:p>
        </w:tc>
      </w:tr>
      <w:tr w:rsidR="003831BC" w:rsidRPr="006A58E0" w14:paraId="1722CA79"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BFA6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1F0D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E01021485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18DD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Castle Point 010A</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B8F9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Canvey Island Central</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0013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Castle Point</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D29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E25F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2.96</w:t>
            </w:r>
          </w:p>
        </w:tc>
      </w:tr>
      <w:tr w:rsidR="003831BC" w:rsidRPr="006A58E0" w14:paraId="7C89D0AB"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4CB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CA4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7EF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015C</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025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Rush Green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C261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F043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0CDF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3.00</w:t>
            </w:r>
          </w:p>
        </w:tc>
      </w:tr>
      <w:tr w:rsidR="003831BC" w:rsidRPr="006A58E0" w14:paraId="15439034"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737D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24F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E01021970</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801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016A</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0C38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Alton Park</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A584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A73C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8E2D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3.00</w:t>
            </w:r>
          </w:p>
        </w:tc>
      </w:tr>
      <w:tr w:rsidR="003831BC" w:rsidRPr="006A58E0" w14:paraId="724A53DA"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FC78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7299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E01021969</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356A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017B</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F312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Alton Park</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CCC9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155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8E1C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3.00</w:t>
            </w:r>
          </w:p>
        </w:tc>
      </w:tr>
      <w:tr w:rsidR="003831BC" w:rsidRPr="006A58E0" w14:paraId="31782489"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B3C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12</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B9C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69F6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013E</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EB87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6A87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96F7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4FAD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3.04</w:t>
            </w:r>
          </w:p>
        </w:tc>
      </w:tr>
      <w:tr w:rsidR="003831BC" w:rsidRPr="006A58E0" w14:paraId="13C4C246"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5D2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13</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99D8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E01022056</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C380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006E</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D458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Walton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D4C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C32E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A922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3.04</w:t>
            </w:r>
          </w:p>
        </w:tc>
      </w:tr>
      <w:tr w:rsidR="003831BC" w:rsidRPr="006A58E0" w14:paraId="23DEACE4"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DB97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FFED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E01022027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143D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016D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3998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Pier</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6439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AAB8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3271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3.17</w:t>
            </w:r>
          </w:p>
        </w:tc>
      </w:tr>
      <w:tr w:rsidR="003831BC" w:rsidRPr="006A58E0" w14:paraId="535708BE"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B738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15</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B787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E01022033</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A3A5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012B</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C5B5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St </w:t>
            </w:r>
            <w:proofErr w:type="spellStart"/>
            <w:r w:rsidRPr="006A58E0">
              <w:rPr>
                <w:rFonts w:ascii="Century Gothic" w:eastAsia="Times New Roman" w:hAnsi="Century Gothic" w:cs="Calibri"/>
                <w:color w:val="000000"/>
                <w:sz w:val="18"/>
                <w:szCs w:val="18"/>
                <w:lang w:eastAsia="en-GB"/>
              </w:rPr>
              <w:t>Bartholomews</w:t>
            </w:r>
            <w:proofErr w:type="spellEnd"/>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8121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B944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4A5B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3.17</w:t>
            </w:r>
          </w:p>
        </w:tc>
      </w:tr>
      <w:tr w:rsidR="003831BC" w:rsidRPr="006A58E0" w14:paraId="2BFA15D1"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74CF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16</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1A2A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E01021892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A06E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Maldon 004D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8DAF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Maldon North</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DF6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Maldon</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8FF0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CDD1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3.22</w:t>
            </w:r>
          </w:p>
        </w:tc>
      </w:tr>
      <w:tr w:rsidR="003831BC" w:rsidRPr="006A58E0" w14:paraId="2803A86F"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3CCB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17</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06D0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E01021592</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29CD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Chelmsford 006D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0B3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Patching Hall</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07F5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Chelmsford</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2338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0874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3.26</w:t>
            </w:r>
          </w:p>
        </w:tc>
      </w:tr>
      <w:tr w:rsidR="003831BC" w:rsidRPr="006A58E0" w14:paraId="63113FC4"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16FC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341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E01021977</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DD19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013C</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E694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Bockings</w:t>
            </w:r>
            <w:proofErr w:type="spellEnd"/>
            <w:r w:rsidRPr="006A58E0">
              <w:rPr>
                <w:rFonts w:ascii="Century Gothic" w:eastAsia="Times New Roman" w:hAnsi="Century Gothic" w:cs="Calibri"/>
                <w:color w:val="000000"/>
                <w:sz w:val="18"/>
                <w:szCs w:val="18"/>
                <w:lang w:eastAsia="en-GB"/>
              </w:rPr>
              <w:t xml:space="preserve"> Elm</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46A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7115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0E65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3.26</w:t>
            </w:r>
          </w:p>
        </w:tc>
      </w:tr>
      <w:tr w:rsidR="003831BC" w:rsidRPr="006A58E0" w14:paraId="080F72ED"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29D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19</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8BD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E01021305</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CC6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9051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66C9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0160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AB1A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3.26</w:t>
            </w:r>
          </w:p>
        </w:tc>
      </w:tr>
      <w:tr w:rsidR="003831BC" w:rsidRPr="006A58E0" w14:paraId="790D68BC" w14:textId="77777777" w:rsidTr="00DA302A">
        <w:trPr>
          <w:trHeight w:val="288"/>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8946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16CD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E01022049</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238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014D</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517D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St Pauls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12BB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7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6C85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1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FF59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3.30</w:t>
            </w:r>
          </w:p>
        </w:tc>
      </w:tr>
    </w:tbl>
    <w:p w14:paraId="1277EE0F" w14:textId="77777777" w:rsidR="003831BC" w:rsidRDefault="003831BC" w:rsidP="003831BC">
      <w:pPr>
        <w:jc w:val="both"/>
        <w:rPr>
          <w:rFonts w:ascii="Century Gothic" w:hAnsi="Century Gothic"/>
          <w:b/>
          <w:bCs/>
        </w:rPr>
      </w:pPr>
    </w:p>
    <w:p w14:paraId="1DF46F5F"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The map below shows where each LSOA in Essex places nationally in our vulnerable </w:t>
      </w:r>
      <w:proofErr w:type="gramStart"/>
      <w:r w:rsidRPr="001F43A8">
        <w:rPr>
          <w:rFonts w:ascii="Century Gothic" w:hAnsi="Century Gothic"/>
          <w:sz w:val="22"/>
          <w:szCs w:val="22"/>
        </w:rPr>
        <w:t>groups</w:t>
      </w:r>
      <w:proofErr w:type="gramEnd"/>
      <w:r w:rsidRPr="001F43A8">
        <w:rPr>
          <w:rFonts w:ascii="Century Gothic" w:hAnsi="Century Gothic"/>
          <w:sz w:val="22"/>
          <w:szCs w:val="22"/>
        </w:rPr>
        <w:t xml:space="preserve"> decile. As outlined in the table above, the lowest scoring areas are found on the Tendring coast. </w:t>
      </w:r>
      <w:proofErr w:type="gramStart"/>
      <w:r w:rsidRPr="001F43A8">
        <w:rPr>
          <w:rFonts w:ascii="Century Gothic" w:hAnsi="Century Gothic"/>
          <w:sz w:val="22"/>
          <w:szCs w:val="22"/>
        </w:rPr>
        <w:t>A large number of</w:t>
      </w:r>
      <w:proofErr w:type="gramEnd"/>
      <w:r w:rsidRPr="001F43A8">
        <w:rPr>
          <w:rFonts w:ascii="Century Gothic" w:hAnsi="Century Gothic"/>
          <w:sz w:val="22"/>
          <w:szCs w:val="22"/>
        </w:rPr>
        <w:t xml:space="preserve"> LSOAs in Essex are placed within deciles 4-6, showing that vulnerable groups are fairly evenly spread across all Essex districts, but Tendring appears to have a higher number of LSOAs in which vulnerable groups are likely to be present.</w:t>
      </w:r>
    </w:p>
    <w:p w14:paraId="456152A6" w14:textId="77777777" w:rsidR="003831BC" w:rsidRDefault="003831BC" w:rsidP="003831BC">
      <w:pPr>
        <w:jc w:val="both"/>
        <w:rPr>
          <w:rFonts w:ascii="Century Gothic" w:hAnsi="Century Gothic"/>
          <w:b/>
          <w:bCs/>
        </w:rPr>
      </w:pPr>
    </w:p>
    <w:p w14:paraId="41AC7A8E" w14:textId="77777777" w:rsidR="003831BC" w:rsidRPr="001F43A8" w:rsidRDefault="003831BC" w:rsidP="003831BC">
      <w:pPr>
        <w:jc w:val="center"/>
        <w:rPr>
          <w:rFonts w:ascii="Century Gothic" w:hAnsi="Century Gothic"/>
          <w:b/>
          <w:bCs/>
          <w:sz w:val="22"/>
          <w:szCs w:val="22"/>
        </w:rPr>
      </w:pPr>
      <w:r w:rsidRPr="001F43A8">
        <w:rPr>
          <w:noProof/>
          <w:sz w:val="22"/>
          <w:szCs w:val="22"/>
        </w:rPr>
        <w:drawing>
          <wp:inline distT="0" distB="0" distL="0" distR="0" wp14:anchorId="41A327C4" wp14:editId="2B3970A2">
            <wp:extent cx="5158740" cy="3594429"/>
            <wp:effectExtent l="0" t="0" r="381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7391" cy="3600457"/>
                    </a:xfrm>
                    <a:prstGeom prst="rect">
                      <a:avLst/>
                    </a:prstGeom>
                  </pic:spPr>
                </pic:pic>
              </a:graphicData>
            </a:graphic>
          </wp:inline>
        </w:drawing>
      </w:r>
    </w:p>
    <w:p w14:paraId="10E661AC"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presence of vulnerable groups ranks within Essex</w:t>
      </w:r>
    </w:p>
    <w:p w14:paraId="713DACEB"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The map below shows each Essex LSOA ranked from 1 to 872 depending on its vulnerable </w:t>
      </w:r>
      <w:proofErr w:type="gramStart"/>
      <w:r w:rsidRPr="001F43A8">
        <w:rPr>
          <w:rFonts w:ascii="Century Gothic" w:hAnsi="Century Gothic"/>
          <w:sz w:val="22"/>
          <w:szCs w:val="22"/>
        </w:rPr>
        <w:t>groups</w:t>
      </w:r>
      <w:proofErr w:type="gramEnd"/>
      <w:r w:rsidRPr="001F43A8">
        <w:rPr>
          <w:rFonts w:ascii="Century Gothic" w:hAnsi="Century Gothic"/>
          <w:sz w:val="22"/>
          <w:szCs w:val="22"/>
        </w:rPr>
        <w:t xml:space="preserve"> decile score, with 1 being the lowest vulnerable groups decile score, and 872 the highest. This allows us to see the spread of vulnerable groups on an Essex-specific scale.</w:t>
      </w:r>
    </w:p>
    <w:p w14:paraId="661F9E5E" w14:textId="77777777" w:rsidR="003831BC" w:rsidRPr="00FD286B" w:rsidRDefault="003831BC" w:rsidP="003831BC">
      <w:pPr>
        <w:jc w:val="both"/>
        <w:rPr>
          <w:rFonts w:ascii="Century Gothic" w:hAnsi="Century Gothic"/>
          <w:b/>
          <w:bCs/>
        </w:rPr>
      </w:pPr>
      <w:r>
        <w:rPr>
          <w:noProof/>
        </w:rPr>
        <w:drawing>
          <wp:inline distT="0" distB="0" distL="0" distR="0" wp14:anchorId="55A2B5F1" wp14:editId="5E2AB624">
            <wp:extent cx="5731510" cy="40386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038600"/>
                    </a:xfrm>
                    <a:prstGeom prst="rect">
                      <a:avLst/>
                    </a:prstGeom>
                  </pic:spPr>
                </pic:pic>
              </a:graphicData>
            </a:graphic>
          </wp:inline>
        </w:drawing>
      </w:r>
    </w:p>
    <w:p w14:paraId="660B64AC" w14:textId="77777777" w:rsidR="003831BC" w:rsidRPr="002C780B" w:rsidRDefault="003831BC" w:rsidP="003831BC">
      <w:pPr>
        <w:jc w:val="both"/>
        <w:rPr>
          <w:rFonts w:ascii="Century Gothic" w:hAnsi="Century Gothic"/>
        </w:rPr>
      </w:pPr>
    </w:p>
    <w:p w14:paraId="5E22033C"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19" w:name="_Toc50553601"/>
      <w:r>
        <w:rPr>
          <w:rFonts w:ascii="Century Gothic" w:hAnsi="Century Gothic"/>
          <w:b/>
          <w:bCs/>
          <w:i/>
          <w:iCs/>
          <w:color w:val="D8117D"/>
          <w:sz w:val="24"/>
          <w:szCs w:val="24"/>
        </w:rPr>
        <w:t>Active Lives measures</w:t>
      </w:r>
      <w:bookmarkEnd w:id="19"/>
    </w:p>
    <w:p w14:paraId="59E2EC16" w14:textId="77777777" w:rsidR="003831BC" w:rsidRDefault="003831BC" w:rsidP="003831BC">
      <w:pPr>
        <w:jc w:val="both"/>
      </w:pPr>
    </w:p>
    <w:p w14:paraId="7187F948"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Measures from the Active Lives Survey were used to see if having an area that reported high rates of activity in the survey had a bearing on our overall weighted score. Specifically, this was included to see what sort of bearing self-reported rates of physical activity had in relation to the other barriers included in our dataset. Our regression analysis found this was the fourth most important factor that influenced our physical activity score.</w:t>
      </w:r>
    </w:p>
    <w:p w14:paraId="08733193"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On measures for physical activity, according to measures from the Active Lives Survey, Essex scored 5.58, marginally higher than the national average of 5.5. The highest scores are found in Uttlesford (6.60), Brentwood (6.09) and Chelmsford (6.06). The lowest scores are found in the districts of Harlow (4.71), Tendring (5.07) and Basildon (5.10).</w:t>
      </w:r>
    </w:p>
    <w:tbl>
      <w:tblPr>
        <w:tblW w:w="9088" w:type="dxa"/>
        <w:tblLook w:val="04A0" w:firstRow="1" w:lastRow="0" w:firstColumn="1" w:lastColumn="0" w:noHBand="0" w:noVBand="1"/>
      </w:tblPr>
      <w:tblGrid>
        <w:gridCol w:w="1369"/>
        <w:gridCol w:w="566"/>
        <w:gridCol w:w="566"/>
        <w:gridCol w:w="585"/>
        <w:gridCol w:w="566"/>
        <w:gridCol w:w="601"/>
        <w:gridCol w:w="566"/>
        <w:gridCol w:w="566"/>
        <w:gridCol w:w="566"/>
        <w:gridCol w:w="566"/>
        <w:gridCol w:w="566"/>
        <w:gridCol w:w="566"/>
        <w:gridCol w:w="566"/>
        <w:gridCol w:w="569"/>
        <w:gridCol w:w="569"/>
      </w:tblGrid>
      <w:tr w:rsidR="003831BC" w:rsidRPr="009848BB" w14:paraId="200BF94C" w14:textId="77777777" w:rsidTr="00DA302A">
        <w:trPr>
          <w:cantSplit/>
          <w:trHeight w:val="1522"/>
        </w:trPr>
        <w:tc>
          <w:tcPr>
            <w:tcW w:w="1369" w:type="dxa"/>
            <w:tcBorders>
              <w:top w:val="nil"/>
              <w:left w:val="nil"/>
              <w:bottom w:val="nil"/>
              <w:right w:val="nil"/>
            </w:tcBorders>
            <w:shd w:val="clear" w:color="auto" w:fill="auto"/>
            <w:noWrap/>
            <w:vAlign w:val="bottom"/>
            <w:hideMark/>
          </w:tcPr>
          <w:p w14:paraId="464195F7"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43" w:type="dxa"/>
            <w:tcBorders>
              <w:top w:val="nil"/>
              <w:left w:val="nil"/>
              <w:bottom w:val="nil"/>
              <w:right w:val="nil"/>
            </w:tcBorders>
            <w:shd w:val="clear" w:color="auto" w:fill="auto"/>
            <w:noWrap/>
            <w:textDirection w:val="tbRl"/>
            <w:vAlign w:val="bottom"/>
            <w:hideMark/>
          </w:tcPr>
          <w:p w14:paraId="5D22FC1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43" w:type="dxa"/>
            <w:tcBorders>
              <w:top w:val="nil"/>
              <w:left w:val="nil"/>
              <w:bottom w:val="nil"/>
              <w:right w:val="nil"/>
            </w:tcBorders>
            <w:shd w:val="clear" w:color="auto" w:fill="auto"/>
            <w:noWrap/>
            <w:textDirection w:val="tbRl"/>
            <w:vAlign w:val="bottom"/>
            <w:hideMark/>
          </w:tcPr>
          <w:p w14:paraId="222E1CFB"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85" w:type="dxa"/>
            <w:tcBorders>
              <w:top w:val="nil"/>
              <w:left w:val="nil"/>
              <w:bottom w:val="nil"/>
              <w:right w:val="nil"/>
            </w:tcBorders>
            <w:shd w:val="clear" w:color="auto" w:fill="auto"/>
            <w:noWrap/>
            <w:textDirection w:val="tbRl"/>
            <w:vAlign w:val="bottom"/>
            <w:hideMark/>
          </w:tcPr>
          <w:p w14:paraId="5E1A911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43" w:type="dxa"/>
            <w:tcBorders>
              <w:top w:val="nil"/>
              <w:left w:val="nil"/>
              <w:bottom w:val="nil"/>
              <w:right w:val="nil"/>
            </w:tcBorders>
            <w:shd w:val="clear" w:color="auto" w:fill="auto"/>
            <w:noWrap/>
            <w:textDirection w:val="tbRl"/>
            <w:vAlign w:val="bottom"/>
            <w:hideMark/>
          </w:tcPr>
          <w:p w14:paraId="3C3DEDC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01" w:type="dxa"/>
            <w:tcBorders>
              <w:top w:val="nil"/>
              <w:left w:val="nil"/>
              <w:bottom w:val="nil"/>
              <w:right w:val="nil"/>
            </w:tcBorders>
            <w:shd w:val="clear" w:color="auto" w:fill="auto"/>
            <w:noWrap/>
            <w:textDirection w:val="tbRl"/>
            <w:vAlign w:val="bottom"/>
            <w:hideMark/>
          </w:tcPr>
          <w:p w14:paraId="2ED71EB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60" w:type="dxa"/>
            <w:tcBorders>
              <w:top w:val="nil"/>
              <w:left w:val="nil"/>
              <w:bottom w:val="nil"/>
              <w:right w:val="nil"/>
            </w:tcBorders>
            <w:shd w:val="clear" w:color="auto" w:fill="auto"/>
            <w:noWrap/>
            <w:textDirection w:val="tbRl"/>
            <w:vAlign w:val="bottom"/>
            <w:hideMark/>
          </w:tcPr>
          <w:p w14:paraId="0DC23A4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43" w:type="dxa"/>
            <w:tcBorders>
              <w:top w:val="nil"/>
              <w:left w:val="nil"/>
              <w:bottom w:val="nil"/>
              <w:right w:val="nil"/>
            </w:tcBorders>
            <w:shd w:val="clear" w:color="auto" w:fill="auto"/>
            <w:noWrap/>
            <w:textDirection w:val="tbRl"/>
            <w:vAlign w:val="bottom"/>
            <w:hideMark/>
          </w:tcPr>
          <w:p w14:paraId="6F41BF6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43" w:type="dxa"/>
            <w:tcBorders>
              <w:top w:val="nil"/>
              <w:left w:val="nil"/>
              <w:bottom w:val="nil"/>
              <w:right w:val="nil"/>
            </w:tcBorders>
            <w:shd w:val="clear" w:color="auto" w:fill="auto"/>
            <w:noWrap/>
            <w:textDirection w:val="tbRl"/>
            <w:vAlign w:val="bottom"/>
            <w:hideMark/>
          </w:tcPr>
          <w:p w14:paraId="4858D2EB"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43" w:type="dxa"/>
            <w:tcBorders>
              <w:top w:val="nil"/>
              <w:left w:val="nil"/>
              <w:bottom w:val="nil"/>
              <w:right w:val="nil"/>
            </w:tcBorders>
            <w:shd w:val="clear" w:color="auto" w:fill="auto"/>
            <w:noWrap/>
            <w:textDirection w:val="tbRl"/>
            <w:vAlign w:val="bottom"/>
            <w:hideMark/>
          </w:tcPr>
          <w:p w14:paraId="12A06EF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43" w:type="dxa"/>
            <w:tcBorders>
              <w:top w:val="nil"/>
              <w:left w:val="nil"/>
              <w:bottom w:val="nil"/>
              <w:right w:val="nil"/>
            </w:tcBorders>
            <w:shd w:val="clear" w:color="auto" w:fill="auto"/>
            <w:noWrap/>
            <w:textDirection w:val="tbRl"/>
            <w:vAlign w:val="bottom"/>
            <w:hideMark/>
          </w:tcPr>
          <w:p w14:paraId="2FCED62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43" w:type="dxa"/>
            <w:tcBorders>
              <w:top w:val="nil"/>
              <w:left w:val="nil"/>
              <w:bottom w:val="nil"/>
              <w:right w:val="nil"/>
            </w:tcBorders>
            <w:shd w:val="clear" w:color="auto" w:fill="auto"/>
            <w:noWrap/>
            <w:textDirection w:val="tbRl"/>
            <w:vAlign w:val="bottom"/>
            <w:hideMark/>
          </w:tcPr>
          <w:p w14:paraId="2CFA3B6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43" w:type="dxa"/>
            <w:tcBorders>
              <w:top w:val="nil"/>
              <w:left w:val="nil"/>
              <w:bottom w:val="nil"/>
              <w:right w:val="single" w:sz="4" w:space="0" w:color="auto"/>
            </w:tcBorders>
            <w:shd w:val="clear" w:color="auto" w:fill="auto"/>
            <w:noWrap/>
            <w:textDirection w:val="tbRl"/>
            <w:vAlign w:val="bottom"/>
            <w:hideMark/>
          </w:tcPr>
          <w:p w14:paraId="16C5E93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43"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418F993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43" w:type="dxa"/>
            <w:tcBorders>
              <w:top w:val="single" w:sz="4" w:space="0" w:color="auto"/>
              <w:left w:val="single" w:sz="4" w:space="0" w:color="auto"/>
              <w:bottom w:val="single" w:sz="4" w:space="0" w:color="auto"/>
              <w:right w:val="single" w:sz="4" w:space="0" w:color="auto"/>
            </w:tcBorders>
            <w:textDirection w:val="tbRl"/>
          </w:tcPr>
          <w:p w14:paraId="3CF50D4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36E2AA3F" w14:textId="77777777" w:rsidTr="00DA302A">
        <w:trPr>
          <w:trHeight w:val="481"/>
        </w:trPr>
        <w:tc>
          <w:tcPr>
            <w:tcW w:w="1369" w:type="dxa"/>
            <w:tcBorders>
              <w:top w:val="nil"/>
              <w:left w:val="nil"/>
              <w:bottom w:val="nil"/>
              <w:right w:val="nil"/>
            </w:tcBorders>
            <w:shd w:val="clear" w:color="auto" w:fill="auto"/>
            <w:noWrap/>
            <w:vAlign w:val="bottom"/>
            <w:hideMark/>
          </w:tcPr>
          <w:p w14:paraId="0667A68A" w14:textId="77777777" w:rsidR="003831BC" w:rsidRPr="009848BB" w:rsidRDefault="003831BC" w:rsidP="00DA302A">
            <w:pPr>
              <w:spacing w:after="0" w:line="240" w:lineRule="auto"/>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 xml:space="preserve">Active Lives </w:t>
            </w:r>
            <w:r w:rsidRPr="009848BB">
              <w:rPr>
                <w:rFonts w:ascii="Century Gothic" w:eastAsia="Times New Roman" w:hAnsi="Century Gothic" w:cs="Calibri"/>
                <w:color w:val="000000"/>
                <w:sz w:val="18"/>
                <w:szCs w:val="18"/>
                <w:lang w:eastAsia="en-GB"/>
              </w:rPr>
              <w:t>average decile</w:t>
            </w:r>
          </w:p>
        </w:tc>
        <w:tc>
          <w:tcPr>
            <w:tcW w:w="543" w:type="dxa"/>
            <w:tcBorders>
              <w:top w:val="nil"/>
              <w:left w:val="nil"/>
              <w:bottom w:val="nil"/>
              <w:right w:val="nil"/>
            </w:tcBorders>
            <w:shd w:val="clear" w:color="000000" w:fill="FBA175"/>
            <w:noWrap/>
            <w:vAlign w:val="bottom"/>
            <w:hideMark/>
          </w:tcPr>
          <w:p w14:paraId="516CAC03"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5.10</w:t>
            </w:r>
          </w:p>
        </w:tc>
        <w:tc>
          <w:tcPr>
            <w:tcW w:w="543" w:type="dxa"/>
            <w:tcBorders>
              <w:top w:val="nil"/>
              <w:left w:val="nil"/>
              <w:bottom w:val="nil"/>
              <w:right w:val="nil"/>
            </w:tcBorders>
            <w:shd w:val="clear" w:color="000000" w:fill="FEDF81"/>
            <w:noWrap/>
            <w:vAlign w:val="bottom"/>
            <w:hideMark/>
          </w:tcPr>
          <w:p w14:paraId="510FCB8D"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5.53</w:t>
            </w:r>
          </w:p>
        </w:tc>
        <w:tc>
          <w:tcPr>
            <w:tcW w:w="585" w:type="dxa"/>
            <w:tcBorders>
              <w:top w:val="nil"/>
              <w:left w:val="nil"/>
              <w:bottom w:val="nil"/>
              <w:right w:val="nil"/>
            </w:tcBorders>
            <w:shd w:val="clear" w:color="000000" w:fill="B4D680"/>
            <w:noWrap/>
            <w:vAlign w:val="bottom"/>
            <w:hideMark/>
          </w:tcPr>
          <w:p w14:paraId="6600BF9B"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6.09</w:t>
            </w:r>
          </w:p>
        </w:tc>
        <w:tc>
          <w:tcPr>
            <w:tcW w:w="543" w:type="dxa"/>
            <w:tcBorders>
              <w:top w:val="nil"/>
              <w:left w:val="nil"/>
              <w:bottom w:val="nil"/>
              <w:right w:val="nil"/>
            </w:tcBorders>
            <w:shd w:val="clear" w:color="000000" w:fill="FBA776"/>
            <w:noWrap/>
            <w:vAlign w:val="bottom"/>
            <w:hideMark/>
          </w:tcPr>
          <w:p w14:paraId="45C37FEA"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5.14</w:t>
            </w:r>
          </w:p>
        </w:tc>
        <w:tc>
          <w:tcPr>
            <w:tcW w:w="601" w:type="dxa"/>
            <w:tcBorders>
              <w:top w:val="nil"/>
              <w:left w:val="nil"/>
              <w:bottom w:val="nil"/>
              <w:right w:val="nil"/>
            </w:tcBorders>
            <w:shd w:val="clear" w:color="000000" w:fill="B9D780"/>
            <w:noWrap/>
            <w:vAlign w:val="bottom"/>
            <w:hideMark/>
          </w:tcPr>
          <w:p w14:paraId="780F0F58"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6.06</w:t>
            </w:r>
          </w:p>
        </w:tc>
        <w:tc>
          <w:tcPr>
            <w:tcW w:w="560" w:type="dxa"/>
            <w:tcBorders>
              <w:top w:val="nil"/>
              <w:left w:val="nil"/>
              <w:bottom w:val="nil"/>
              <w:right w:val="nil"/>
            </w:tcBorders>
            <w:shd w:val="clear" w:color="000000" w:fill="D3DF82"/>
            <w:noWrap/>
            <w:vAlign w:val="bottom"/>
            <w:hideMark/>
          </w:tcPr>
          <w:p w14:paraId="74CC8CEA"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5.90</w:t>
            </w:r>
          </w:p>
        </w:tc>
        <w:tc>
          <w:tcPr>
            <w:tcW w:w="543" w:type="dxa"/>
            <w:tcBorders>
              <w:top w:val="nil"/>
              <w:left w:val="nil"/>
              <w:bottom w:val="nil"/>
              <w:right w:val="nil"/>
            </w:tcBorders>
            <w:shd w:val="clear" w:color="000000" w:fill="F3E884"/>
            <w:noWrap/>
            <w:vAlign w:val="bottom"/>
            <w:hideMark/>
          </w:tcPr>
          <w:p w14:paraId="6646E737"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5.69</w:t>
            </w:r>
          </w:p>
        </w:tc>
        <w:tc>
          <w:tcPr>
            <w:tcW w:w="543" w:type="dxa"/>
            <w:tcBorders>
              <w:top w:val="nil"/>
              <w:left w:val="nil"/>
              <w:bottom w:val="nil"/>
              <w:right w:val="nil"/>
            </w:tcBorders>
            <w:shd w:val="clear" w:color="000000" w:fill="F8696B"/>
            <w:noWrap/>
            <w:vAlign w:val="bottom"/>
            <w:hideMark/>
          </w:tcPr>
          <w:p w14:paraId="49210CB6"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4.71</w:t>
            </w:r>
          </w:p>
        </w:tc>
        <w:tc>
          <w:tcPr>
            <w:tcW w:w="543" w:type="dxa"/>
            <w:tcBorders>
              <w:top w:val="nil"/>
              <w:left w:val="nil"/>
              <w:bottom w:val="nil"/>
              <w:right w:val="nil"/>
            </w:tcBorders>
            <w:shd w:val="clear" w:color="000000" w:fill="C5DB81"/>
            <w:noWrap/>
            <w:vAlign w:val="bottom"/>
            <w:hideMark/>
          </w:tcPr>
          <w:p w14:paraId="13F172E5"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5.98</w:t>
            </w:r>
          </w:p>
        </w:tc>
        <w:tc>
          <w:tcPr>
            <w:tcW w:w="543" w:type="dxa"/>
            <w:tcBorders>
              <w:top w:val="nil"/>
              <w:left w:val="nil"/>
              <w:bottom w:val="nil"/>
              <w:right w:val="nil"/>
            </w:tcBorders>
            <w:shd w:val="clear" w:color="000000" w:fill="FDD17F"/>
            <w:noWrap/>
            <w:vAlign w:val="bottom"/>
            <w:hideMark/>
          </w:tcPr>
          <w:p w14:paraId="30D16753"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5.43</w:t>
            </w:r>
          </w:p>
        </w:tc>
        <w:tc>
          <w:tcPr>
            <w:tcW w:w="543" w:type="dxa"/>
            <w:tcBorders>
              <w:top w:val="nil"/>
              <w:left w:val="nil"/>
              <w:bottom w:val="nil"/>
              <w:right w:val="nil"/>
            </w:tcBorders>
            <w:shd w:val="clear" w:color="000000" w:fill="FA9D75"/>
            <w:noWrap/>
            <w:vAlign w:val="bottom"/>
            <w:hideMark/>
          </w:tcPr>
          <w:p w14:paraId="6C75B477"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5.07</w:t>
            </w:r>
          </w:p>
        </w:tc>
        <w:tc>
          <w:tcPr>
            <w:tcW w:w="543" w:type="dxa"/>
            <w:tcBorders>
              <w:top w:val="nil"/>
              <w:left w:val="nil"/>
              <w:bottom w:val="nil"/>
              <w:right w:val="nil"/>
            </w:tcBorders>
            <w:shd w:val="clear" w:color="000000" w:fill="63BE7B"/>
            <w:noWrap/>
            <w:vAlign w:val="bottom"/>
            <w:hideMark/>
          </w:tcPr>
          <w:p w14:paraId="7A9926D9" w14:textId="77777777" w:rsidR="003831BC" w:rsidRPr="00C50E27" w:rsidRDefault="003831BC" w:rsidP="00DA302A">
            <w:pPr>
              <w:spacing w:after="0" w:line="240" w:lineRule="auto"/>
              <w:jc w:val="both"/>
              <w:rPr>
                <w:rFonts w:ascii="Century Gothic" w:eastAsia="Times New Roman" w:hAnsi="Century Gothic" w:cs="Calibri"/>
                <w:color w:val="000000"/>
                <w:sz w:val="18"/>
                <w:szCs w:val="18"/>
                <w:lang w:eastAsia="en-GB"/>
              </w:rPr>
            </w:pPr>
            <w:r w:rsidRPr="00C50E27">
              <w:rPr>
                <w:rFonts w:ascii="Century Gothic" w:hAnsi="Century Gothic" w:cs="Calibri"/>
                <w:color w:val="000000"/>
                <w:sz w:val="18"/>
                <w:szCs w:val="18"/>
              </w:rPr>
              <w:t>6.60</w:t>
            </w:r>
          </w:p>
        </w:tc>
        <w:tc>
          <w:tcPr>
            <w:tcW w:w="543" w:type="dxa"/>
            <w:tcBorders>
              <w:top w:val="nil"/>
              <w:left w:val="nil"/>
              <w:bottom w:val="nil"/>
              <w:right w:val="nil"/>
            </w:tcBorders>
            <w:shd w:val="clear" w:color="auto" w:fill="auto"/>
            <w:noWrap/>
            <w:vAlign w:val="bottom"/>
            <w:hideMark/>
          </w:tcPr>
          <w:p w14:paraId="60744924" w14:textId="77777777" w:rsidR="003831BC" w:rsidRPr="00C50E27"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C50E27">
              <w:rPr>
                <w:rFonts w:ascii="Century Gothic" w:hAnsi="Century Gothic" w:cs="Calibri"/>
                <w:b/>
                <w:bCs/>
                <w:color w:val="000000"/>
                <w:sz w:val="18"/>
                <w:szCs w:val="18"/>
              </w:rPr>
              <w:t>5.58</w:t>
            </w:r>
          </w:p>
        </w:tc>
        <w:tc>
          <w:tcPr>
            <w:tcW w:w="543" w:type="dxa"/>
            <w:tcBorders>
              <w:top w:val="nil"/>
              <w:left w:val="nil"/>
              <w:bottom w:val="nil"/>
              <w:right w:val="nil"/>
            </w:tcBorders>
            <w:vAlign w:val="bottom"/>
          </w:tcPr>
          <w:p w14:paraId="6826E316" w14:textId="77777777" w:rsidR="003831BC" w:rsidRPr="00C50E27"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5.50</w:t>
            </w:r>
          </w:p>
        </w:tc>
      </w:tr>
    </w:tbl>
    <w:p w14:paraId="30A9F1E7" w14:textId="77777777" w:rsidR="003831BC" w:rsidRDefault="003831BC" w:rsidP="003831BC">
      <w:pPr>
        <w:jc w:val="both"/>
        <w:rPr>
          <w:rFonts w:ascii="Century Gothic" w:hAnsi="Century Gothic"/>
          <w:b/>
          <w:bCs/>
        </w:rPr>
      </w:pPr>
    </w:p>
    <w:p w14:paraId="02B1FB8B" w14:textId="77777777" w:rsidR="003831BC" w:rsidRDefault="003831BC" w:rsidP="003831BC">
      <w:pPr>
        <w:jc w:val="both"/>
        <w:rPr>
          <w:rFonts w:ascii="Century Gothic" w:hAnsi="Century Gothic"/>
          <w:b/>
          <w:bCs/>
        </w:rPr>
      </w:pPr>
    </w:p>
    <w:p w14:paraId="010BC80F"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Essex LSOAs score nationally for Active Lives measures</w:t>
      </w:r>
    </w:p>
    <w:p w14:paraId="3C06A2A5"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table below shows 20 LSOAs in Essex which score the lowest on Active Lives Survey measures. The modelled estimates we had from the Active Lives measure were created at MSOA level, therefore many of these scores refer to the MSOA of each area and aren’t specific to each LSOA. Nevertheless, it provides a useful indication for likely physical activity rates at a local level.</w:t>
      </w:r>
    </w:p>
    <w:p w14:paraId="659A7172"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The areas which score poorest on Active Lives Survey measures are likely to be found in Witham, located in the district of Braintree, in </w:t>
      </w:r>
      <w:proofErr w:type="spellStart"/>
      <w:r w:rsidRPr="001F43A8">
        <w:rPr>
          <w:rFonts w:ascii="Century Gothic" w:hAnsi="Century Gothic"/>
          <w:sz w:val="22"/>
          <w:szCs w:val="22"/>
        </w:rPr>
        <w:t>Pitsea</w:t>
      </w:r>
      <w:proofErr w:type="spellEnd"/>
      <w:r w:rsidRPr="001F43A8">
        <w:rPr>
          <w:rFonts w:ascii="Century Gothic" w:hAnsi="Century Gothic"/>
          <w:sz w:val="22"/>
          <w:szCs w:val="22"/>
        </w:rPr>
        <w:t xml:space="preserve"> in Basildon, and in Clacton and the surrounding areas in Tendring.</w:t>
      </w:r>
    </w:p>
    <w:p w14:paraId="70FF0385" w14:textId="77777777" w:rsidR="003831BC" w:rsidRPr="001F43A8" w:rsidRDefault="003831BC" w:rsidP="003831BC">
      <w:pPr>
        <w:jc w:val="both"/>
        <w:rPr>
          <w:rFonts w:ascii="Century Gothic" w:hAnsi="Century Gothic"/>
          <w:b/>
          <w:bCs/>
          <w:sz w:val="22"/>
          <w:szCs w:val="22"/>
        </w:rPr>
      </w:pPr>
      <w:r w:rsidRPr="001F43A8">
        <w:rPr>
          <w:rFonts w:ascii="Century Gothic" w:hAnsi="Century Gothic"/>
          <w:sz w:val="22"/>
          <w:szCs w:val="22"/>
        </w:rPr>
        <w:t xml:space="preserve">All these LSOAs are placed in deciles 1-4 of the 2019 Indices of Deprivation, with the exception of one LSOA located in the Witham West ward of Braintree which placed in decile 5, and one LSOA located in the </w:t>
      </w:r>
      <w:proofErr w:type="spellStart"/>
      <w:r w:rsidRPr="001F43A8">
        <w:rPr>
          <w:rFonts w:ascii="Century Gothic" w:hAnsi="Century Gothic"/>
          <w:sz w:val="22"/>
          <w:szCs w:val="22"/>
        </w:rPr>
        <w:t>Greenstead</w:t>
      </w:r>
      <w:proofErr w:type="spellEnd"/>
      <w:r w:rsidRPr="001F43A8">
        <w:rPr>
          <w:rFonts w:ascii="Century Gothic" w:hAnsi="Century Gothic"/>
          <w:sz w:val="22"/>
          <w:szCs w:val="22"/>
        </w:rPr>
        <w:t xml:space="preserve"> ward of Colchester, which placed in decile 6.</w:t>
      </w:r>
    </w:p>
    <w:tbl>
      <w:tblPr>
        <w:tblW w:w="8659" w:type="dxa"/>
        <w:tblLook w:val="04A0" w:firstRow="1" w:lastRow="0" w:firstColumn="1" w:lastColumn="0" w:noHBand="0" w:noVBand="1"/>
      </w:tblPr>
      <w:tblGrid>
        <w:gridCol w:w="960"/>
        <w:gridCol w:w="1111"/>
        <w:gridCol w:w="1501"/>
        <w:gridCol w:w="2190"/>
        <w:gridCol w:w="1162"/>
        <w:gridCol w:w="960"/>
        <w:gridCol w:w="1040"/>
      </w:tblGrid>
      <w:tr w:rsidR="003831BC" w:rsidRPr="006A58E0" w14:paraId="5E015A21" w14:textId="77777777" w:rsidTr="00DA302A">
        <w:trPr>
          <w:trHeight w:val="288"/>
        </w:trPr>
        <w:tc>
          <w:tcPr>
            <w:tcW w:w="960" w:type="dxa"/>
            <w:tcBorders>
              <w:top w:val="nil"/>
              <w:left w:val="nil"/>
              <w:bottom w:val="single" w:sz="4" w:space="0" w:color="auto"/>
              <w:right w:val="nil"/>
            </w:tcBorders>
            <w:shd w:val="clear" w:color="auto" w:fill="auto"/>
            <w:noWrap/>
            <w:vAlign w:val="bottom"/>
            <w:hideMark/>
          </w:tcPr>
          <w:p w14:paraId="0236EEB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Theme Rank</w:t>
            </w:r>
          </w:p>
        </w:tc>
        <w:tc>
          <w:tcPr>
            <w:tcW w:w="1030" w:type="dxa"/>
            <w:tcBorders>
              <w:top w:val="nil"/>
              <w:left w:val="nil"/>
              <w:bottom w:val="single" w:sz="4" w:space="0" w:color="auto"/>
              <w:right w:val="nil"/>
            </w:tcBorders>
            <w:shd w:val="clear" w:color="auto" w:fill="auto"/>
            <w:noWrap/>
            <w:vAlign w:val="bottom"/>
            <w:hideMark/>
          </w:tcPr>
          <w:p w14:paraId="1071B86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LSOA Code</w:t>
            </w:r>
          </w:p>
        </w:tc>
        <w:tc>
          <w:tcPr>
            <w:tcW w:w="1501" w:type="dxa"/>
            <w:tcBorders>
              <w:top w:val="nil"/>
              <w:left w:val="nil"/>
              <w:bottom w:val="single" w:sz="4" w:space="0" w:color="auto"/>
              <w:right w:val="nil"/>
            </w:tcBorders>
            <w:shd w:val="clear" w:color="auto" w:fill="auto"/>
            <w:noWrap/>
            <w:vAlign w:val="bottom"/>
            <w:hideMark/>
          </w:tcPr>
          <w:p w14:paraId="75BB346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LSOA Name</w:t>
            </w:r>
          </w:p>
        </w:tc>
        <w:tc>
          <w:tcPr>
            <w:tcW w:w="2190" w:type="dxa"/>
            <w:tcBorders>
              <w:top w:val="nil"/>
              <w:left w:val="nil"/>
              <w:bottom w:val="single" w:sz="4" w:space="0" w:color="auto"/>
              <w:right w:val="nil"/>
            </w:tcBorders>
            <w:shd w:val="clear" w:color="auto" w:fill="auto"/>
            <w:noWrap/>
            <w:vAlign w:val="bottom"/>
            <w:hideMark/>
          </w:tcPr>
          <w:p w14:paraId="29D6827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Ward</w:t>
            </w:r>
          </w:p>
        </w:tc>
        <w:tc>
          <w:tcPr>
            <w:tcW w:w="978" w:type="dxa"/>
            <w:tcBorders>
              <w:top w:val="nil"/>
              <w:left w:val="nil"/>
              <w:bottom w:val="single" w:sz="4" w:space="0" w:color="auto"/>
              <w:right w:val="nil"/>
            </w:tcBorders>
            <w:shd w:val="clear" w:color="auto" w:fill="auto"/>
            <w:noWrap/>
            <w:vAlign w:val="bottom"/>
            <w:hideMark/>
          </w:tcPr>
          <w:p w14:paraId="25575B9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LA Name</w:t>
            </w:r>
          </w:p>
        </w:tc>
        <w:tc>
          <w:tcPr>
            <w:tcW w:w="960" w:type="dxa"/>
            <w:tcBorders>
              <w:top w:val="nil"/>
              <w:left w:val="nil"/>
              <w:bottom w:val="single" w:sz="4" w:space="0" w:color="auto"/>
              <w:right w:val="nil"/>
            </w:tcBorders>
            <w:shd w:val="clear" w:color="auto" w:fill="auto"/>
            <w:noWrap/>
            <w:vAlign w:val="bottom"/>
            <w:hideMark/>
          </w:tcPr>
          <w:p w14:paraId="23621D6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IMD 2019 decile</w:t>
            </w:r>
          </w:p>
        </w:tc>
        <w:tc>
          <w:tcPr>
            <w:tcW w:w="1040" w:type="dxa"/>
            <w:tcBorders>
              <w:top w:val="nil"/>
              <w:left w:val="nil"/>
              <w:bottom w:val="single" w:sz="4" w:space="0" w:color="auto"/>
              <w:right w:val="nil"/>
            </w:tcBorders>
            <w:shd w:val="clear" w:color="auto" w:fill="auto"/>
            <w:noWrap/>
            <w:vAlign w:val="bottom"/>
            <w:hideMark/>
          </w:tcPr>
          <w:p w14:paraId="060DE47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Active Lives Average</w:t>
            </w:r>
          </w:p>
        </w:tc>
      </w:tr>
      <w:tr w:rsidR="003831BC" w:rsidRPr="006A58E0" w14:paraId="5CC9E7E9"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B7BB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6835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E01021425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8478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 016B</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4AC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Witham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B9A5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E310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C104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301418D0"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2B2B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042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E01021427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B4F6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 016C</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25EC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Witham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B379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044E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0B38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21CAAA9C"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A41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B614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E01021306</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0BAD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013E</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D006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56D0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35CF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2198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76EC3721"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F69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3E97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E01021423</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0D97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 016A</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2A20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Witham Central</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E1E6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098E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AC3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69C147BC"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BF0E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5</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6FC1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183C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013C</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8399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60B5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E700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DCCA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58FE7F33"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9D70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6</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132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E01021271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845B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013A</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694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Fryerns</w:t>
            </w:r>
            <w:proofErr w:type="spellEnd"/>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F976D"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0EC0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B30D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70C9BA47"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2BD7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7</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B545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E01021429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EC2A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 016D</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F4E7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Witham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259D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Braintree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62F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CA45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08034718"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C2EB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8</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9760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0D57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013D</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8F1B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027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8AE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E34F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19E6E87F"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B294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9</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A6BA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E01021302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15CC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013B</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14BF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Pitsea</w:t>
            </w:r>
            <w:proofErr w:type="spellEnd"/>
            <w:r w:rsidRPr="006A58E0">
              <w:rPr>
                <w:rFonts w:ascii="Century Gothic" w:eastAsia="Times New Roman" w:hAnsi="Century Gothic" w:cs="Calibri"/>
                <w:color w:val="000000"/>
                <w:sz w:val="18"/>
                <w:szCs w:val="18"/>
                <w:lang w:eastAsia="en-GB"/>
              </w:rPr>
              <w:t xml:space="preserve"> North West</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B58B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6F0C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F875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3.67</w:t>
            </w:r>
          </w:p>
        </w:tc>
      </w:tr>
      <w:tr w:rsidR="003831BC" w:rsidRPr="006A58E0" w14:paraId="691A9CC7"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213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10</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0DCA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E01022047</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CAEF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018E</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B5C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St </w:t>
            </w:r>
            <w:proofErr w:type="spellStart"/>
            <w:r w:rsidRPr="006A58E0">
              <w:rPr>
                <w:rFonts w:ascii="Century Gothic" w:eastAsia="Times New Roman" w:hAnsi="Century Gothic" w:cs="Calibri"/>
                <w:color w:val="000000"/>
                <w:sz w:val="18"/>
                <w:szCs w:val="18"/>
                <w:lang w:eastAsia="en-GB"/>
              </w:rPr>
              <w:t>Osyth</w:t>
            </w:r>
            <w:proofErr w:type="spellEnd"/>
            <w:r w:rsidRPr="006A58E0">
              <w:rPr>
                <w:rFonts w:ascii="Century Gothic" w:eastAsia="Times New Roman" w:hAnsi="Century Gothic" w:cs="Calibri"/>
                <w:color w:val="000000"/>
                <w:sz w:val="18"/>
                <w:szCs w:val="18"/>
                <w:lang w:eastAsia="en-GB"/>
              </w:rPr>
              <w:t xml:space="preserve"> and Point Clear</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BBA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FD56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A6FA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3D770791"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7E3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11</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205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E01033719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7FA0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Colchester 008G</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FAB4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6A58E0">
              <w:rPr>
                <w:rFonts w:ascii="Century Gothic" w:eastAsia="Times New Roman" w:hAnsi="Century Gothic" w:cs="Calibri"/>
                <w:color w:val="000000"/>
                <w:sz w:val="18"/>
                <w:szCs w:val="18"/>
                <w:lang w:eastAsia="en-GB"/>
              </w:rPr>
              <w:t>Greenstead</w:t>
            </w:r>
            <w:proofErr w:type="spellEnd"/>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4FE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Colchester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85FF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60A5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1C58A88D"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A115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12</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951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E01021988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922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018A</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C2D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Golf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724B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8AD0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33EB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685EE31E"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6EF0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13</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DD10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E01022045</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853A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018D</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D24C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St </w:t>
            </w:r>
            <w:proofErr w:type="spellStart"/>
            <w:r w:rsidRPr="006A58E0">
              <w:rPr>
                <w:rFonts w:ascii="Century Gothic" w:eastAsia="Times New Roman" w:hAnsi="Century Gothic" w:cs="Calibri"/>
                <w:color w:val="000000"/>
                <w:sz w:val="18"/>
                <w:szCs w:val="18"/>
                <w:lang w:eastAsia="en-GB"/>
              </w:rPr>
              <w:t>Osyth</w:t>
            </w:r>
            <w:proofErr w:type="spellEnd"/>
            <w:r w:rsidRPr="006A58E0">
              <w:rPr>
                <w:rFonts w:ascii="Century Gothic" w:eastAsia="Times New Roman" w:hAnsi="Century Gothic" w:cs="Calibri"/>
                <w:color w:val="000000"/>
                <w:sz w:val="18"/>
                <w:szCs w:val="18"/>
                <w:lang w:eastAsia="en-GB"/>
              </w:rPr>
              <w:t xml:space="preserve"> and Point Clear</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89F3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C2C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AEBA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006FB20D"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BEF8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14</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0207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E01021989</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B92E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018B</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FC84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Golf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2A77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EE350"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3235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1D99D520"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E505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15</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D45F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E01021990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10B2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018C</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6113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Golf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F455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41D0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84F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6D32315B"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1DFB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16</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B7C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E01022024</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6A1D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015B</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5B1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 xml:space="preserve">Peter </w:t>
            </w:r>
            <w:proofErr w:type="spellStart"/>
            <w:r w:rsidRPr="006A58E0">
              <w:rPr>
                <w:rFonts w:ascii="Century Gothic" w:eastAsia="Times New Roman" w:hAnsi="Century Gothic" w:cs="Calibri"/>
                <w:color w:val="000000"/>
                <w:sz w:val="18"/>
                <w:szCs w:val="18"/>
                <w:lang w:eastAsia="en-GB"/>
              </w:rPr>
              <w:t>Bruff</w:t>
            </w:r>
            <w:proofErr w:type="spellEnd"/>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2851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84D8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C24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129344EB"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C5609"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17</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D795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E01022030</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5429E"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015C</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987D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Rush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C77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C752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6FBB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44DADB99"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7B00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18</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7FEE4"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E01022031</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A333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015D</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9C4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Rush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F45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9397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EBECF"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22147E6D"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75E1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19</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71B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E01021288</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548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 016B</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24065"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Lee Chapel North</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D2081"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Basildon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4EF7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C88C"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r w:rsidR="003831BC" w:rsidRPr="006A58E0" w14:paraId="6609BAE7" w14:textId="77777777" w:rsidTr="00DA302A">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2CDBA"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20</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1FE7"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E01022032</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3B7C2"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 015E</w:t>
            </w:r>
          </w:p>
        </w:tc>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7B53"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Rush Green</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DDB8"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Tendring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6A906"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F0D9B" w14:textId="77777777" w:rsidR="003831BC" w:rsidRPr="006A58E0" w:rsidRDefault="003831BC" w:rsidP="00DA302A">
            <w:pPr>
              <w:spacing w:after="0" w:line="240" w:lineRule="auto"/>
              <w:jc w:val="both"/>
              <w:rPr>
                <w:rFonts w:ascii="Century Gothic" w:eastAsia="Times New Roman" w:hAnsi="Century Gothic" w:cs="Calibri"/>
                <w:color w:val="000000"/>
                <w:sz w:val="18"/>
                <w:szCs w:val="18"/>
                <w:lang w:eastAsia="en-GB"/>
              </w:rPr>
            </w:pPr>
            <w:r w:rsidRPr="006A58E0">
              <w:rPr>
                <w:rFonts w:ascii="Century Gothic" w:eastAsia="Times New Roman" w:hAnsi="Century Gothic" w:cs="Calibri"/>
                <w:color w:val="000000"/>
                <w:sz w:val="18"/>
                <w:szCs w:val="18"/>
                <w:lang w:eastAsia="en-GB"/>
              </w:rPr>
              <w:t>4.00</w:t>
            </w:r>
          </w:p>
        </w:tc>
      </w:tr>
    </w:tbl>
    <w:p w14:paraId="1E540BF8" w14:textId="77777777" w:rsidR="003831BC" w:rsidRDefault="003831BC" w:rsidP="003831BC">
      <w:pPr>
        <w:jc w:val="both"/>
        <w:rPr>
          <w:rFonts w:ascii="Century Gothic" w:hAnsi="Century Gothic"/>
          <w:b/>
          <w:bCs/>
        </w:rPr>
      </w:pPr>
    </w:p>
    <w:p w14:paraId="195BF560"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map below shows where each LSOA in Essex places nationally in our Active Lives decile. As outlined in the table above, the lowest scoring areas are found in Witham and Clacton and the surrounding areas in Tendring.</w:t>
      </w:r>
    </w:p>
    <w:p w14:paraId="77E113E7"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All districts appear to have </w:t>
      </w:r>
      <w:proofErr w:type="gramStart"/>
      <w:r w:rsidRPr="001F43A8">
        <w:rPr>
          <w:rFonts w:ascii="Century Gothic" w:hAnsi="Century Gothic"/>
          <w:sz w:val="22"/>
          <w:szCs w:val="22"/>
        </w:rPr>
        <w:t>a number of</w:t>
      </w:r>
      <w:proofErr w:type="gramEnd"/>
      <w:r w:rsidRPr="001F43A8">
        <w:rPr>
          <w:rFonts w:ascii="Century Gothic" w:hAnsi="Century Gothic"/>
          <w:sz w:val="22"/>
          <w:szCs w:val="22"/>
        </w:rPr>
        <w:t xml:space="preserve"> LSOAs in that fall within deciles 4-6 of the Active Lives decile. All LSOAs within Rochford and Castle Point fall within these deciles.</w:t>
      </w:r>
    </w:p>
    <w:p w14:paraId="10C56F52" w14:textId="77777777" w:rsidR="003831BC" w:rsidRDefault="003831BC" w:rsidP="003831BC">
      <w:pPr>
        <w:jc w:val="both"/>
        <w:rPr>
          <w:rFonts w:ascii="Century Gothic" w:hAnsi="Century Gothic"/>
          <w:b/>
          <w:bCs/>
        </w:rPr>
      </w:pPr>
    </w:p>
    <w:p w14:paraId="014C4D92" w14:textId="77777777" w:rsidR="003831BC" w:rsidRDefault="003831BC" w:rsidP="003831BC">
      <w:pPr>
        <w:jc w:val="center"/>
        <w:rPr>
          <w:rFonts w:ascii="Century Gothic" w:hAnsi="Century Gothic"/>
          <w:b/>
          <w:bCs/>
        </w:rPr>
      </w:pPr>
      <w:r>
        <w:rPr>
          <w:noProof/>
        </w:rPr>
        <w:drawing>
          <wp:inline distT="0" distB="0" distL="0" distR="0" wp14:anchorId="279A69E2" wp14:editId="69DCBEAB">
            <wp:extent cx="5189220" cy="36426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4561" cy="3653457"/>
                    </a:xfrm>
                    <a:prstGeom prst="rect">
                      <a:avLst/>
                    </a:prstGeom>
                  </pic:spPr>
                </pic:pic>
              </a:graphicData>
            </a:graphic>
          </wp:inline>
        </w:drawing>
      </w:r>
    </w:p>
    <w:p w14:paraId="67489707"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Active Lives measures rank within Essex</w:t>
      </w:r>
    </w:p>
    <w:p w14:paraId="66D6E233"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map below shows each Essex LSOA ranked from 1 to 872 depending on its Active Lives decile score, with 1 being the lowest Active Lives decile score, and 872 the highest. This allows us to see the spread of modelled data from the Active Lives Survey on an Essex-specific scale.</w:t>
      </w:r>
    </w:p>
    <w:p w14:paraId="5CB0B117" w14:textId="77777777" w:rsidR="003831BC" w:rsidRDefault="003831BC" w:rsidP="003831BC">
      <w:pPr>
        <w:jc w:val="both"/>
        <w:rPr>
          <w:rFonts w:ascii="Century Gothic" w:hAnsi="Century Gothic"/>
        </w:rPr>
      </w:pPr>
      <w:r>
        <w:rPr>
          <w:noProof/>
        </w:rPr>
        <w:drawing>
          <wp:inline distT="0" distB="0" distL="0" distR="0" wp14:anchorId="548B8F78" wp14:editId="090BD746">
            <wp:extent cx="5731510" cy="399542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995420"/>
                    </a:xfrm>
                    <a:prstGeom prst="rect">
                      <a:avLst/>
                    </a:prstGeom>
                  </pic:spPr>
                </pic:pic>
              </a:graphicData>
            </a:graphic>
          </wp:inline>
        </w:drawing>
      </w:r>
    </w:p>
    <w:p w14:paraId="0186B526"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0" w:name="_Toc50553602"/>
      <w:r>
        <w:rPr>
          <w:rFonts w:ascii="Century Gothic" w:hAnsi="Century Gothic"/>
          <w:b/>
          <w:bCs/>
          <w:i/>
          <w:iCs/>
          <w:color w:val="D8117D"/>
          <w:sz w:val="24"/>
          <w:szCs w:val="24"/>
        </w:rPr>
        <w:t>Crime</w:t>
      </w:r>
      <w:bookmarkEnd w:id="20"/>
    </w:p>
    <w:p w14:paraId="27E01499" w14:textId="77777777" w:rsidR="003831BC" w:rsidRDefault="003831BC" w:rsidP="003831BC">
      <w:pPr>
        <w:jc w:val="both"/>
      </w:pPr>
    </w:p>
    <w:p w14:paraId="5A830859"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From the findings of our regression analysis, high crimes rates were the fifth biggest driver of physical inactivity.</w:t>
      </w:r>
    </w:p>
    <w:p w14:paraId="6FE430B5"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On average, Essex scores 5.84 for Crime, scoring marginally lower than the national average of 5.86. The highest scores are found in Maldon (6.93), Rochford (6.85) and Uttlesford (6.81), meaning that crimes rates are lower in these districts. The lowest scores are found in the districts of Harlow (4.86), Epping Forest (5.33) and Basildon (5.34).</w:t>
      </w:r>
    </w:p>
    <w:p w14:paraId="202D8757" w14:textId="77777777" w:rsidR="003831BC" w:rsidRDefault="003831BC" w:rsidP="003831BC">
      <w:pPr>
        <w:jc w:val="both"/>
        <w:rPr>
          <w:rFonts w:ascii="Century Gothic" w:hAnsi="Century Gothic"/>
        </w:rPr>
      </w:pPr>
    </w:p>
    <w:tbl>
      <w:tblPr>
        <w:tblW w:w="9129" w:type="dxa"/>
        <w:tblLook w:val="04A0" w:firstRow="1" w:lastRow="0" w:firstColumn="1" w:lastColumn="0" w:noHBand="0" w:noVBand="1"/>
      </w:tblPr>
      <w:tblGrid>
        <w:gridCol w:w="1346"/>
        <w:gridCol w:w="566"/>
        <w:gridCol w:w="566"/>
        <w:gridCol w:w="575"/>
        <w:gridCol w:w="566"/>
        <w:gridCol w:w="590"/>
        <w:gridCol w:w="566"/>
        <w:gridCol w:w="566"/>
        <w:gridCol w:w="566"/>
        <w:gridCol w:w="566"/>
        <w:gridCol w:w="566"/>
        <w:gridCol w:w="566"/>
        <w:gridCol w:w="566"/>
        <w:gridCol w:w="569"/>
        <w:gridCol w:w="569"/>
      </w:tblGrid>
      <w:tr w:rsidR="003831BC" w:rsidRPr="009848BB" w14:paraId="2A232F46" w14:textId="77777777" w:rsidTr="00DA302A">
        <w:trPr>
          <w:cantSplit/>
          <w:trHeight w:val="1581"/>
        </w:trPr>
        <w:tc>
          <w:tcPr>
            <w:tcW w:w="1346" w:type="dxa"/>
            <w:tcBorders>
              <w:top w:val="nil"/>
              <w:left w:val="nil"/>
              <w:bottom w:val="nil"/>
              <w:right w:val="nil"/>
            </w:tcBorders>
            <w:shd w:val="clear" w:color="auto" w:fill="auto"/>
            <w:noWrap/>
            <w:vAlign w:val="bottom"/>
            <w:hideMark/>
          </w:tcPr>
          <w:p w14:paraId="0DADEA8D"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51" w:type="dxa"/>
            <w:tcBorders>
              <w:top w:val="nil"/>
              <w:left w:val="nil"/>
              <w:bottom w:val="nil"/>
              <w:right w:val="nil"/>
            </w:tcBorders>
            <w:shd w:val="clear" w:color="auto" w:fill="auto"/>
            <w:noWrap/>
            <w:textDirection w:val="tbRl"/>
            <w:vAlign w:val="bottom"/>
            <w:hideMark/>
          </w:tcPr>
          <w:p w14:paraId="640BE3C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51" w:type="dxa"/>
            <w:tcBorders>
              <w:top w:val="nil"/>
              <w:left w:val="nil"/>
              <w:bottom w:val="nil"/>
              <w:right w:val="nil"/>
            </w:tcBorders>
            <w:shd w:val="clear" w:color="auto" w:fill="auto"/>
            <w:noWrap/>
            <w:textDirection w:val="tbRl"/>
            <w:vAlign w:val="bottom"/>
            <w:hideMark/>
          </w:tcPr>
          <w:p w14:paraId="372F6C1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75" w:type="dxa"/>
            <w:tcBorders>
              <w:top w:val="nil"/>
              <w:left w:val="nil"/>
              <w:bottom w:val="nil"/>
              <w:right w:val="nil"/>
            </w:tcBorders>
            <w:shd w:val="clear" w:color="auto" w:fill="auto"/>
            <w:noWrap/>
            <w:textDirection w:val="tbRl"/>
            <w:vAlign w:val="bottom"/>
            <w:hideMark/>
          </w:tcPr>
          <w:p w14:paraId="3151A94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51" w:type="dxa"/>
            <w:tcBorders>
              <w:top w:val="nil"/>
              <w:left w:val="nil"/>
              <w:bottom w:val="nil"/>
              <w:right w:val="nil"/>
            </w:tcBorders>
            <w:shd w:val="clear" w:color="auto" w:fill="auto"/>
            <w:noWrap/>
            <w:textDirection w:val="tbRl"/>
            <w:vAlign w:val="bottom"/>
            <w:hideMark/>
          </w:tcPr>
          <w:p w14:paraId="24D8189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590" w:type="dxa"/>
            <w:tcBorders>
              <w:top w:val="nil"/>
              <w:left w:val="nil"/>
              <w:bottom w:val="nil"/>
              <w:right w:val="nil"/>
            </w:tcBorders>
            <w:shd w:val="clear" w:color="auto" w:fill="auto"/>
            <w:noWrap/>
            <w:textDirection w:val="tbRl"/>
            <w:vAlign w:val="bottom"/>
            <w:hideMark/>
          </w:tcPr>
          <w:p w14:paraId="1133D56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51" w:type="dxa"/>
            <w:tcBorders>
              <w:top w:val="nil"/>
              <w:left w:val="nil"/>
              <w:bottom w:val="nil"/>
              <w:right w:val="nil"/>
            </w:tcBorders>
            <w:shd w:val="clear" w:color="auto" w:fill="auto"/>
            <w:noWrap/>
            <w:textDirection w:val="tbRl"/>
            <w:vAlign w:val="bottom"/>
            <w:hideMark/>
          </w:tcPr>
          <w:p w14:paraId="0C8EE95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51" w:type="dxa"/>
            <w:tcBorders>
              <w:top w:val="nil"/>
              <w:left w:val="nil"/>
              <w:bottom w:val="nil"/>
              <w:right w:val="nil"/>
            </w:tcBorders>
            <w:shd w:val="clear" w:color="auto" w:fill="auto"/>
            <w:noWrap/>
            <w:textDirection w:val="tbRl"/>
            <w:vAlign w:val="bottom"/>
            <w:hideMark/>
          </w:tcPr>
          <w:p w14:paraId="619ACAC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51" w:type="dxa"/>
            <w:tcBorders>
              <w:top w:val="nil"/>
              <w:left w:val="nil"/>
              <w:bottom w:val="nil"/>
              <w:right w:val="nil"/>
            </w:tcBorders>
            <w:shd w:val="clear" w:color="auto" w:fill="auto"/>
            <w:noWrap/>
            <w:textDirection w:val="tbRl"/>
            <w:vAlign w:val="bottom"/>
            <w:hideMark/>
          </w:tcPr>
          <w:p w14:paraId="0A613CA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51" w:type="dxa"/>
            <w:tcBorders>
              <w:top w:val="nil"/>
              <w:left w:val="nil"/>
              <w:bottom w:val="nil"/>
              <w:right w:val="nil"/>
            </w:tcBorders>
            <w:shd w:val="clear" w:color="auto" w:fill="auto"/>
            <w:noWrap/>
            <w:textDirection w:val="tbRl"/>
            <w:vAlign w:val="bottom"/>
            <w:hideMark/>
          </w:tcPr>
          <w:p w14:paraId="4F5FE99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51" w:type="dxa"/>
            <w:tcBorders>
              <w:top w:val="nil"/>
              <w:left w:val="nil"/>
              <w:bottom w:val="nil"/>
              <w:right w:val="nil"/>
            </w:tcBorders>
            <w:shd w:val="clear" w:color="auto" w:fill="auto"/>
            <w:noWrap/>
            <w:textDirection w:val="tbRl"/>
            <w:vAlign w:val="bottom"/>
            <w:hideMark/>
          </w:tcPr>
          <w:p w14:paraId="2D92394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51" w:type="dxa"/>
            <w:tcBorders>
              <w:top w:val="nil"/>
              <w:left w:val="nil"/>
              <w:bottom w:val="nil"/>
              <w:right w:val="nil"/>
            </w:tcBorders>
            <w:shd w:val="clear" w:color="auto" w:fill="auto"/>
            <w:noWrap/>
            <w:textDirection w:val="tbRl"/>
            <w:vAlign w:val="bottom"/>
            <w:hideMark/>
          </w:tcPr>
          <w:p w14:paraId="5DAC1B54"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51" w:type="dxa"/>
            <w:tcBorders>
              <w:top w:val="nil"/>
              <w:left w:val="nil"/>
              <w:bottom w:val="nil"/>
              <w:right w:val="single" w:sz="4" w:space="0" w:color="auto"/>
            </w:tcBorders>
            <w:shd w:val="clear" w:color="auto" w:fill="auto"/>
            <w:noWrap/>
            <w:textDirection w:val="tbRl"/>
            <w:vAlign w:val="bottom"/>
            <w:hideMark/>
          </w:tcPr>
          <w:p w14:paraId="2EA14AB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7CBD441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54" w:type="dxa"/>
            <w:tcBorders>
              <w:top w:val="single" w:sz="4" w:space="0" w:color="auto"/>
              <w:left w:val="single" w:sz="4" w:space="0" w:color="auto"/>
              <w:bottom w:val="single" w:sz="4" w:space="0" w:color="auto"/>
              <w:right w:val="single" w:sz="4" w:space="0" w:color="auto"/>
            </w:tcBorders>
            <w:textDirection w:val="tbRl"/>
          </w:tcPr>
          <w:p w14:paraId="03E959B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53F745B0" w14:textId="77777777" w:rsidTr="00DA302A">
        <w:trPr>
          <w:trHeight w:val="498"/>
        </w:trPr>
        <w:tc>
          <w:tcPr>
            <w:tcW w:w="1346" w:type="dxa"/>
            <w:tcBorders>
              <w:top w:val="nil"/>
              <w:left w:val="nil"/>
              <w:bottom w:val="nil"/>
              <w:right w:val="nil"/>
            </w:tcBorders>
            <w:shd w:val="clear" w:color="auto" w:fill="auto"/>
            <w:noWrap/>
            <w:vAlign w:val="bottom"/>
            <w:hideMark/>
          </w:tcPr>
          <w:p w14:paraId="22D964F3"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Pr>
                <w:rFonts w:ascii="Century Gothic" w:hAnsi="Century Gothic" w:cs="Calibri"/>
                <w:color w:val="000000"/>
                <w:sz w:val="18"/>
                <w:szCs w:val="18"/>
              </w:rPr>
              <w:t>Crime average decile</w:t>
            </w:r>
          </w:p>
        </w:tc>
        <w:tc>
          <w:tcPr>
            <w:tcW w:w="551" w:type="dxa"/>
            <w:tcBorders>
              <w:top w:val="nil"/>
              <w:left w:val="nil"/>
              <w:bottom w:val="nil"/>
              <w:right w:val="nil"/>
            </w:tcBorders>
            <w:shd w:val="clear" w:color="000000" w:fill="FBA877"/>
            <w:noWrap/>
            <w:vAlign w:val="bottom"/>
            <w:hideMark/>
          </w:tcPr>
          <w:p w14:paraId="090293ED"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5.34</w:t>
            </w:r>
          </w:p>
        </w:tc>
        <w:tc>
          <w:tcPr>
            <w:tcW w:w="551" w:type="dxa"/>
            <w:tcBorders>
              <w:top w:val="nil"/>
              <w:left w:val="nil"/>
              <w:bottom w:val="nil"/>
              <w:right w:val="nil"/>
            </w:tcBorders>
            <w:shd w:val="clear" w:color="000000" w:fill="C0D981"/>
            <w:noWrap/>
            <w:vAlign w:val="bottom"/>
            <w:hideMark/>
          </w:tcPr>
          <w:p w14:paraId="42F18FD0"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6.29</w:t>
            </w:r>
          </w:p>
        </w:tc>
        <w:tc>
          <w:tcPr>
            <w:tcW w:w="575" w:type="dxa"/>
            <w:tcBorders>
              <w:top w:val="nil"/>
              <w:left w:val="nil"/>
              <w:bottom w:val="nil"/>
              <w:right w:val="nil"/>
            </w:tcBorders>
            <w:shd w:val="clear" w:color="000000" w:fill="FAEA84"/>
            <w:noWrap/>
            <w:vAlign w:val="bottom"/>
            <w:hideMark/>
          </w:tcPr>
          <w:p w14:paraId="4826F88D"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5.88</w:t>
            </w:r>
          </w:p>
        </w:tc>
        <w:tc>
          <w:tcPr>
            <w:tcW w:w="551" w:type="dxa"/>
            <w:tcBorders>
              <w:top w:val="nil"/>
              <w:left w:val="nil"/>
              <w:bottom w:val="nil"/>
              <w:right w:val="nil"/>
            </w:tcBorders>
            <w:shd w:val="clear" w:color="000000" w:fill="D7E082"/>
            <w:noWrap/>
            <w:vAlign w:val="bottom"/>
            <w:hideMark/>
          </w:tcPr>
          <w:p w14:paraId="1A1A18D5"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6.12</w:t>
            </w:r>
          </w:p>
        </w:tc>
        <w:tc>
          <w:tcPr>
            <w:tcW w:w="590" w:type="dxa"/>
            <w:tcBorders>
              <w:top w:val="nil"/>
              <w:left w:val="nil"/>
              <w:bottom w:val="nil"/>
              <w:right w:val="nil"/>
            </w:tcBorders>
            <w:shd w:val="clear" w:color="000000" w:fill="FEE683"/>
            <w:noWrap/>
            <w:vAlign w:val="bottom"/>
            <w:hideMark/>
          </w:tcPr>
          <w:p w14:paraId="76377486"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5.81</w:t>
            </w:r>
          </w:p>
        </w:tc>
        <w:tc>
          <w:tcPr>
            <w:tcW w:w="551" w:type="dxa"/>
            <w:tcBorders>
              <w:top w:val="nil"/>
              <w:left w:val="nil"/>
              <w:bottom w:val="nil"/>
              <w:right w:val="nil"/>
            </w:tcBorders>
            <w:shd w:val="clear" w:color="000000" w:fill="FDC87D"/>
            <w:noWrap/>
            <w:vAlign w:val="bottom"/>
            <w:hideMark/>
          </w:tcPr>
          <w:p w14:paraId="487E2E04"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5.58</w:t>
            </w:r>
          </w:p>
        </w:tc>
        <w:tc>
          <w:tcPr>
            <w:tcW w:w="551" w:type="dxa"/>
            <w:tcBorders>
              <w:top w:val="nil"/>
              <w:left w:val="nil"/>
              <w:bottom w:val="nil"/>
              <w:right w:val="nil"/>
            </w:tcBorders>
            <w:shd w:val="clear" w:color="000000" w:fill="FBA676"/>
            <w:noWrap/>
            <w:vAlign w:val="bottom"/>
            <w:hideMark/>
          </w:tcPr>
          <w:p w14:paraId="2BB83AAD"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5.33</w:t>
            </w:r>
          </w:p>
        </w:tc>
        <w:tc>
          <w:tcPr>
            <w:tcW w:w="551" w:type="dxa"/>
            <w:tcBorders>
              <w:top w:val="nil"/>
              <w:left w:val="nil"/>
              <w:bottom w:val="nil"/>
              <w:right w:val="nil"/>
            </w:tcBorders>
            <w:shd w:val="clear" w:color="000000" w:fill="F8696B"/>
            <w:noWrap/>
            <w:vAlign w:val="bottom"/>
            <w:hideMark/>
          </w:tcPr>
          <w:p w14:paraId="55AFD5EA"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4.86</w:t>
            </w:r>
          </w:p>
        </w:tc>
        <w:tc>
          <w:tcPr>
            <w:tcW w:w="551" w:type="dxa"/>
            <w:tcBorders>
              <w:top w:val="nil"/>
              <w:left w:val="nil"/>
              <w:bottom w:val="nil"/>
              <w:right w:val="nil"/>
            </w:tcBorders>
            <w:shd w:val="clear" w:color="000000" w:fill="63BE7B"/>
            <w:noWrap/>
            <w:vAlign w:val="bottom"/>
            <w:hideMark/>
          </w:tcPr>
          <w:p w14:paraId="55AE4E65"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6.93</w:t>
            </w:r>
          </w:p>
        </w:tc>
        <w:tc>
          <w:tcPr>
            <w:tcW w:w="551" w:type="dxa"/>
            <w:tcBorders>
              <w:top w:val="nil"/>
              <w:left w:val="nil"/>
              <w:bottom w:val="nil"/>
              <w:right w:val="nil"/>
            </w:tcBorders>
            <w:shd w:val="clear" w:color="000000" w:fill="70C27C"/>
            <w:noWrap/>
            <w:vAlign w:val="bottom"/>
            <w:hideMark/>
          </w:tcPr>
          <w:p w14:paraId="1B02511C"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6.85</w:t>
            </w:r>
          </w:p>
        </w:tc>
        <w:tc>
          <w:tcPr>
            <w:tcW w:w="551" w:type="dxa"/>
            <w:tcBorders>
              <w:top w:val="nil"/>
              <w:left w:val="nil"/>
              <w:bottom w:val="nil"/>
              <w:right w:val="nil"/>
            </w:tcBorders>
            <w:shd w:val="clear" w:color="000000" w:fill="FDCA7D"/>
            <w:noWrap/>
            <w:vAlign w:val="bottom"/>
            <w:hideMark/>
          </w:tcPr>
          <w:p w14:paraId="42EE5F89"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5.60</w:t>
            </w:r>
          </w:p>
        </w:tc>
        <w:tc>
          <w:tcPr>
            <w:tcW w:w="551" w:type="dxa"/>
            <w:tcBorders>
              <w:top w:val="nil"/>
              <w:left w:val="nil"/>
              <w:bottom w:val="nil"/>
              <w:right w:val="nil"/>
            </w:tcBorders>
            <w:shd w:val="clear" w:color="000000" w:fill="75C37C"/>
            <w:noWrap/>
            <w:vAlign w:val="bottom"/>
            <w:hideMark/>
          </w:tcPr>
          <w:p w14:paraId="4DD3E5BB" w14:textId="77777777" w:rsidR="003831BC" w:rsidRPr="00AF2103" w:rsidRDefault="003831BC" w:rsidP="00DA302A">
            <w:pPr>
              <w:spacing w:after="0" w:line="240" w:lineRule="auto"/>
              <w:jc w:val="both"/>
              <w:rPr>
                <w:rFonts w:ascii="Century Gothic" w:eastAsia="Times New Roman" w:hAnsi="Century Gothic" w:cs="Calibri"/>
                <w:color w:val="000000"/>
                <w:sz w:val="18"/>
                <w:szCs w:val="18"/>
                <w:lang w:eastAsia="en-GB"/>
              </w:rPr>
            </w:pPr>
            <w:r w:rsidRPr="00AF2103">
              <w:rPr>
                <w:rFonts w:ascii="Century Gothic" w:hAnsi="Century Gothic" w:cs="Calibri"/>
                <w:color w:val="000000"/>
                <w:sz w:val="18"/>
                <w:szCs w:val="18"/>
              </w:rPr>
              <w:t>6.81</w:t>
            </w:r>
          </w:p>
        </w:tc>
        <w:tc>
          <w:tcPr>
            <w:tcW w:w="554" w:type="dxa"/>
            <w:tcBorders>
              <w:top w:val="nil"/>
              <w:left w:val="nil"/>
              <w:bottom w:val="nil"/>
              <w:right w:val="nil"/>
            </w:tcBorders>
            <w:shd w:val="clear" w:color="auto" w:fill="auto"/>
            <w:noWrap/>
            <w:vAlign w:val="bottom"/>
            <w:hideMark/>
          </w:tcPr>
          <w:p w14:paraId="55212467" w14:textId="77777777" w:rsidR="003831BC" w:rsidRPr="00AF2103"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AF2103">
              <w:rPr>
                <w:rFonts w:ascii="Century Gothic" w:hAnsi="Century Gothic" w:cs="Calibri"/>
                <w:b/>
                <w:bCs/>
                <w:color w:val="000000"/>
                <w:sz w:val="18"/>
                <w:szCs w:val="18"/>
              </w:rPr>
              <w:t>5.84</w:t>
            </w:r>
          </w:p>
        </w:tc>
        <w:tc>
          <w:tcPr>
            <w:tcW w:w="554" w:type="dxa"/>
            <w:tcBorders>
              <w:top w:val="nil"/>
              <w:left w:val="nil"/>
              <w:bottom w:val="nil"/>
              <w:right w:val="nil"/>
            </w:tcBorders>
            <w:vAlign w:val="bottom"/>
          </w:tcPr>
          <w:p w14:paraId="737E6BB7" w14:textId="77777777" w:rsidR="003831BC" w:rsidRPr="00AF2103"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5.86</w:t>
            </w:r>
          </w:p>
        </w:tc>
      </w:tr>
    </w:tbl>
    <w:p w14:paraId="503954AB" w14:textId="77777777" w:rsidR="003831BC" w:rsidRDefault="003831BC" w:rsidP="003831BC">
      <w:pPr>
        <w:jc w:val="both"/>
        <w:rPr>
          <w:rFonts w:ascii="Century Gothic" w:hAnsi="Century Gothic"/>
          <w:b/>
          <w:bCs/>
        </w:rPr>
      </w:pPr>
    </w:p>
    <w:p w14:paraId="4271F4E5"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Essex LSOAs score nationally for crime</w:t>
      </w:r>
    </w:p>
    <w:p w14:paraId="28CCC7B0"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table below shows 20 LSOAs in Essex which score the lowest in the crime decile. Every district in Essex has LSOAs which place in deciles 1-2 for crime. The LSOA with the lowest crime decile score is found in the St Martin’s ward in Basildon. All districts are represented among the 20 lowest scoring LSOAs, except for Rochford and Uttlesford.</w:t>
      </w:r>
    </w:p>
    <w:p w14:paraId="53158440" w14:textId="77777777" w:rsidR="003831BC" w:rsidRPr="001F43A8" w:rsidRDefault="003831BC" w:rsidP="003831BC">
      <w:pPr>
        <w:jc w:val="both"/>
        <w:rPr>
          <w:rFonts w:ascii="Century Gothic" w:hAnsi="Century Gothic"/>
          <w:b/>
          <w:bCs/>
          <w:sz w:val="22"/>
          <w:szCs w:val="22"/>
        </w:rPr>
      </w:pPr>
      <w:r w:rsidRPr="001F43A8">
        <w:rPr>
          <w:rFonts w:ascii="Century Gothic" w:hAnsi="Century Gothic"/>
          <w:sz w:val="22"/>
          <w:szCs w:val="22"/>
        </w:rPr>
        <w:t xml:space="preserve">Most of the LSOAs in the table below are placed in deciles 1-4 of the 2019 Indices of Deprivation, with the exception of two LSOAs in the ward of </w:t>
      </w:r>
      <w:proofErr w:type="spellStart"/>
      <w:r w:rsidRPr="001F43A8">
        <w:rPr>
          <w:rFonts w:ascii="Century Gothic" w:hAnsi="Century Gothic"/>
          <w:sz w:val="22"/>
          <w:szCs w:val="22"/>
        </w:rPr>
        <w:t>Moulsham</w:t>
      </w:r>
      <w:proofErr w:type="spellEnd"/>
      <w:r w:rsidRPr="001F43A8">
        <w:rPr>
          <w:rFonts w:ascii="Century Gothic" w:hAnsi="Century Gothic"/>
          <w:sz w:val="22"/>
          <w:szCs w:val="22"/>
        </w:rPr>
        <w:t xml:space="preserve"> and Central in Chelmsford, an LSOA in the ward of Braintree Central and </w:t>
      </w:r>
      <w:proofErr w:type="spellStart"/>
      <w:r w:rsidRPr="001F43A8">
        <w:rPr>
          <w:rFonts w:ascii="Century Gothic" w:hAnsi="Century Gothic"/>
          <w:sz w:val="22"/>
          <w:szCs w:val="22"/>
        </w:rPr>
        <w:t>Beckers</w:t>
      </w:r>
      <w:proofErr w:type="spellEnd"/>
      <w:r w:rsidRPr="001F43A8">
        <w:rPr>
          <w:rFonts w:ascii="Century Gothic" w:hAnsi="Century Gothic"/>
          <w:sz w:val="22"/>
          <w:szCs w:val="22"/>
        </w:rPr>
        <w:t xml:space="preserve"> Green in Braintree and an LSOA in the Maldon North ward which are all placed in decile 5. One LSOA which scores low in the crime decile, located in the Brentwood North ward, is placed in decile 8.</w:t>
      </w:r>
    </w:p>
    <w:tbl>
      <w:tblPr>
        <w:tblW w:w="9026" w:type="dxa"/>
        <w:tblLook w:val="04A0" w:firstRow="1" w:lastRow="0" w:firstColumn="1" w:lastColumn="0" w:noHBand="0" w:noVBand="1"/>
      </w:tblPr>
      <w:tblGrid>
        <w:gridCol w:w="825"/>
        <w:gridCol w:w="1136"/>
        <w:gridCol w:w="1996"/>
        <w:gridCol w:w="1713"/>
        <w:gridCol w:w="1550"/>
        <w:gridCol w:w="824"/>
        <w:gridCol w:w="982"/>
      </w:tblGrid>
      <w:tr w:rsidR="003831BC" w:rsidRPr="00C30D6B" w14:paraId="05A50B4A" w14:textId="77777777" w:rsidTr="00DA302A">
        <w:trPr>
          <w:trHeight w:val="288"/>
          <w:tblHeader/>
        </w:trPr>
        <w:tc>
          <w:tcPr>
            <w:tcW w:w="825" w:type="dxa"/>
            <w:tcBorders>
              <w:top w:val="nil"/>
              <w:left w:val="nil"/>
              <w:bottom w:val="single" w:sz="4" w:space="0" w:color="auto"/>
              <w:right w:val="nil"/>
            </w:tcBorders>
            <w:shd w:val="clear" w:color="auto" w:fill="auto"/>
            <w:noWrap/>
            <w:vAlign w:val="bottom"/>
            <w:hideMark/>
          </w:tcPr>
          <w:p w14:paraId="7B7F78D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Theme Rank</w:t>
            </w:r>
          </w:p>
        </w:tc>
        <w:tc>
          <w:tcPr>
            <w:tcW w:w="1136" w:type="dxa"/>
            <w:tcBorders>
              <w:top w:val="nil"/>
              <w:left w:val="nil"/>
              <w:bottom w:val="single" w:sz="4" w:space="0" w:color="auto"/>
              <w:right w:val="nil"/>
            </w:tcBorders>
            <w:shd w:val="clear" w:color="auto" w:fill="auto"/>
            <w:noWrap/>
            <w:vAlign w:val="bottom"/>
            <w:hideMark/>
          </w:tcPr>
          <w:p w14:paraId="644CD2E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LSOA Code</w:t>
            </w:r>
          </w:p>
        </w:tc>
        <w:tc>
          <w:tcPr>
            <w:tcW w:w="1996" w:type="dxa"/>
            <w:tcBorders>
              <w:top w:val="nil"/>
              <w:left w:val="nil"/>
              <w:bottom w:val="single" w:sz="4" w:space="0" w:color="auto"/>
              <w:right w:val="nil"/>
            </w:tcBorders>
            <w:shd w:val="clear" w:color="auto" w:fill="auto"/>
            <w:noWrap/>
            <w:vAlign w:val="bottom"/>
            <w:hideMark/>
          </w:tcPr>
          <w:p w14:paraId="72431A3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LSOA Name</w:t>
            </w:r>
          </w:p>
        </w:tc>
        <w:tc>
          <w:tcPr>
            <w:tcW w:w="1713" w:type="dxa"/>
            <w:tcBorders>
              <w:top w:val="nil"/>
              <w:left w:val="nil"/>
              <w:bottom w:val="single" w:sz="4" w:space="0" w:color="auto"/>
              <w:right w:val="nil"/>
            </w:tcBorders>
            <w:shd w:val="clear" w:color="auto" w:fill="auto"/>
            <w:noWrap/>
            <w:vAlign w:val="bottom"/>
            <w:hideMark/>
          </w:tcPr>
          <w:p w14:paraId="1351A25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Ward</w:t>
            </w:r>
          </w:p>
        </w:tc>
        <w:tc>
          <w:tcPr>
            <w:tcW w:w="1550" w:type="dxa"/>
            <w:tcBorders>
              <w:top w:val="nil"/>
              <w:left w:val="nil"/>
              <w:bottom w:val="single" w:sz="4" w:space="0" w:color="auto"/>
              <w:right w:val="nil"/>
            </w:tcBorders>
            <w:shd w:val="clear" w:color="auto" w:fill="auto"/>
            <w:noWrap/>
            <w:vAlign w:val="bottom"/>
            <w:hideMark/>
          </w:tcPr>
          <w:p w14:paraId="3DCD04D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LA Name</w:t>
            </w:r>
          </w:p>
        </w:tc>
        <w:tc>
          <w:tcPr>
            <w:tcW w:w="824" w:type="dxa"/>
            <w:tcBorders>
              <w:top w:val="nil"/>
              <w:left w:val="nil"/>
              <w:bottom w:val="single" w:sz="4" w:space="0" w:color="auto"/>
              <w:right w:val="nil"/>
            </w:tcBorders>
            <w:shd w:val="clear" w:color="auto" w:fill="auto"/>
            <w:noWrap/>
            <w:vAlign w:val="bottom"/>
            <w:hideMark/>
          </w:tcPr>
          <w:p w14:paraId="7D3ECEB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IMD 2019 decile</w:t>
            </w:r>
          </w:p>
        </w:tc>
        <w:tc>
          <w:tcPr>
            <w:tcW w:w="982" w:type="dxa"/>
            <w:tcBorders>
              <w:top w:val="nil"/>
              <w:left w:val="nil"/>
              <w:bottom w:val="single" w:sz="4" w:space="0" w:color="auto"/>
              <w:right w:val="nil"/>
            </w:tcBorders>
            <w:shd w:val="clear" w:color="auto" w:fill="auto"/>
            <w:noWrap/>
            <w:vAlign w:val="bottom"/>
            <w:hideMark/>
          </w:tcPr>
          <w:p w14:paraId="6D8E42C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Crime Average</w:t>
            </w:r>
          </w:p>
        </w:tc>
      </w:tr>
      <w:tr w:rsidR="003831BC" w:rsidRPr="00C30D6B" w14:paraId="03BD0144"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EC98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55FD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E01021318</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65E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 015C</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3AAE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St Martin's</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457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9BED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A8C8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1.00</w:t>
            </w:r>
          </w:p>
        </w:tc>
      </w:tr>
      <w:tr w:rsidR="003831BC" w:rsidRPr="00C30D6B" w14:paraId="4FD424F9"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63D5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B9F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E01033140</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7979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Chelmsford 010F</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E772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Moulsham</w:t>
            </w:r>
            <w:proofErr w:type="spellEnd"/>
            <w:r w:rsidRPr="00C30D6B">
              <w:rPr>
                <w:rFonts w:ascii="Century Gothic" w:eastAsia="Times New Roman" w:hAnsi="Century Gothic" w:cs="Calibri"/>
                <w:color w:val="000000"/>
                <w:sz w:val="18"/>
                <w:szCs w:val="18"/>
                <w:lang w:eastAsia="en-GB"/>
              </w:rPr>
              <w:t xml:space="preserve"> and Central</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E1F6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Chelmsford</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8C05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5</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87DF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1.00</w:t>
            </w:r>
          </w:p>
        </w:tc>
      </w:tr>
      <w:tr w:rsidR="003831BC" w:rsidRPr="00C30D6B" w14:paraId="7AEFEDA2"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B348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C0C1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E01033141</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8CCC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Chelmsford 010G</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418B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Moulsham</w:t>
            </w:r>
            <w:proofErr w:type="spellEnd"/>
            <w:r w:rsidRPr="00C30D6B">
              <w:rPr>
                <w:rFonts w:ascii="Century Gothic" w:eastAsia="Times New Roman" w:hAnsi="Century Gothic" w:cs="Calibri"/>
                <w:color w:val="000000"/>
                <w:sz w:val="18"/>
                <w:szCs w:val="18"/>
                <w:lang w:eastAsia="en-GB"/>
              </w:rPr>
              <w:t xml:space="preserve"> and Central</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60C6"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Chelmsford</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778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5</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C499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1.00</w:t>
            </w:r>
          </w:p>
        </w:tc>
      </w:tr>
      <w:tr w:rsidR="003831BC" w:rsidRPr="00C30D6B" w14:paraId="3D3B2E3F"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C608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F0A0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E01021268</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A91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 015B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056F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Fryerns</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5B88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592C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C8D7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1.07</w:t>
            </w:r>
          </w:p>
        </w:tc>
      </w:tr>
      <w:tr w:rsidR="003831BC" w:rsidRPr="00C30D6B" w14:paraId="1FE6810F"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A0D0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21C0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E01022025</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A46F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 016B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1F07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Pier</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B51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615D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53B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1.07</w:t>
            </w:r>
          </w:p>
        </w:tc>
      </w:tr>
      <w:tr w:rsidR="003831BC" w:rsidRPr="00C30D6B" w14:paraId="387B0D01"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1D88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19E6"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E01021316</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586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 018D</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67A8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Pitsea</w:t>
            </w:r>
            <w:proofErr w:type="spellEnd"/>
            <w:r w:rsidRPr="00C30D6B">
              <w:rPr>
                <w:rFonts w:ascii="Century Gothic" w:eastAsia="Times New Roman" w:hAnsi="Century Gothic" w:cs="Calibri"/>
                <w:color w:val="000000"/>
                <w:sz w:val="18"/>
                <w:szCs w:val="18"/>
                <w:lang w:eastAsia="en-GB"/>
              </w:rPr>
              <w:t xml:space="preserve"> South East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299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8DA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4382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1.07</w:t>
            </w:r>
          </w:p>
        </w:tc>
      </w:tr>
      <w:tr w:rsidR="003831BC" w:rsidRPr="00C30D6B" w14:paraId="4E5FF7CC"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EBB3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16E1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E01021872</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885B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 007E</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FEF1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Toddbrook</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4253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3887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80C6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1.14</w:t>
            </w:r>
          </w:p>
        </w:tc>
      </w:tr>
      <w:tr w:rsidR="003831BC" w:rsidRPr="00C30D6B" w14:paraId="662254F5"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2320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676D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E01021776</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8C07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Epping Forest 011C</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345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Loughton Broadway</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E62B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Epping Forest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261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5CD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1.21</w:t>
            </w:r>
          </w:p>
        </w:tc>
      </w:tr>
      <w:tr w:rsidR="003831BC" w:rsidRPr="00C30D6B" w14:paraId="4CA32648"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255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ED7B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E01021649</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5626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Colchester 007D</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506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Castle</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3503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Colchester</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9606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3B35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1.21</w:t>
            </w:r>
          </w:p>
        </w:tc>
      </w:tr>
      <w:tr w:rsidR="003831BC" w:rsidRPr="00C30D6B" w14:paraId="25CF0A25"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7BA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4E49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E01021845</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ACF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 002B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017E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Mark Hall</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13F3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4CC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CE7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1.36</w:t>
            </w:r>
          </w:p>
        </w:tc>
      </w:tr>
      <w:tr w:rsidR="003831BC" w:rsidRPr="00C30D6B" w14:paraId="477CB178"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4EF8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5EFD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E01021433</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4D1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Brentwood 007A</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F4FB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Brentwood North</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2888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Brentwood</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BB97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8</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70D0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1.36</w:t>
            </w:r>
          </w:p>
        </w:tc>
      </w:tr>
      <w:tr w:rsidR="003831BC" w:rsidRPr="00C30D6B" w14:paraId="17C24984"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2B3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31ED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E01021310</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3EE3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 022B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477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Pitsea</w:t>
            </w:r>
            <w:proofErr w:type="spellEnd"/>
            <w:r w:rsidRPr="00C30D6B">
              <w:rPr>
                <w:rFonts w:ascii="Century Gothic" w:eastAsia="Times New Roman" w:hAnsi="Century Gothic" w:cs="Calibri"/>
                <w:color w:val="000000"/>
                <w:sz w:val="18"/>
                <w:szCs w:val="18"/>
                <w:lang w:eastAsia="en-GB"/>
              </w:rPr>
              <w:t xml:space="preserve"> South East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827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0EDD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672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1.43</w:t>
            </w:r>
          </w:p>
        </w:tc>
      </w:tr>
      <w:tr w:rsidR="003831BC" w:rsidRPr="00C30D6B" w14:paraId="02D7E6BF"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B1A9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807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E01022026</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7516"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 016C</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D848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Pier</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1864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592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F68E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1.43</w:t>
            </w:r>
          </w:p>
        </w:tc>
      </w:tr>
      <w:tr w:rsidR="003831BC" w:rsidRPr="00C30D6B" w14:paraId="19D061E4"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BE0C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B7016"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E01021307</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7F08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 011C</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700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C30D6B">
              <w:rPr>
                <w:rFonts w:ascii="Century Gothic" w:eastAsia="Times New Roman" w:hAnsi="Century Gothic" w:cs="Calibri"/>
                <w:color w:val="000000"/>
                <w:sz w:val="18"/>
                <w:szCs w:val="18"/>
                <w:lang w:eastAsia="en-GB"/>
              </w:rPr>
              <w:t>Pitsea</w:t>
            </w:r>
            <w:proofErr w:type="spellEnd"/>
            <w:r w:rsidRPr="00C30D6B">
              <w:rPr>
                <w:rFonts w:ascii="Century Gothic" w:eastAsia="Times New Roman" w:hAnsi="Century Gothic" w:cs="Calibri"/>
                <w:color w:val="000000"/>
                <w:sz w:val="18"/>
                <w:szCs w:val="18"/>
                <w:lang w:eastAsia="en-GB"/>
              </w:rPr>
              <w:t xml:space="preserve"> North West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FF33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Basildon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158F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E13F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1.50</w:t>
            </w:r>
          </w:p>
        </w:tc>
      </w:tr>
      <w:tr w:rsidR="003831BC" w:rsidRPr="00C30D6B" w14:paraId="05AA37E1"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8310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DEB8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E01021988</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0876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 018A</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78F0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Golf Green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D44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Tendring</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B8FA"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10FD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1.50</w:t>
            </w:r>
          </w:p>
        </w:tc>
      </w:tr>
      <w:tr w:rsidR="003831BC" w:rsidRPr="00C30D6B" w14:paraId="2231D706"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E54D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93BA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E01033459</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2729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Braintree 009F</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4361"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 xml:space="preserve">Braintree Central &amp; </w:t>
            </w:r>
            <w:proofErr w:type="spellStart"/>
            <w:r w:rsidRPr="00C30D6B">
              <w:rPr>
                <w:rFonts w:ascii="Century Gothic" w:eastAsia="Times New Roman" w:hAnsi="Century Gothic" w:cs="Calibri"/>
                <w:color w:val="000000"/>
                <w:sz w:val="18"/>
                <w:szCs w:val="18"/>
                <w:lang w:eastAsia="en-GB"/>
              </w:rPr>
              <w:t>Beckers</w:t>
            </w:r>
            <w:proofErr w:type="spellEnd"/>
            <w:r w:rsidRPr="00C30D6B">
              <w:rPr>
                <w:rFonts w:ascii="Century Gothic" w:eastAsia="Times New Roman" w:hAnsi="Century Gothic" w:cs="Calibri"/>
                <w:color w:val="000000"/>
                <w:sz w:val="18"/>
                <w:szCs w:val="18"/>
                <w:lang w:eastAsia="en-GB"/>
              </w:rPr>
              <w:t xml:space="preserve"> Green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F9FD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Braintree</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4503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5</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5A4D8"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1.50</w:t>
            </w:r>
          </w:p>
        </w:tc>
      </w:tr>
      <w:tr w:rsidR="003831BC" w:rsidRPr="00C30D6B" w14:paraId="281A4733"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2D1E0"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A704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E01021365</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1BE2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Braintree 009D</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31F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Braintree West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7DC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Braintree</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2820C"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E8E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1.50</w:t>
            </w:r>
          </w:p>
        </w:tc>
      </w:tr>
      <w:tr w:rsidR="003831BC" w:rsidRPr="00C30D6B" w14:paraId="498C9964"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373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5CC1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E01021859</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47423"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 010C</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8495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 xml:space="preserve">Staple </w:t>
            </w:r>
            <w:proofErr w:type="spellStart"/>
            <w:r w:rsidRPr="00C30D6B">
              <w:rPr>
                <w:rFonts w:ascii="Century Gothic" w:eastAsia="Times New Roman" w:hAnsi="Century Gothic" w:cs="Calibri"/>
                <w:color w:val="000000"/>
                <w:sz w:val="18"/>
                <w:szCs w:val="18"/>
                <w:lang w:eastAsia="en-GB"/>
              </w:rPr>
              <w:t>Tye</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6F4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Harlow</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16969"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3</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CC5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1.57</w:t>
            </w:r>
          </w:p>
        </w:tc>
      </w:tr>
      <w:tr w:rsidR="003831BC" w:rsidRPr="00C30D6B" w14:paraId="5EF9194A"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57A4E"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1C82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E01021890</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8FE8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Maldon 004B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A346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Maldon North</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90A57"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Maldon</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E8AF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5</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6EE85"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1.57</w:t>
            </w:r>
          </w:p>
        </w:tc>
      </w:tr>
      <w:tr w:rsidR="003831BC" w:rsidRPr="00C30D6B" w14:paraId="307D6678" w14:textId="77777777" w:rsidTr="00DA302A">
        <w:trPr>
          <w:trHeight w:val="288"/>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C15D6"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20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E7714"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E01021498</w:t>
            </w:r>
          </w:p>
        </w:tc>
        <w:tc>
          <w:tcPr>
            <w:tcW w:w="1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B06EB"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Castle Point 011B</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5383F"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Canvey Island South</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B785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Castle Point</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39472"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4</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4CD" w14:textId="77777777" w:rsidR="003831BC" w:rsidRPr="00C30D6B" w:rsidRDefault="003831BC" w:rsidP="00DA302A">
            <w:pPr>
              <w:spacing w:after="0" w:line="240" w:lineRule="auto"/>
              <w:jc w:val="both"/>
              <w:rPr>
                <w:rFonts w:ascii="Century Gothic" w:eastAsia="Times New Roman" w:hAnsi="Century Gothic" w:cs="Calibri"/>
                <w:color w:val="000000"/>
                <w:sz w:val="18"/>
                <w:szCs w:val="18"/>
                <w:lang w:eastAsia="en-GB"/>
              </w:rPr>
            </w:pPr>
            <w:r w:rsidRPr="00C30D6B">
              <w:rPr>
                <w:rFonts w:ascii="Century Gothic" w:eastAsia="Times New Roman" w:hAnsi="Century Gothic" w:cs="Calibri"/>
                <w:color w:val="000000"/>
                <w:sz w:val="18"/>
                <w:szCs w:val="18"/>
                <w:lang w:eastAsia="en-GB"/>
              </w:rPr>
              <w:t>1.64</w:t>
            </w:r>
          </w:p>
        </w:tc>
      </w:tr>
    </w:tbl>
    <w:p w14:paraId="55D0D3B2" w14:textId="77777777" w:rsidR="003831BC" w:rsidRDefault="003831BC" w:rsidP="003831BC">
      <w:pPr>
        <w:jc w:val="both"/>
        <w:rPr>
          <w:rFonts w:ascii="Century Gothic" w:hAnsi="Century Gothic"/>
          <w:b/>
          <w:bCs/>
        </w:rPr>
      </w:pPr>
    </w:p>
    <w:p w14:paraId="47564628"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map below shows where each LSOA in Essex places nationally in our crime decile. As outlined above, all districts experience pockets with high crime rates. However, this problem appears to be more prevalent in the districts in the south of the county (particularly Basildon, Brentwood, Epping Forest and Harlow) and in Chelmsford and Tendring.</w:t>
      </w:r>
    </w:p>
    <w:p w14:paraId="53CE34FC" w14:textId="77777777" w:rsidR="003831BC" w:rsidRDefault="003831BC" w:rsidP="003831BC">
      <w:pPr>
        <w:jc w:val="center"/>
        <w:rPr>
          <w:rFonts w:ascii="Century Gothic" w:hAnsi="Century Gothic"/>
          <w:b/>
          <w:bCs/>
        </w:rPr>
      </w:pPr>
      <w:r>
        <w:rPr>
          <w:noProof/>
        </w:rPr>
        <w:drawing>
          <wp:inline distT="0" distB="0" distL="0" distR="0" wp14:anchorId="264E4264" wp14:editId="2355C561">
            <wp:extent cx="5731510" cy="401320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013200"/>
                    </a:xfrm>
                    <a:prstGeom prst="rect">
                      <a:avLst/>
                    </a:prstGeom>
                  </pic:spPr>
                </pic:pic>
              </a:graphicData>
            </a:graphic>
          </wp:inline>
        </w:drawing>
      </w:r>
    </w:p>
    <w:p w14:paraId="28D39A30"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crime ranks within Essex</w:t>
      </w:r>
    </w:p>
    <w:p w14:paraId="58CEF9D4"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map below shows each Essex LSOA ranked from 1 to 872 depending on its crime decile score, with 1 being the lowest crime decile score, and 872 the highest. This allows us to see the spread of crime on an Essex-specific scale.</w:t>
      </w:r>
    </w:p>
    <w:p w14:paraId="1753246B" w14:textId="77777777" w:rsidR="003831BC" w:rsidRPr="00FD286B" w:rsidRDefault="003831BC" w:rsidP="003831BC">
      <w:pPr>
        <w:jc w:val="both"/>
        <w:rPr>
          <w:rFonts w:ascii="Century Gothic" w:hAnsi="Century Gothic"/>
          <w:b/>
          <w:bCs/>
        </w:rPr>
      </w:pPr>
      <w:r>
        <w:rPr>
          <w:noProof/>
        </w:rPr>
        <w:drawing>
          <wp:inline distT="0" distB="0" distL="0" distR="0" wp14:anchorId="2C81E5EB" wp14:editId="0E5E2D62">
            <wp:extent cx="5731510" cy="39878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987800"/>
                    </a:xfrm>
                    <a:prstGeom prst="rect">
                      <a:avLst/>
                    </a:prstGeom>
                  </pic:spPr>
                </pic:pic>
              </a:graphicData>
            </a:graphic>
          </wp:inline>
        </w:drawing>
      </w:r>
    </w:p>
    <w:p w14:paraId="6BA8CDA6" w14:textId="77777777" w:rsidR="003831BC" w:rsidRPr="00C30D6B" w:rsidRDefault="003831BC" w:rsidP="003831BC">
      <w:pPr>
        <w:jc w:val="both"/>
        <w:rPr>
          <w:rFonts w:ascii="Century Gothic" w:hAnsi="Century Gothic"/>
          <w:b/>
          <w:bCs/>
        </w:rPr>
      </w:pPr>
    </w:p>
    <w:p w14:paraId="45E63CA9"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1" w:name="_Toc50553603"/>
      <w:r>
        <w:rPr>
          <w:rFonts w:ascii="Century Gothic" w:hAnsi="Century Gothic"/>
          <w:b/>
          <w:bCs/>
          <w:i/>
          <w:iCs/>
          <w:color w:val="D8117D"/>
          <w:sz w:val="24"/>
          <w:szCs w:val="24"/>
        </w:rPr>
        <w:t>Access and Transport</w:t>
      </w:r>
      <w:bookmarkEnd w:id="21"/>
    </w:p>
    <w:p w14:paraId="2CB1F3D7" w14:textId="77777777" w:rsidR="003831BC" w:rsidRDefault="003831BC" w:rsidP="003831BC">
      <w:pPr>
        <w:jc w:val="both"/>
      </w:pPr>
    </w:p>
    <w:p w14:paraId="41E44DC8"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From the findings of our regression analysis, data on access and transport was the sixth biggest driver of physical inactivity.</w:t>
      </w:r>
    </w:p>
    <w:p w14:paraId="6E88C0DA"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 xml:space="preserve">On average, Essex scores 5.35 for access and transport, lower than the national average of 5.63, suggesting that Essex </w:t>
      </w:r>
      <w:proofErr w:type="gramStart"/>
      <w:r w:rsidRPr="001F43A8">
        <w:rPr>
          <w:rFonts w:ascii="Century Gothic" w:hAnsi="Century Gothic"/>
          <w:sz w:val="22"/>
          <w:szCs w:val="22"/>
        </w:rPr>
        <w:t>as a whole experiences</w:t>
      </w:r>
      <w:proofErr w:type="gramEnd"/>
      <w:r w:rsidRPr="001F43A8">
        <w:rPr>
          <w:rFonts w:ascii="Century Gothic" w:hAnsi="Century Gothic"/>
          <w:sz w:val="22"/>
          <w:szCs w:val="22"/>
        </w:rPr>
        <w:t xml:space="preserve"> greater challenges to accessing local amenities and local transport. The highest scores are found in Harlow (6.07), Basildon (5.97) and Castle Point (5.85). The lowest scores are found in the districts of Maldon (4.86), Tendring (4.73) and Uttlesford (4.75).</w:t>
      </w:r>
    </w:p>
    <w:p w14:paraId="0F5B6B2D" w14:textId="77777777" w:rsidR="003831BC" w:rsidRDefault="003831BC" w:rsidP="003831BC">
      <w:pPr>
        <w:jc w:val="both"/>
        <w:rPr>
          <w:rFonts w:ascii="Century Gothic" w:hAnsi="Century Gothic"/>
        </w:rPr>
      </w:pPr>
    </w:p>
    <w:tbl>
      <w:tblPr>
        <w:tblW w:w="9306" w:type="dxa"/>
        <w:tblLook w:val="04A0" w:firstRow="1" w:lastRow="0" w:firstColumn="1" w:lastColumn="0" w:noHBand="0" w:noVBand="1"/>
      </w:tblPr>
      <w:tblGrid>
        <w:gridCol w:w="1402"/>
        <w:gridCol w:w="556"/>
        <w:gridCol w:w="556"/>
        <w:gridCol w:w="599"/>
        <w:gridCol w:w="556"/>
        <w:gridCol w:w="615"/>
        <w:gridCol w:w="574"/>
        <w:gridCol w:w="556"/>
        <w:gridCol w:w="556"/>
        <w:gridCol w:w="556"/>
        <w:gridCol w:w="556"/>
        <w:gridCol w:w="556"/>
        <w:gridCol w:w="556"/>
        <w:gridCol w:w="556"/>
        <w:gridCol w:w="556"/>
      </w:tblGrid>
      <w:tr w:rsidR="003831BC" w:rsidRPr="009848BB" w14:paraId="03B33897" w14:textId="77777777" w:rsidTr="00DA302A">
        <w:trPr>
          <w:cantSplit/>
          <w:trHeight w:val="1603"/>
        </w:trPr>
        <w:tc>
          <w:tcPr>
            <w:tcW w:w="1402" w:type="dxa"/>
            <w:tcBorders>
              <w:top w:val="nil"/>
              <w:left w:val="nil"/>
              <w:bottom w:val="nil"/>
              <w:right w:val="nil"/>
            </w:tcBorders>
            <w:shd w:val="clear" w:color="auto" w:fill="auto"/>
            <w:noWrap/>
            <w:vAlign w:val="bottom"/>
            <w:hideMark/>
          </w:tcPr>
          <w:p w14:paraId="412B5A1D"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56" w:type="dxa"/>
            <w:tcBorders>
              <w:top w:val="nil"/>
              <w:left w:val="nil"/>
              <w:bottom w:val="nil"/>
              <w:right w:val="nil"/>
            </w:tcBorders>
            <w:shd w:val="clear" w:color="auto" w:fill="auto"/>
            <w:noWrap/>
            <w:textDirection w:val="tbRl"/>
            <w:vAlign w:val="bottom"/>
            <w:hideMark/>
          </w:tcPr>
          <w:p w14:paraId="372CF04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56" w:type="dxa"/>
            <w:tcBorders>
              <w:top w:val="nil"/>
              <w:left w:val="nil"/>
              <w:bottom w:val="nil"/>
              <w:right w:val="nil"/>
            </w:tcBorders>
            <w:shd w:val="clear" w:color="auto" w:fill="auto"/>
            <w:noWrap/>
            <w:textDirection w:val="tbRl"/>
            <w:vAlign w:val="bottom"/>
            <w:hideMark/>
          </w:tcPr>
          <w:p w14:paraId="520B13F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99" w:type="dxa"/>
            <w:tcBorders>
              <w:top w:val="nil"/>
              <w:left w:val="nil"/>
              <w:bottom w:val="nil"/>
              <w:right w:val="nil"/>
            </w:tcBorders>
            <w:shd w:val="clear" w:color="auto" w:fill="auto"/>
            <w:noWrap/>
            <w:textDirection w:val="tbRl"/>
            <w:vAlign w:val="bottom"/>
            <w:hideMark/>
          </w:tcPr>
          <w:p w14:paraId="0E0A80D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56" w:type="dxa"/>
            <w:tcBorders>
              <w:top w:val="nil"/>
              <w:left w:val="nil"/>
              <w:bottom w:val="nil"/>
              <w:right w:val="nil"/>
            </w:tcBorders>
            <w:shd w:val="clear" w:color="auto" w:fill="auto"/>
            <w:noWrap/>
            <w:textDirection w:val="tbRl"/>
            <w:vAlign w:val="bottom"/>
            <w:hideMark/>
          </w:tcPr>
          <w:p w14:paraId="43FE81B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15" w:type="dxa"/>
            <w:tcBorders>
              <w:top w:val="nil"/>
              <w:left w:val="nil"/>
              <w:bottom w:val="nil"/>
              <w:right w:val="nil"/>
            </w:tcBorders>
            <w:shd w:val="clear" w:color="auto" w:fill="auto"/>
            <w:noWrap/>
            <w:textDirection w:val="tbRl"/>
            <w:vAlign w:val="bottom"/>
            <w:hideMark/>
          </w:tcPr>
          <w:p w14:paraId="15C324B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74" w:type="dxa"/>
            <w:tcBorders>
              <w:top w:val="nil"/>
              <w:left w:val="nil"/>
              <w:bottom w:val="nil"/>
              <w:right w:val="nil"/>
            </w:tcBorders>
            <w:shd w:val="clear" w:color="auto" w:fill="auto"/>
            <w:noWrap/>
            <w:textDirection w:val="tbRl"/>
            <w:vAlign w:val="bottom"/>
            <w:hideMark/>
          </w:tcPr>
          <w:p w14:paraId="7A65700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56" w:type="dxa"/>
            <w:tcBorders>
              <w:top w:val="nil"/>
              <w:left w:val="nil"/>
              <w:bottom w:val="nil"/>
              <w:right w:val="nil"/>
            </w:tcBorders>
            <w:shd w:val="clear" w:color="auto" w:fill="auto"/>
            <w:noWrap/>
            <w:textDirection w:val="tbRl"/>
            <w:vAlign w:val="bottom"/>
            <w:hideMark/>
          </w:tcPr>
          <w:p w14:paraId="2086AE2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56" w:type="dxa"/>
            <w:tcBorders>
              <w:top w:val="nil"/>
              <w:left w:val="nil"/>
              <w:bottom w:val="nil"/>
              <w:right w:val="nil"/>
            </w:tcBorders>
            <w:shd w:val="clear" w:color="auto" w:fill="auto"/>
            <w:noWrap/>
            <w:textDirection w:val="tbRl"/>
            <w:vAlign w:val="bottom"/>
            <w:hideMark/>
          </w:tcPr>
          <w:p w14:paraId="69D4F00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56" w:type="dxa"/>
            <w:tcBorders>
              <w:top w:val="nil"/>
              <w:left w:val="nil"/>
              <w:bottom w:val="nil"/>
              <w:right w:val="nil"/>
            </w:tcBorders>
            <w:shd w:val="clear" w:color="auto" w:fill="auto"/>
            <w:noWrap/>
            <w:textDirection w:val="tbRl"/>
            <w:vAlign w:val="bottom"/>
            <w:hideMark/>
          </w:tcPr>
          <w:p w14:paraId="290A1EA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56" w:type="dxa"/>
            <w:tcBorders>
              <w:top w:val="nil"/>
              <w:left w:val="nil"/>
              <w:bottom w:val="nil"/>
              <w:right w:val="nil"/>
            </w:tcBorders>
            <w:shd w:val="clear" w:color="auto" w:fill="auto"/>
            <w:noWrap/>
            <w:textDirection w:val="tbRl"/>
            <w:vAlign w:val="bottom"/>
            <w:hideMark/>
          </w:tcPr>
          <w:p w14:paraId="0446D72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56" w:type="dxa"/>
            <w:tcBorders>
              <w:top w:val="nil"/>
              <w:left w:val="nil"/>
              <w:bottom w:val="nil"/>
              <w:right w:val="nil"/>
            </w:tcBorders>
            <w:shd w:val="clear" w:color="auto" w:fill="auto"/>
            <w:noWrap/>
            <w:textDirection w:val="tbRl"/>
            <w:vAlign w:val="bottom"/>
            <w:hideMark/>
          </w:tcPr>
          <w:p w14:paraId="2CB85E3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56" w:type="dxa"/>
            <w:tcBorders>
              <w:top w:val="nil"/>
              <w:left w:val="nil"/>
              <w:bottom w:val="nil"/>
              <w:right w:val="single" w:sz="4" w:space="0" w:color="auto"/>
            </w:tcBorders>
            <w:shd w:val="clear" w:color="auto" w:fill="auto"/>
            <w:noWrap/>
            <w:textDirection w:val="tbRl"/>
            <w:vAlign w:val="bottom"/>
            <w:hideMark/>
          </w:tcPr>
          <w:p w14:paraId="380236A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5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47F8392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56" w:type="dxa"/>
            <w:tcBorders>
              <w:top w:val="single" w:sz="4" w:space="0" w:color="auto"/>
              <w:left w:val="single" w:sz="4" w:space="0" w:color="auto"/>
              <w:bottom w:val="single" w:sz="4" w:space="0" w:color="auto"/>
              <w:right w:val="single" w:sz="4" w:space="0" w:color="auto"/>
            </w:tcBorders>
            <w:textDirection w:val="tbRl"/>
          </w:tcPr>
          <w:p w14:paraId="18B570C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6E859DD9" w14:textId="77777777" w:rsidTr="00DA302A">
        <w:trPr>
          <w:trHeight w:val="506"/>
        </w:trPr>
        <w:tc>
          <w:tcPr>
            <w:tcW w:w="1402" w:type="dxa"/>
            <w:tcBorders>
              <w:top w:val="nil"/>
              <w:left w:val="nil"/>
              <w:bottom w:val="nil"/>
              <w:right w:val="nil"/>
            </w:tcBorders>
            <w:shd w:val="clear" w:color="auto" w:fill="auto"/>
            <w:noWrap/>
            <w:vAlign w:val="bottom"/>
            <w:hideMark/>
          </w:tcPr>
          <w:p w14:paraId="0D8EAD3C"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Access &amp; transport Average</w:t>
            </w:r>
            <w:r>
              <w:rPr>
                <w:rFonts w:ascii="Calibri" w:hAnsi="Calibri" w:cs="Calibri"/>
                <w:color w:val="000000"/>
                <w:sz w:val="18"/>
                <w:szCs w:val="18"/>
              </w:rPr>
              <w:t xml:space="preserve"> decile</w:t>
            </w:r>
          </w:p>
        </w:tc>
        <w:tc>
          <w:tcPr>
            <w:tcW w:w="556" w:type="dxa"/>
            <w:tcBorders>
              <w:top w:val="nil"/>
              <w:left w:val="nil"/>
              <w:bottom w:val="nil"/>
              <w:right w:val="nil"/>
            </w:tcBorders>
            <w:shd w:val="clear" w:color="000000" w:fill="7AC57D"/>
            <w:noWrap/>
            <w:vAlign w:val="bottom"/>
            <w:hideMark/>
          </w:tcPr>
          <w:p w14:paraId="35988900"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5.97</w:t>
            </w:r>
          </w:p>
        </w:tc>
        <w:tc>
          <w:tcPr>
            <w:tcW w:w="556" w:type="dxa"/>
            <w:tcBorders>
              <w:top w:val="nil"/>
              <w:left w:val="nil"/>
              <w:bottom w:val="nil"/>
              <w:right w:val="nil"/>
            </w:tcBorders>
            <w:shd w:val="clear" w:color="000000" w:fill="FBB178"/>
            <w:noWrap/>
            <w:vAlign w:val="bottom"/>
            <w:hideMark/>
          </w:tcPr>
          <w:p w14:paraId="37CC934D"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4.90</w:t>
            </w:r>
          </w:p>
        </w:tc>
        <w:tc>
          <w:tcPr>
            <w:tcW w:w="599" w:type="dxa"/>
            <w:tcBorders>
              <w:top w:val="nil"/>
              <w:left w:val="nil"/>
              <w:bottom w:val="nil"/>
              <w:right w:val="nil"/>
            </w:tcBorders>
            <w:shd w:val="clear" w:color="000000" w:fill="FDD47F"/>
            <w:noWrap/>
            <w:vAlign w:val="bottom"/>
            <w:hideMark/>
          </w:tcPr>
          <w:p w14:paraId="3E3BC3B2"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5.20</w:t>
            </w:r>
          </w:p>
        </w:tc>
        <w:tc>
          <w:tcPr>
            <w:tcW w:w="556" w:type="dxa"/>
            <w:tcBorders>
              <w:top w:val="nil"/>
              <w:left w:val="nil"/>
              <w:bottom w:val="nil"/>
              <w:right w:val="nil"/>
            </w:tcBorders>
            <w:shd w:val="clear" w:color="000000" w:fill="96CD7E"/>
            <w:noWrap/>
            <w:vAlign w:val="bottom"/>
            <w:hideMark/>
          </w:tcPr>
          <w:p w14:paraId="15CF4B86"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5.85</w:t>
            </w:r>
          </w:p>
        </w:tc>
        <w:tc>
          <w:tcPr>
            <w:tcW w:w="615" w:type="dxa"/>
            <w:tcBorders>
              <w:top w:val="nil"/>
              <w:left w:val="nil"/>
              <w:bottom w:val="nil"/>
              <w:right w:val="nil"/>
            </w:tcBorders>
            <w:shd w:val="clear" w:color="000000" w:fill="E8E583"/>
            <w:noWrap/>
            <w:vAlign w:val="bottom"/>
            <w:hideMark/>
          </w:tcPr>
          <w:p w14:paraId="4C910E93"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5.49</w:t>
            </w:r>
          </w:p>
        </w:tc>
        <w:tc>
          <w:tcPr>
            <w:tcW w:w="574" w:type="dxa"/>
            <w:tcBorders>
              <w:top w:val="nil"/>
              <w:left w:val="nil"/>
              <w:bottom w:val="nil"/>
              <w:right w:val="nil"/>
            </w:tcBorders>
            <w:shd w:val="clear" w:color="000000" w:fill="FEE082"/>
            <w:noWrap/>
            <w:vAlign w:val="bottom"/>
            <w:hideMark/>
          </w:tcPr>
          <w:p w14:paraId="73E8EE66"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5.30</w:t>
            </w:r>
          </w:p>
        </w:tc>
        <w:tc>
          <w:tcPr>
            <w:tcW w:w="556" w:type="dxa"/>
            <w:tcBorders>
              <w:top w:val="nil"/>
              <w:left w:val="nil"/>
              <w:bottom w:val="nil"/>
              <w:right w:val="nil"/>
            </w:tcBorders>
            <w:shd w:val="clear" w:color="000000" w:fill="ECE683"/>
            <w:noWrap/>
            <w:vAlign w:val="bottom"/>
            <w:hideMark/>
          </w:tcPr>
          <w:p w14:paraId="4A0EA675"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5.47</w:t>
            </w:r>
          </w:p>
        </w:tc>
        <w:tc>
          <w:tcPr>
            <w:tcW w:w="556" w:type="dxa"/>
            <w:tcBorders>
              <w:top w:val="nil"/>
              <w:left w:val="nil"/>
              <w:bottom w:val="nil"/>
              <w:right w:val="nil"/>
            </w:tcBorders>
            <w:shd w:val="clear" w:color="000000" w:fill="63BE7B"/>
            <w:noWrap/>
            <w:vAlign w:val="bottom"/>
            <w:hideMark/>
          </w:tcPr>
          <w:p w14:paraId="2F14A375"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6.07</w:t>
            </w:r>
          </w:p>
        </w:tc>
        <w:tc>
          <w:tcPr>
            <w:tcW w:w="556" w:type="dxa"/>
            <w:tcBorders>
              <w:top w:val="nil"/>
              <w:left w:val="nil"/>
              <w:bottom w:val="nil"/>
              <w:right w:val="nil"/>
            </w:tcBorders>
            <w:shd w:val="clear" w:color="000000" w:fill="F8696B"/>
            <w:noWrap/>
            <w:vAlign w:val="bottom"/>
            <w:hideMark/>
          </w:tcPr>
          <w:p w14:paraId="45CF87E2"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4.30</w:t>
            </w:r>
          </w:p>
        </w:tc>
        <w:tc>
          <w:tcPr>
            <w:tcW w:w="556" w:type="dxa"/>
            <w:tcBorders>
              <w:top w:val="nil"/>
              <w:left w:val="nil"/>
              <w:bottom w:val="nil"/>
              <w:right w:val="nil"/>
            </w:tcBorders>
            <w:shd w:val="clear" w:color="000000" w:fill="CADC81"/>
            <w:noWrap/>
            <w:vAlign w:val="bottom"/>
            <w:hideMark/>
          </w:tcPr>
          <w:p w14:paraId="459CD4C6"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5.62</w:t>
            </w:r>
          </w:p>
        </w:tc>
        <w:tc>
          <w:tcPr>
            <w:tcW w:w="556" w:type="dxa"/>
            <w:tcBorders>
              <w:top w:val="nil"/>
              <w:left w:val="nil"/>
              <w:bottom w:val="nil"/>
              <w:right w:val="nil"/>
            </w:tcBorders>
            <w:shd w:val="clear" w:color="000000" w:fill="FA9C74"/>
            <w:noWrap/>
            <w:vAlign w:val="bottom"/>
            <w:hideMark/>
          </w:tcPr>
          <w:p w14:paraId="2C9B8A72"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4.73</w:t>
            </w:r>
          </w:p>
        </w:tc>
        <w:tc>
          <w:tcPr>
            <w:tcW w:w="556" w:type="dxa"/>
            <w:tcBorders>
              <w:top w:val="nil"/>
              <w:left w:val="nil"/>
              <w:bottom w:val="nil"/>
              <w:right w:val="nil"/>
            </w:tcBorders>
            <w:shd w:val="clear" w:color="000000" w:fill="FA9E75"/>
            <w:noWrap/>
            <w:vAlign w:val="bottom"/>
            <w:hideMark/>
          </w:tcPr>
          <w:p w14:paraId="661AFB13" w14:textId="77777777" w:rsidR="003831BC" w:rsidRPr="000658F2" w:rsidRDefault="003831BC" w:rsidP="00DA302A">
            <w:pPr>
              <w:spacing w:after="0" w:line="240" w:lineRule="auto"/>
              <w:jc w:val="both"/>
              <w:rPr>
                <w:rFonts w:ascii="Century Gothic" w:eastAsia="Times New Roman" w:hAnsi="Century Gothic" w:cs="Calibri"/>
                <w:color w:val="000000"/>
                <w:sz w:val="18"/>
                <w:szCs w:val="18"/>
                <w:lang w:eastAsia="en-GB"/>
              </w:rPr>
            </w:pPr>
            <w:r w:rsidRPr="000658F2">
              <w:rPr>
                <w:rFonts w:ascii="Calibri" w:hAnsi="Calibri" w:cs="Calibri"/>
                <w:color w:val="000000"/>
                <w:sz w:val="18"/>
                <w:szCs w:val="18"/>
              </w:rPr>
              <w:t>4.75</w:t>
            </w:r>
          </w:p>
        </w:tc>
        <w:tc>
          <w:tcPr>
            <w:tcW w:w="556" w:type="dxa"/>
            <w:tcBorders>
              <w:top w:val="nil"/>
              <w:left w:val="nil"/>
              <w:bottom w:val="nil"/>
              <w:right w:val="nil"/>
            </w:tcBorders>
            <w:shd w:val="clear" w:color="auto" w:fill="auto"/>
            <w:noWrap/>
            <w:vAlign w:val="bottom"/>
            <w:hideMark/>
          </w:tcPr>
          <w:p w14:paraId="341EE291" w14:textId="77777777" w:rsidR="003831BC" w:rsidRPr="000658F2"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0658F2">
              <w:rPr>
                <w:rFonts w:ascii="Calibri" w:hAnsi="Calibri" w:cs="Calibri"/>
                <w:b/>
                <w:bCs/>
                <w:color w:val="000000"/>
                <w:sz w:val="18"/>
                <w:szCs w:val="18"/>
              </w:rPr>
              <w:t>5.35</w:t>
            </w:r>
          </w:p>
        </w:tc>
        <w:tc>
          <w:tcPr>
            <w:tcW w:w="556" w:type="dxa"/>
            <w:tcBorders>
              <w:top w:val="nil"/>
              <w:left w:val="nil"/>
              <w:bottom w:val="nil"/>
              <w:right w:val="nil"/>
            </w:tcBorders>
            <w:vAlign w:val="bottom"/>
          </w:tcPr>
          <w:p w14:paraId="1FE6A646" w14:textId="77777777" w:rsidR="003831BC" w:rsidRPr="000658F2" w:rsidRDefault="003831BC" w:rsidP="00DA302A">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5.63</w:t>
            </w:r>
          </w:p>
        </w:tc>
      </w:tr>
    </w:tbl>
    <w:p w14:paraId="1705868B" w14:textId="77777777" w:rsidR="003831BC" w:rsidRDefault="003831BC" w:rsidP="003831BC">
      <w:pPr>
        <w:jc w:val="both"/>
        <w:rPr>
          <w:rFonts w:ascii="Century Gothic" w:hAnsi="Century Gothic"/>
          <w:b/>
          <w:bCs/>
        </w:rPr>
      </w:pPr>
    </w:p>
    <w:p w14:paraId="4A074DF3" w14:textId="77777777" w:rsidR="003831BC" w:rsidRDefault="003831BC" w:rsidP="003831BC">
      <w:pPr>
        <w:jc w:val="both"/>
        <w:rPr>
          <w:rFonts w:ascii="Century Gothic" w:hAnsi="Century Gothic"/>
          <w:b/>
          <w:bCs/>
        </w:rPr>
      </w:pPr>
    </w:p>
    <w:p w14:paraId="154639BF" w14:textId="77777777" w:rsidR="003831BC" w:rsidRDefault="003831BC" w:rsidP="003831BC">
      <w:pPr>
        <w:jc w:val="both"/>
        <w:rPr>
          <w:rFonts w:ascii="Century Gothic" w:hAnsi="Century Gothic"/>
          <w:b/>
          <w:bCs/>
        </w:rPr>
      </w:pPr>
    </w:p>
    <w:p w14:paraId="42221F64" w14:textId="77777777" w:rsidR="003831BC" w:rsidRDefault="003831BC" w:rsidP="003831BC">
      <w:pPr>
        <w:jc w:val="both"/>
        <w:rPr>
          <w:rFonts w:ascii="Century Gothic" w:hAnsi="Century Gothic"/>
          <w:b/>
          <w:bCs/>
        </w:rPr>
      </w:pPr>
    </w:p>
    <w:p w14:paraId="321B125A" w14:textId="77777777" w:rsidR="003831BC" w:rsidRPr="001F43A8" w:rsidRDefault="003831BC" w:rsidP="003831BC">
      <w:pPr>
        <w:jc w:val="both"/>
        <w:rPr>
          <w:rFonts w:ascii="Century Gothic" w:hAnsi="Century Gothic"/>
          <w:b/>
          <w:bCs/>
          <w:sz w:val="22"/>
          <w:szCs w:val="22"/>
        </w:rPr>
      </w:pPr>
      <w:r w:rsidRPr="001F43A8">
        <w:rPr>
          <w:rFonts w:ascii="Century Gothic" w:hAnsi="Century Gothic"/>
          <w:b/>
          <w:bCs/>
          <w:sz w:val="22"/>
          <w:szCs w:val="22"/>
        </w:rPr>
        <w:t>How Essex LSOAs score nationally for access and transport</w:t>
      </w:r>
    </w:p>
    <w:p w14:paraId="539BC410" w14:textId="77777777" w:rsidR="003831BC" w:rsidRPr="001F43A8" w:rsidRDefault="003831BC" w:rsidP="003831BC">
      <w:pPr>
        <w:jc w:val="both"/>
        <w:rPr>
          <w:rFonts w:ascii="Century Gothic" w:hAnsi="Century Gothic"/>
          <w:sz w:val="22"/>
          <w:szCs w:val="22"/>
        </w:rPr>
      </w:pPr>
      <w:r w:rsidRPr="001F43A8">
        <w:rPr>
          <w:rFonts w:ascii="Century Gothic" w:hAnsi="Century Gothic"/>
          <w:sz w:val="22"/>
          <w:szCs w:val="22"/>
        </w:rPr>
        <w:t>The table below shows 20 LSOAs in Essex which score the lowest in the access and transport decile. The LSOA in with the lowest score is found within the ward of Stour Valley South in the district of Braintree.</w:t>
      </w:r>
    </w:p>
    <w:p w14:paraId="19BD6A96" w14:textId="77777777" w:rsidR="003831BC" w:rsidRPr="001F43A8" w:rsidRDefault="003831BC" w:rsidP="003831BC">
      <w:pPr>
        <w:jc w:val="both"/>
        <w:rPr>
          <w:rFonts w:ascii="Century Gothic" w:hAnsi="Century Gothic"/>
          <w:b/>
          <w:bCs/>
          <w:sz w:val="22"/>
          <w:szCs w:val="22"/>
        </w:rPr>
      </w:pPr>
      <w:r w:rsidRPr="001F43A8">
        <w:rPr>
          <w:rFonts w:ascii="Century Gothic" w:hAnsi="Century Gothic"/>
          <w:sz w:val="22"/>
          <w:szCs w:val="22"/>
        </w:rPr>
        <w:t xml:space="preserve">The LSOAs in the table below are largely spread across rural locations in </w:t>
      </w:r>
      <w:proofErr w:type="gramStart"/>
      <w:r w:rsidRPr="001F43A8">
        <w:rPr>
          <w:rFonts w:ascii="Century Gothic" w:hAnsi="Century Gothic"/>
          <w:sz w:val="22"/>
          <w:szCs w:val="22"/>
        </w:rPr>
        <w:t>a number of</w:t>
      </w:r>
      <w:proofErr w:type="gramEnd"/>
      <w:r w:rsidRPr="001F43A8">
        <w:rPr>
          <w:rFonts w:ascii="Century Gothic" w:hAnsi="Century Gothic"/>
          <w:sz w:val="22"/>
          <w:szCs w:val="22"/>
        </w:rPr>
        <w:t xml:space="preserve"> districts. The LSOAs with the lowest scores are in the least deprived 2019 Indices of Deprivation deciles, (deciles 5-9 are represented in the table below). The only exception to this in one LSOA found in the ward of Manningtree, Mistley, Little Bentley and Tendring, which is placed in decile 2 for deprivation.</w:t>
      </w:r>
    </w:p>
    <w:tbl>
      <w:tblPr>
        <w:tblW w:w="9026" w:type="dxa"/>
        <w:tblLook w:val="04A0" w:firstRow="1" w:lastRow="0" w:firstColumn="1" w:lastColumn="0" w:noHBand="0" w:noVBand="1"/>
      </w:tblPr>
      <w:tblGrid>
        <w:gridCol w:w="798"/>
        <w:gridCol w:w="1160"/>
        <w:gridCol w:w="1672"/>
        <w:gridCol w:w="2446"/>
        <w:gridCol w:w="1217"/>
        <w:gridCol w:w="754"/>
        <w:gridCol w:w="979"/>
      </w:tblGrid>
      <w:tr w:rsidR="003831BC" w:rsidRPr="004B2E1B" w14:paraId="68846B51" w14:textId="77777777" w:rsidTr="00DA302A">
        <w:trPr>
          <w:trHeight w:val="288"/>
        </w:trPr>
        <w:tc>
          <w:tcPr>
            <w:tcW w:w="796" w:type="dxa"/>
            <w:tcBorders>
              <w:top w:val="nil"/>
              <w:left w:val="nil"/>
              <w:bottom w:val="single" w:sz="4" w:space="0" w:color="auto"/>
              <w:right w:val="nil"/>
            </w:tcBorders>
            <w:shd w:val="clear" w:color="auto" w:fill="auto"/>
            <w:noWrap/>
            <w:vAlign w:val="bottom"/>
            <w:hideMark/>
          </w:tcPr>
          <w:p w14:paraId="12AECEF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Theme Rank</w:t>
            </w:r>
          </w:p>
        </w:tc>
        <w:tc>
          <w:tcPr>
            <w:tcW w:w="1173" w:type="dxa"/>
            <w:tcBorders>
              <w:top w:val="nil"/>
              <w:left w:val="nil"/>
              <w:bottom w:val="single" w:sz="4" w:space="0" w:color="auto"/>
              <w:right w:val="nil"/>
            </w:tcBorders>
            <w:shd w:val="clear" w:color="auto" w:fill="auto"/>
            <w:noWrap/>
            <w:vAlign w:val="bottom"/>
            <w:hideMark/>
          </w:tcPr>
          <w:p w14:paraId="5747993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LSOA Code</w:t>
            </w:r>
          </w:p>
        </w:tc>
        <w:tc>
          <w:tcPr>
            <w:tcW w:w="1693" w:type="dxa"/>
            <w:tcBorders>
              <w:top w:val="nil"/>
              <w:left w:val="nil"/>
              <w:bottom w:val="single" w:sz="4" w:space="0" w:color="auto"/>
              <w:right w:val="nil"/>
            </w:tcBorders>
            <w:shd w:val="clear" w:color="auto" w:fill="auto"/>
            <w:noWrap/>
            <w:vAlign w:val="bottom"/>
            <w:hideMark/>
          </w:tcPr>
          <w:p w14:paraId="70CE0D5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LSOA Name</w:t>
            </w:r>
          </w:p>
        </w:tc>
        <w:tc>
          <w:tcPr>
            <w:tcW w:w="2478" w:type="dxa"/>
            <w:tcBorders>
              <w:top w:val="nil"/>
              <w:left w:val="nil"/>
              <w:bottom w:val="single" w:sz="4" w:space="0" w:color="auto"/>
              <w:right w:val="nil"/>
            </w:tcBorders>
            <w:shd w:val="clear" w:color="auto" w:fill="auto"/>
            <w:noWrap/>
            <w:vAlign w:val="bottom"/>
            <w:hideMark/>
          </w:tcPr>
          <w:p w14:paraId="2BE21F64"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Ward</w:t>
            </w:r>
          </w:p>
        </w:tc>
        <w:tc>
          <w:tcPr>
            <w:tcW w:w="1231" w:type="dxa"/>
            <w:tcBorders>
              <w:top w:val="nil"/>
              <w:left w:val="nil"/>
              <w:bottom w:val="single" w:sz="4" w:space="0" w:color="auto"/>
              <w:right w:val="nil"/>
            </w:tcBorders>
            <w:shd w:val="clear" w:color="auto" w:fill="auto"/>
            <w:noWrap/>
            <w:vAlign w:val="bottom"/>
            <w:hideMark/>
          </w:tcPr>
          <w:p w14:paraId="1CDB0B1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LA Name</w:t>
            </w:r>
          </w:p>
        </w:tc>
        <w:tc>
          <w:tcPr>
            <w:tcW w:w="677" w:type="dxa"/>
            <w:tcBorders>
              <w:top w:val="nil"/>
              <w:left w:val="nil"/>
              <w:bottom w:val="single" w:sz="4" w:space="0" w:color="auto"/>
              <w:right w:val="nil"/>
            </w:tcBorders>
            <w:shd w:val="clear" w:color="auto" w:fill="auto"/>
            <w:noWrap/>
            <w:vAlign w:val="bottom"/>
            <w:hideMark/>
          </w:tcPr>
          <w:p w14:paraId="1A44F09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IMD 2019 decile</w:t>
            </w:r>
          </w:p>
        </w:tc>
        <w:tc>
          <w:tcPr>
            <w:tcW w:w="978" w:type="dxa"/>
            <w:tcBorders>
              <w:top w:val="nil"/>
              <w:left w:val="nil"/>
              <w:bottom w:val="single" w:sz="4" w:space="0" w:color="auto"/>
              <w:right w:val="nil"/>
            </w:tcBorders>
            <w:shd w:val="clear" w:color="auto" w:fill="auto"/>
            <w:noWrap/>
            <w:vAlign w:val="bottom"/>
            <w:hideMark/>
          </w:tcPr>
          <w:p w14:paraId="61CF4B3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Access &amp; transport Average</w:t>
            </w:r>
          </w:p>
        </w:tc>
      </w:tr>
      <w:tr w:rsidR="003831BC" w:rsidRPr="004B2E1B" w14:paraId="2BA056EC"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5FE6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EB36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E01021407</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506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002C</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8564"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Stour Valley South</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C1E7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9FD4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8</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7115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2.31</w:t>
            </w:r>
          </w:p>
        </w:tc>
      </w:tr>
      <w:tr w:rsidR="003831BC" w:rsidRPr="004B2E1B" w14:paraId="275C9891"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3774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4771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E01021663</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9E7C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Colchester 010C</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D942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Rural North</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8CA3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Colchester</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1C4F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D373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2.38</w:t>
            </w:r>
          </w:p>
        </w:tc>
      </w:tr>
      <w:tr w:rsidR="003831BC" w:rsidRPr="004B2E1B" w14:paraId="25DA8183"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5CD1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AB49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E01021406</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EE3A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002B</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FDBC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Stour Valley North</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01D6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5528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C223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2.38</w:t>
            </w:r>
          </w:p>
        </w:tc>
      </w:tr>
      <w:tr w:rsidR="003831BC" w:rsidRPr="004B2E1B" w14:paraId="47A5686C"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4206"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4</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CCC4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E01021413</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683E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005D</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0391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Three Fields</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C372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D75D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D9CC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2.38</w:t>
            </w:r>
          </w:p>
        </w:tc>
      </w:tr>
      <w:tr w:rsidR="003831BC" w:rsidRPr="004B2E1B" w14:paraId="3F4AEF1E"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3CC0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003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E01021901</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E051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006A</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72B6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Mayland</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8467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4F4D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298C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2.46</w:t>
            </w:r>
          </w:p>
        </w:tc>
      </w:tr>
      <w:tr w:rsidR="003831BC" w:rsidRPr="004B2E1B" w14:paraId="39CAB5B9"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24F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0EF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E01021348</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7331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018A</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08C0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 xml:space="preserve">Hatfield Peverel &amp; </w:t>
            </w:r>
            <w:proofErr w:type="spellStart"/>
            <w:r w:rsidRPr="004B2E1B">
              <w:rPr>
                <w:rFonts w:ascii="Century Gothic" w:eastAsia="Times New Roman" w:hAnsi="Century Gothic" w:cs="Calibri"/>
                <w:color w:val="000000"/>
                <w:sz w:val="18"/>
                <w:szCs w:val="18"/>
                <w:lang w:eastAsia="en-GB"/>
              </w:rPr>
              <w:t>Terling</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57C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9B97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D2FA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2.46</w:t>
            </w:r>
          </w:p>
        </w:tc>
      </w:tr>
      <w:tr w:rsidR="003831BC" w:rsidRPr="004B2E1B" w14:paraId="41979D5B"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A44B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7</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9DC8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E01021694</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E9AB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Colchester 019D</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2064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Mersea</w:t>
            </w:r>
            <w:proofErr w:type="spellEnd"/>
            <w:r w:rsidRPr="004B2E1B">
              <w:rPr>
                <w:rFonts w:ascii="Century Gothic" w:eastAsia="Times New Roman" w:hAnsi="Century Gothic" w:cs="Calibri"/>
                <w:color w:val="000000"/>
                <w:sz w:val="18"/>
                <w:szCs w:val="18"/>
                <w:lang w:eastAsia="en-GB"/>
              </w:rPr>
              <w:t xml:space="preserve"> and </w:t>
            </w:r>
            <w:proofErr w:type="spellStart"/>
            <w:r w:rsidRPr="004B2E1B">
              <w:rPr>
                <w:rFonts w:ascii="Century Gothic" w:eastAsia="Times New Roman" w:hAnsi="Century Gothic" w:cs="Calibri"/>
                <w:color w:val="000000"/>
                <w:sz w:val="18"/>
                <w:szCs w:val="18"/>
                <w:lang w:eastAsia="en-GB"/>
              </w:rPr>
              <w:t>Pyefleet</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749E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Colchester</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BE02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387A4"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2.54</w:t>
            </w:r>
          </w:p>
        </w:tc>
      </w:tr>
      <w:tr w:rsidR="003831BC" w:rsidRPr="004B2E1B" w14:paraId="506EAF3A"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92C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8</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803F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E01022098</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DA1C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 003E</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52BC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Clavering</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D909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D12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41536"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2.54</w:t>
            </w:r>
          </w:p>
        </w:tc>
      </w:tr>
      <w:tr w:rsidR="003831BC" w:rsidRPr="004B2E1B" w14:paraId="3B3CF74C"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329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A1A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E01021875</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F37A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007C</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6511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Althorne</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2AAC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E3E4"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C6EA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2.62</w:t>
            </w:r>
          </w:p>
        </w:tc>
      </w:tr>
      <w:tr w:rsidR="003831BC" w:rsidRPr="004B2E1B" w14:paraId="1B618E4A"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7EC2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BAA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E01021404</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4B01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005A</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48C9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Rayne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2711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8EE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E821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2.62</w:t>
            </w:r>
          </w:p>
        </w:tc>
      </w:tr>
      <w:tr w:rsidR="003831BC" w:rsidRPr="004B2E1B" w14:paraId="6C2D4C08"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C6FD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11</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805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E01021414</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3C07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 001C</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BD75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Stour Valley North</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2233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Braintree</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CD3D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6913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2.69</w:t>
            </w:r>
          </w:p>
        </w:tc>
      </w:tr>
      <w:tr w:rsidR="003831BC" w:rsidRPr="004B2E1B" w14:paraId="506077AD"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ACE8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12</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137F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E01022019</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669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Tendring 003E</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0F6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Manningtree, Mistley, Little Bentley and Tendring</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13DE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Tendring</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E1E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AAD8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2.69</w:t>
            </w:r>
          </w:p>
        </w:tc>
      </w:tr>
      <w:tr w:rsidR="003831BC" w:rsidRPr="004B2E1B" w14:paraId="1623EF5B"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BFB18"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13</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C99F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E01022088</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C69B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 008E</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F323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Felsted</w:t>
            </w:r>
            <w:proofErr w:type="spellEnd"/>
            <w:r w:rsidRPr="004B2E1B">
              <w:rPr>
                <w:rFonts w:ascii="Century Gothic" w:eastAsia="Times New Roman" w:hAnsi="Century Gothic" w:cs="Calibri"/>
                <w:color w:val="000000"/>
                <w:sz w:val="18"/>
                <w:szCs w:val="18"/>
                <w:lang w:eastAsia="en-GB"/>
              </w:rPr>
              <w:t xml:space="preserve"> &amp; </w:t>
            </w:r>
            <w:proofErr w:type="spellStart"/>
            <w:r w:rsidRPr="004B2E1B">
              <w:rPr>
                <w:rFonts w:ascii="Century Gothic" w:eastAsia="Times New Roman" w:hAnsi="Century Gothic" w:cs="Calibri"/>
                <w:color w:val="000000"/>
                <w:sz w:val="18"/>
                <w:szCs w:val="18"/>
                <w:lang w:eastAsia="en-GB"/>
              </w:rPr>
              <w:t>Stebbing</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576E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FC52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24F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2.69</w:t>
            </w:r>
          </w:p>
        </w:tc>
      </w:tr>
      <w:tr w:rsidR="003831BC" w:rsidRPr="004B2E1B" w14:paraId="54AE3690"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29A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14</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5FE2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E01021911</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5223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001D</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B3A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Tolleshunt</w:t>
            </w:r>
            <w:proofErr w:type="spellEnd"/>
            <w:r w:rsidRPr="004B2E1B">
              <w:rPr>
                <w:rFonts w:ascii="Century Gothic" w:eastAsia="Times New Roman" w:hAnsi="Century Gothic" w:cs="Calibri"/>
                <w:color w:val="000000"/>
                <w:sz w:val="18"/>
                <w:szCs w:val="18"/>
                <w:lang w:eastAsia="en-GB"/>
              </w:rPr>
              <w:t xml:space="preserve"> D'Arcy</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0054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78AA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8</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EE6E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2.69</w:t>
            </w:r>
          </w:p>
        </w:tc>
      </w:tr>
      <w:tr w:rsidR="003831BC" w:rsidRPr="004B2E1B" w14:paraId="2AEC68BA"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0270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15</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F76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E01022058</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E613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 008A</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692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 xml:space="preserve">High Easter &amp; the </w:t>
            </w:r>
            <w:proofErr w:type="spellStart"/>
            <w:r w:rsidRPr="004B2E1B">
              <w:rPr>
                <w:rFonts w:ascii="Century Gothic" w:eastAsia="Times New Roman" w:hAnsi="Century Gothic" w:cs="Calibri"/>
                <w:color w:val="000000"/>
                <w:sz w:val="18"/>
                <w:szCs w:val="18"/>
                <w:lang w:eastAsia="en-GB"/>
              </w:rPr>
              <w:t>Rodings</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F10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Uttlesford</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DACA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61F5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2.77</w:t>
            </w:r>
          </w:p>
        </w:tc>
      </w:tr>
      <w:tr w:rsidR="003831BC" w:rsidRPr="004B2E1B" w14:paraId="3A714A05"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A7C8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16</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8933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E01021768</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4CA6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Epping Forest 001A</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66D7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Hastingwood</w:t>
            </w:r>
            <w:proofErr w:type="spellEnd"/>
            <w:r w:rsidRPr="004B2E1B">
              <w:rPr>
                <w:rFonts w:ascii="Century Gothic" w:eastAsia="Times New Roman" w:hAnsi="Century Gothic" w:cs="Calibri"/>
                <w:color w:val="000000"/>
                <w:sz w:val="18"/>
                <w:szCs w:val="18"/>
                <w:lang w:eastAsia="en-GB"/>
              </w:rPr>
              <w:t>, Matching and Sheering Village</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28570"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Epping Forest</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E24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73176"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2.85</w:t>
            </w:r>
          </w:p>
        </w:tc>
      </w:tr>
      <w:tr w:rsidR="003831BC" w:rsidRPr="004B2E1B" w14:paraId="0A802E94"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669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17</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F20C"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E01021443</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77081"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Brentwood 001C</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DCE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Brizes</w:t>
            </w:r>
            <w:proofErr w:type="spellEnd"/>
            <w:r w:rsidRPr="004B2E1B">
              <w:rPr>
                <w:rFonts w:ascii="Century Gothic" w:eastAsia="Times New Roman" w:hAnsi="Century Gothic" w:cs="Calibri"/>
                <w:color w:val="000000"/>
                <w:sz w:val="18"/>
                <w:szCs w:val="18"/>
                <w:lang w:eastAsia="en-GB"/>
              </w:rPr>
              <w:t xml:space="preserve"> and </w:t>
            </w:r>
            <w:proofErr w:type="spellStart"/>
            <w:r w:rsidRPr="004B2E1B">
              <w:rPr>
                <w:rFonts w:ascii="Century Gothic" w:eastAsia="Times New Roman" w:hAnsi="Century Gothic" w:cs="Calibri"/>
                <w:color w:val="000000"/>
                <w:sz w:val="18"/>
                <w:szCs w:val="18"/>
                <w:lang w:eastAsia="en-GB"/>
              </w:rPr>
              <w:t>Doddinghurst</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742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Brentwood</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B5EF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5</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76FF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2.85</w:t>
            </w:r>
          </w:p>
        </w:tc>
      </w:tr>
      <w:tr w:rsidR="003831BC" w:rsidRPr="004B2E1B" w14:paraId="56EF6A45"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7AC4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18</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9B2DA"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E01021903</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F4DE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007G</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C88A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Purleigh</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8B0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A020E"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6</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DC3D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2.85</w:t>
            </w:r>
          </w:p>
        </w:tc>
      </w:tr>
      <w:tr w:rsidR="003831BC" w:rsidRPr="004B2E1B" w14:paraId="0CFF4FF8"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CBE7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19</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2EC0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E01021913</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60032"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002D</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2396F"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Wickham Bishops and Woodham</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224CD"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9F4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7</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CE8E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2.85</w:t>
            </w:r>
          </w:p>
        </w:tc>
      </w:tr>
      <w:tr w:rsidR="003831BC" w:rsidRPr="004B2E1B" w14:paraId="5F0E4161" w14:textId="77777777" w:rsidTr="00DA302A">
        <w:trPr>
          <w:trHeight w:val="288"/>
        </w:trPr>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B881B"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20</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485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E01021899</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03825"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 007D</w:t>
            </w:r>
          </w:p>
        </w:tc>
        <w:tc>
          <w:tcPr>
            <w:tcW w:w="2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6D2C9"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4B2E1B">
              <w:rPr>
                <w:rFonts w:ascii="Century Gothic" w:eastAsia="Times New Roman" w:hAnsi="Century Gothic" w:cs="Calibri"/>
                <w:color w:val="000000"/>
                <w:sz w:val="18"/>
                <w:szCs w:val="18"/>
                <w:lang w:eastAsia="en-GB"/>
              </w:rPr>
              <w:t>Mayland</w:t>
            </w:r>
            <w:proofErr w:type="spellEnd"/>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13FB6"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Maldon</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0907"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9</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51833" w14:textId="77777777" w:rsidR="003831BC" w:rsidRPr="004B2E1B" w:rsidRDefault="003831BC" w:rsidP="00DA302A">
            <w:pPr>
              <w:spacing w:after="0" w:line="240" w:lineRule="auto"/>
              <w:jc w:val="both"/>
              <w:rPr>
                <w:rFonts w:ascii="Century Gothic" w:eastAsia="Times New Roman" w:hAnsi="Century Gothic" w:cs="Calibri"/>
                <w:color w:val="000000"/>
                <w:sz w:val="18"/>
                <w:szCs w:val="18"/>
                <w:lang w:eastAsia="en-GB"/>
              </w:rPr>
            </w:pPr>
            <w:r w:rsidRPr="004B2E1B">
              <w:rPr>
                <w:rFonts w:ascii="Century Gothic" w:eastAsia="Times New Roman" w:hAnsi="Century Gothic" w:cs="Calibri"/>
                <w:color w:val="000000"/>
                <w:sz w:val="18"/>
                <w:szCs w:val="18"/>
                <w:lang w:eastAsia="en-GB"/>
              </w:rPr>
              <w:t>2.92</w:t>
            </w:r>
          </w:p>
        </w:tc>
      </w:tr>
    </w:tbl>
    <w:p w14:paraId="40EF12CF" w14:textId="77777777" w:rsidR="003831BC" w:rsidRDefault="003831BC" w:rsidP="003831BC">
      <w:pPr>
        <w:jc w:val="both"/>
        <w:rPr>
          <w:rFonts w:ascii="Century Gothic" w:hAnsi="Century Gothic"/>
          <w:b/>
          <w:bCs/>
        </w:rPr>
      </w:pPr>
    </w:p>
    <w:p w14:paraId="2EB1709B"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map below shows where each LSOA in Essex places nationally in our access and transport decile. Essex is a largely rural county, meaning a lot of our LSOAs score quite low for access and transport. </w:t>
      </w:r>
      <w:proofErr w:type="gramStart"/>
      <w:r w:rsidRPr="00435601">
        <w:rPr>
          <w:rFonts w:ascii="Century Gothic" w:hAnsi="Century Gothic"/>
          <w:sz w:val="22"/>
          <w:szCs w:val="22"/>
        </w:rPr>
        <w:t>Typically</w:t>
      </w:r>
      <w:proofErr w:type="gramEnd"/>
      <w:r w:rsidRPr="00435601">
        <w:rPr>
          <w:rFonts w:ascii="Century Gothic" w:hAnsi="Century Gothic"/>
          <w:sz w:val="22"/>
          <w:szCs w:val="22"/>
        </w:rPr>
        <w:t xml:space="preserve"> these areas are among the least deprived LSOAs in Essex. However, rural locations experience significant challenges when accessing amenities and transport.</w:t>
      </w:r>
    </w:p>
    <w:p w14:paraId="6839C93E" w14:textId="77777777" w:rsidR="003831BC" w:rsidRPr="00BC216C" w:rsidRDefault="003831BC" w:rsidP="003831BC">
      <w:pPr>
        <w:jc w:val="both"/>
        <w:rPr>
          <w:rFonts w:ascii="Century Gothic" w:hAnsi="Century Gothic"/>
        </w:rPr>
      </w:pPr>
    </w:p>
    <w:p w14:paraId="0BEA2EB0" w14:textId="77777777" w:rsidR="003831BC" w:rsidRDefault="003831BC" w:rsidP="003831BC">
      <w:pPr>
        <w:jc w:val="center"/>
        <w:rPr>
          <w:rFonts w:ascii="Century Gothic" w:hAnsi="Century Gothic"/>
          <w:b/>
          <w:bCs/>
        </w:rPr>
      </w:pPr>
      <w:r>
        <w:rPr>
          <w:noProof/>
        </w:rPr>
        <w:drawing>
          <wp:inline distT="0" distB="0" distL="0" distR="0" wp14:anchorId="4DFFC73E" wp14:editId="688B69AA">
            <wp:extent cx="5326380" cy="371654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4056" cy="3721902"/>
                    </a:xfrm>
                    <a:prstGeom prst="rect">
                      <a:avLst/>
                    </a:prstGeom>
                  </pic:spPr>
                </pic:pic>
              </a:graphicData>
            </a:graphic>
          </wp:inline>
        </w:drawing>
      </w:r>
    </w:p>
    <w:p w14:paraId="320DBD47"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access and transport ranks within Essex</w:t>
      </w:r>
    </w:p>
    <w:p w14:paraId="54230E21"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map below shows each Essex LSOA ranked from 1 to 872 depending on its access and transport decile score, with 1 being the lowest access and transport decile score, and 872 the highest. This allows us to see the spread of inequalities in access and transport on an Essex-specific scale.</w:t>
      </w:r>
    </w:p>
    <w:p w14:paraId="5FE1F0D0"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fact that larger, more rural LSOAs are the most affected by scoring low for access and transport is reflected in the map. </w:t>
      </w:r>
      <w:proofErr w:type="gramStart"/>
      <w:r w:rsidRPr="00435601">
        <w:rPr>
          <w:rFonts w:ascii="Century Gothic" w:hAnsi="Century Gothic"/>
          <w:sz w:val="22"/>
          <w:szCs w:val="22"/>
        </w:rPr>
        <w:t>Smaller, urban areas,</w:t>
      </w:r>
      <w:proofErr w:type="gramEnd"/>
      <w:r w:rsidRPr="00435601">
        <w:rPr>
          <w:rFonts w:ascii="Century Gothic" w:hAnsi="Century Gothic"/>
          <w:sz w:val="22"/>
          <w:szCs w:val="22"/>
        </w:rPr>
        <w:t xml:space="preserve"> score better for access and transport measures.</w:t>
      </w:r>
    </w:p>
    <w:p w14:paraId="79E039D2" w14:textId="77777777" w:rsidR="003831BC" w:rsidRDefault="003831BC" w:rsidP="003831BC">
      <w:pPr>
        <w:jc w:val="center"/>
        <w:rPr>
          <w:rFonts w:ascii="Century Gothic" w:hAnsi="Century Gothic"/>
        </w:rPr>
      </w:pPr>
      <w:r>
        <w:rPr>
          <w:noProof/>
        </w:rPr>
        <w:drawing>
          <wp:inline distT="0" distB="0" distL="0" distR="0" wp14:anchorId="47619E49" wp14:editId="07023635">
            <wp:extent cx="4704729" cy="329946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9285" cy="3302655"/>
                    </a:xfrm>
                    <a:prstGeom prst="rect">
                      <a:avLst/>
                    </a:prstGeom>
                  </pic:spPr>
                </pic:pic>
              </a:graphicData>
            </a:graphic>
          </wp:inline>
        </w:drawing>
      </w:r>
    </w:p>
    <w:p w14:paraId="2A171A76"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2" w:name="_Toc50553604"/>
      <w:r>
        <w:rPr>
          <w:rFonts w:ascii="Century Gothic" w:hAnsi="Century Gothic"/>
          <w:b/>
          <w:bCs/>
          <w:i/>
          <w:iCs/>
          <w:color w:val="D8117D"/>
          <w:sz w:val="24"/>
          <w:szCs w:val="24"/>
        </w:rPr>
        <w:t>Housing</w:t>
      </w:r>
      <w:bookmarkEnd w:id="22"/>
    </w:p>
    <w:p w14:paraId="535EED5E" w14:textId="77777777" w:rsidR="003831BC" w:rsidRDefault="003831BC" w:rsidP="003831BC">
      <w:pPr>
        <w:jc w:val="both"/>
      </w:pPr>
    </w:p>
    <w:p w14:paraId="7BC51A71"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From the findings of our regression analysis, data on housing was the seventh biggest driver of physical inactivity.</w:t>
      </w:r>
    </w:p>
    <w:p w14:paraId="53946573"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On average, Essex scores 5.28 for housing measures, lower than the national average of 5.46, suggesting Essex performs worse on housing metrics when compared to the rest of the country. All Essex districts score </w:t>
      </w:r>
      <w:proofErr w:type="gramStart"/>
      <w:r w:rsidRPr="00435601">
        <w:rPr>
          <w:rFonts w:ascii="Century Gothic" w:hAnsi="Century Gothic"/>
          <w:sz w:val="22"/>
          <w:szCs w:val="22"/>
        </w:rPr>
        <w:t>fairly close</w:t>
      </w:r>
      <w:proofErr w:type="gramEnd"/>
      <w:r w:rsidRPr="00435601">
        <w:rPr>
          <w:rFonts w:ascii="Century Gothic" w:hAnsi="Century Gothic"/>
          <w:sz w:val="22"/>
          <w:szCs w:val="22"/>
        </w:rPr>
        <w:t xml:space="preserve"> to the Essex average. The highest scores are found in Tendring (5.51), Basildon (5.37) and Brentwood (5.35). The lowest scores are found in the districts of Uttlesford (4.95), Epping Forest (5.10) and Braintree (5.11).</w:t>
      </w:r>
    </w:p>
    <w:p w14:paraId="7F04C51D" w14:textId="77777777" w:rsidR="003831BC" w:rsidRDefault="003831BC" w:rsidP="003831BC">
      <w:pPr>
        <w:jc w:val="both"/>
        <w:rPr>
          <w:rFonts w:ascii="Century Gothic" w:hAnsi="Century Gothic"/>
          <w:b/>
          <w:bCs/>
        </w:rPr>
      </w:pPr>
    </w:p>
    <w:tbl>
      <w:tblPr>
        <w:tblW w:w="9237" w:type="dxa"/>
        <w:tblLook w:val="04A0" w:firstRow="1" w:lastRow="0" w:firstColumn="1" w:lastColumn="0" w:noHBand="0" w:noVBand="1"/>
      </w:tblPr>
      <w:tblGrid>
        <w:gridCol w:w="1391"/>
        <w:gridCol w:w="566"/>
        <w:gridCol w:w="566"/>
        <w:gridCol w:w="595"/>
        <w:gridCol w:w="566"/>
        <w:gridCol w:w="610"/>
        <w:gridCol w:w="569"/>
        <w:gridCol w:w="566"/>
        <w:gridCol w:w="566"/>
        <w:gridCol w:w="566"/>
        <w:gridCol w:w="566"/>
        <w:gridCol w:w="566"/>
        <w:gridCol w:w="566"/>
        <w:gridCol w:w="569"/>
        <w:gridCol w:w="569"/>
      </w:tblGrid>
      <w:tr w:rsidR="003831BC" w:rsidRPr="009848BB" w14:paraId="5DDC9C32" w14:textId="77777777" w:rsidTr="00DA302A">
        <w:trPr>
          <w:cantSplit/>
          <w:trHeight w:val="1498"/>
        </w:trPr>
        <w:tc>
          <w:tcPr>
            <w:tcW w:w="1391" w:type="dxa"/>
            <w:tcBorders>
              <w:top w:val="nil"/>
              <w:left w:val="nil"/>
              <w:bottom w:val="nil"/>
              <w:right w:val="nil"/>
            </w:tcBorders>
            <w:shd w:val="clear" w:color="auto" w:fill="auto"/>
            <w:noWrap/>
            <w:vAlign w:val="bottom"/>
            <w:hideMark/>
          </w:tcPr>
          <w:p w14:paraId="750AEFA7"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52" w:type="dxa"/>
            <w:tcBorders>
              <w:top w:val="nil"/>
              <w:left w:val="nil"/>
              <w:bottom w:val="nil"/>
              <w:right w:val="nil"/>
            </w:tcBorders>
            <w:shd w:val="clear" w:color="auto" w:fill="auto"/>
            <w:noWrap/>
            <w:textDirection w:val="tbRl"/>
            <w:vAlign w:val="bottom"/>
            <w:hideMark/>
          </w:tcPr>
          <w:p w14:paraId="3F98DF44"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52" w:type="dxa"/>
            <w:tcBorders>
              <w:top w:val="nil"/>
              <w:left w:val="nil"/>
              <w:bottom w:val="nil"/>
              <w:right w:val="nil"/>
            </w:tcBorders>
            <w:shd w:val="clear" w:color="auto" w:fill="auto"/>
            <w:noWrap/>
            <w:textDirection w:val="tbRl"/>
            <w:vAlign w:val="bottom"/>
            <w:hideMark/>
          </w:tcPr>
          <w:p w14:paraId="66BA087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95" w:type="dxa"/>
            <w:tcBorders>
              <w:top w:val="nil"/>
              <w:left w:val="nil"/>
              <w:bottom w:val="nil"/>
              <w:right w:val="nil"/>
            </w:tcBorders>
            <w:shd w:val="clear" w:color="auto" w:fill="auto"/>
            <w:noWrap/>
            <w:textDirection w:val="tbRl"/>
            <w:vAlign w:val="bottom"/>
            <w:hideMark/>
          </w:tcPr>
          <w:p w14:paraId="09E2E7F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52" w:type="dxa"/>
            <w:tcBorders>
              <w:top w:val="nil"/>
              <w:left w:val="nil"/>
              <w:bottom w:val="nil"/>
              <w:right w:val="nil"/>
            </w:tcBorders>
            <w:shd w:val="clear" w:color="auto" w:fill="auto"/>
            <w:noWrap/>
            <w:textDirection w:val="tbRl"/>
            <w:vAlign w:val="bottom"/>
            <w:hideMark/>
          </w:tcPr>
          <w:p w14:paraId="60E9AD7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10" w:type="dxa"/>
            <w:tcBorders>
              <w:top w:val="nil"/>
              <w:left w:val="nil"/>
              <w:bottom w:val="nil"/>
              <w:right w:val="nil"/>
            </w:tcBorders>
            <w:shd w:val="clear" w:color="auto" w:fill="auto"/>
            <w:noWrap/>
            <w:textDirection w:val="tbRl"/>
            <w:vAlign w:val="bottom"/>
            <w:hideMark/>
          </w:tcPr>
          <w:p w14:paraId="7FAFC98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69" w:type="dxa"/>
            <w:tcBorders>
              <w:top w:val="nil"/>
              <w:left w:val="nil"/>
              <w:bottom w:val="nil"/>
              <w:right w:val="nil"/>
            </w:tcBorders>
            <w:shd w:val="clear" w:color="auto" w:fill="auto"/>
            <w:noWrap/>
            <w:textDirection w:val="tbRl"/>
            <w:vAlign w:val="bottom"/>
            <w:hideMark/>
          </w:tcPr>
          <w:p w14:paraId="15D3151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52" w:type="dxa"/>
            <w:tcBorders>
              <w:top w:val="nil"/>
              <w:left w:val="nil"/>
              <w:bottom w:val="nil"/>
              <w:right w:val="nil"/>
            </w:tcBorders>
            <w:shd w:val="clear" w:color="auto" w:fill="auto"/>
            <w:noWrap/>
            <w:textDirection w:val="tbRl"/>
            <w:vAlign w:val="bottom"/>
            <w:hideMark/>
          </w:tcPr>
          <w:p w14:paraId="5DDCCD2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52" w:type="dxa"/>
            <w:tcBorders>
              <w:top w:val="nil"/>
              <w:left w:val="nil"/>
              <w:bottom w:val="nil"/>
              <w:right w:val="nil"/>
            </w:tcBorders>
            <w:shd w:val="clear" w:color="auto" w:fill="auto"/>
            <w:noWrap/>
            <w:textDirection w:val="tbRl"/>
            <w:vAlign w:val="bottom"/>
            <w:hideMark/>
          </w:tcPr>
          <w:p w14:paraId="7AB6202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52" w:type="dxa"/>
            <w:tcBorders>
              <w:top w:val="nil"/>
              <w:left w:val="nil"/>
              <w:bottom w:val="nil"/>
              <w:right w:val="nil"/>
            </w:tcBorders>
            <w:shd w:val="clear" w:color="auto" w:fill="auto"/>
            <w:noWrap/>
            <w:textDirection w:val="tbRl"/>
            <w:vAlign w:val="bottom"/>
            <w:hideMark/>
          </w:tcPr>
          <w:p w14:paraId="37FDA9E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52" w:type="dxa"/>
            <w:tcBorders>
              <w:top w:val="nil"/>
              <w:left w:val="nil"/>
              <w:bottom w:val="nil"/>
              <w:right w:val="nil"/>
            </w:tcBorders>
            <w:shd w:val="clear" w:color="auto" w:fill="auto"/>
            <w:noWrap/>
            <w:textDirection w:val="tbRl"/>
            <w:vAlign w:val="bottom"/>
            <w:hideMark/>
          </w:tcPr>
          <w:p w14:paraId="196CD6D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52" w:type="dxa"/>
            <w:tcBorders>
              <w:top w:val="nil"/>
              <w:left w:val="nil"/>
              <w:bottom w:val="nil"/>
              <w:right w:val="nil"/>
            </w:tcBorders>
            <w:shd w:val="clear" w:color="auto" w:fill="auto"/>
            <w:noWrap/>
            <w:textDirection w:val="tbRl"/>
            <w:vAlign w:val="bottom"/>
            <w:hideMark/>
          </w:tcPr>
          <w:p w14:paraId="7F7BE075"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52" w:type="dxa"/>
            <w:tcBorders>
              <w:top w:val="nil"/>
              <w:left w:val="nil"/>
              <w:bottom w:val="nil"/>
              <w:right w:val="single" w:sz="4" w:space="0" w:color="auto"/>
            </w:tcBorders>
            <w:shd w:val="clear" w:color="auto" w:fill="auto"/>
            <w:noWrap/>
            <w:textDirection w:val="tbRl"/>
            <w:vAlign w:val="bottom"/>
            <w:hideMark/>
          </w:tcPr>
          <w:p w14:paraId="4E5ED23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52"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26B3E04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52" w:type="dxa"/>
            <w:tcBorders>
              <w:top w:val="single" w:sz="4" w:space="0" w:color="auto"/>
              <w:left w:val="single" w:sz="4" w:space="0" w:color="auto"/>
              <w:bottom w:val="single" w:sz="4" w:space="0" w:color="auto"/>
              <w:right w:val="single" w:sz="4" w:space="0" w:color="auto"/>
            </w:tcBorders>
            <w:textDirection w:val="tbRl"/>
          </w:tcPr>
          <w:p w14:paraId="5DB0ACA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203A0C10" w14:textId="77777777" w:rsidTr="00DA302A">
        <w:trPr>
          <w:trHeight w:val="473"/>
        </w:trPr>
        <w:tc>
          <w:tcPr>
            <w:tcW w:w="1391" w:type="dxa"/>
            <w:tcBorders>
              <w:top w:val="nil"/>
              <w:left w:val="nil"/>
              <w:bottom w:val="nil"/>
              <w:right w:val="nil"/>
            </w:tcBorders>
            <w:shd w:val="clear" w:color="auto" w:fill="auto"/>
            <w:noWrap/>
            <w:vAlign w:val="bottom"/>
            <w:hideMark/>
          </w:tcPr>
          <w:p w14:paraId="73610AF8"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Housing Average</w:t>
            </w:r>
            <w:r>
              <w:rPr>
                <w:rFonts w:ascii="Century Gothic" w:hAnsi="Century Gothic" w:cs="Calibri"/>
                <w:color w:val="000000"/>
                <w:sz w:val="18"/>
                <w:szCs w:val="18"/>
              </w:rPr>
              <w:t xml:space="preserve"> decile</w:t>
            </w:r>
          </w:p>
        </w:tc>
        <w:tc>
          <w:tcPr>
            <w:tcW w:w="552" w:type="dxa"/>
            <w:tcBorders>
              <w:top w:val="nil"/>
              <w:left w:val="nil"/>
              <w:bottom w:val="nil"/>
              <w:right w:val="nil"/>
            </w:tcBorders>
            <w:shd w:val="clear" w:color="000000" w:fill="DAE182"/>
            <w:noWrap/>
            <w:vAlign w:val="bottom"/>
            <w:hideMark/>
          </w:tcPr>
          <w:p w14:paraId="6CEEC001"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5.37</w:t>
            </w:r>
          </w:p>
        </w:tc>
        <w:tc>
          <w:tcPr>
            <w:tcW w:w="552" w:type="dxa"/>
            <w:tcBorders>
              <w:top w:val="nil"/>
              <w:left w:val="nil"/>
              <w:bottom w:val="nil"/>
              <w:right w:val="nil"/>
            </w:tcBorders>
            <w:shd w:val="clear" w:color="000000" w:fill="FAA075"/>
            <w:noWrap/>
            <w:vAlign w:val="bottom"/>
            <w:hideMark/>
          </w:tcPr>
          <w:p w14:paraId="1E48E691"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5.11</w:t>
            </w:r>
          </w:p>
        </w:tc>
        <w:tc>
          <w:tcPr>
            <w:tcW w:w="595" w:type="dxa"/>
            <w:tcBorders>
              <w:top w:val="nil"/>
              <w:left w:val="nil"/>
              <w:bottom w:val="nil"/>
              <w:right w:val="nil"/>
            </w:tcBorders>
            <w:shd w:val="clear" w:color="000000" w:fill="EBE683"/>
            <w:noWrap/>
            <w:vAlign w:val="bottom"/>
            <w:hideMark/>
          </w:tcPr>
          <w:p w14:paraId="6DC21A6C"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5.35</w:t>
            </w:r>
          </w:p>
        </w:tc>
        <w:tc>
          <w:tcPr>
            <w:tcW w:w="552" w:type="dxa"/>
            <w:tcBorders>
              <w:top w:val="nil"/>
              <w:left w:val="nil"/>
              <w:bottom w:val="nil"/>
              <w:right w:val="nil"/>
            </w:tcBorders>
            <w:shd w:val="clear" w:color="000000" w:fill="F0E784"/>
            <w:noWrap/>
            <w:vAlign w:val="bottom"/>
            <w:hideMark/>
          </w:tcPr>
          <w:p w14:paraId="4A7C8198"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5.34</w:t>
            </w:r>
          </w:p>
        </w:tc>
        <w:tc>
          <w:tcPr>
            <w:tcW w:w="610" w:type="dxa"/>
            <w:tcBorders>
              <w:top w:val="nil"/>
              <w:left w:val="nil"/>
              <w:bottom w:val="nil"/>
              <w:right w:val="nil"/>
            </w:tcBorders>
            <w:shd w:val="clear" w:color="000000" w:fill="F9EA84"/>
            <w:noWrap/>
            <w:vAlign w:val="bottom"/>
            <w:hideMark/>
          </w:tcPr>
          <w:p w14:paraId="25846E7A"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5.33</w:t>
            </w:r>
          </w:p>
        </w:tc>
        <w:tc>
          <w:tcPr>
            <w:tcW w:w="569" w:type="dxa"/>
            <w:tcBorders>
              <w:top w:val="nil"/>
              <w:left w:val="nil"/>
              <w:bottom w:val="nil"/>
              <w:right w:val="nil"/>
            </w:tcBorders>
            <w:shd w:val="clear" w:color="000000" w:fill="FEDE81"/>
            <w:noWrap/>
            <w:vAlign w:val="bottom"/>
            <w:hideMark/>
          </w:tcPr>
          <w:p w14:paraId="648EF205"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5.29</w:t>
            </w:r>
          </w:p>
        </w:tc>
        <w:tc>
          <w:tcPr>
            <w:tcW w:w="552" w:type="dxa"/>
            <w:tcBorders>
              <w:top w:val="nil"/>
              <w:left w:val="nil"/>
              <w:bottom w:val="nil"/>
              <w:right w:val="nil"/>
            </w:tcBorders>
            <w:shd w:val="clear" w:color="000000" w:fill="FA9C74"/>
            <w:noWrap/>
            <w:vAlign w:val="bottom"/>
            <w:hideMark/>
          </w:tcPr>
          <w:p w14:paraId="5AE79064"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5.10</w:t>
            </w:r>
          </w:p>
        </w:tc>
        <w:tc>
          <w:tcPr>
            <w:tcW w:w="552" w:type="dxa"/>
            <w:tcBorders>
              <w:top w:val="nil"/>
              <w:left w:val="nil"/>
              <w:bottom w:val="nil"/>
              <w:right w:val="nil"/>
            </w:tcBorders>
            <w:shd w:val="clear" w:color="000000" w:fill="F0E784"/>
            <w:noWrap/>
            <w:vAlign w:val="bottom"/>
            <w:hideMark/>
          </w:tcPr>
          <w:p w14:paraId="009B3FB9"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5.34</w:t>
            </w:r>
          </w:p>
        </w:tc>
        <w:tc>
          <w:tcPr>
            <w:tcW w:w="552" w:type="dxa"/>
            <w:tcBorders>
              <w:top w:val="nil"/>
              <w:left w:val="nil"/>
              <w:bottom w:val="nil"/>
              <w:right w:val="nil"/>
            </w:tcBorders>
            <w:shd w:val="clear" w:color="000000" w:fill="FBA676"/>
            <w:noWrap/>
            <w:vAlign w:val="bottom"/>
            <w:hideMark/>
          </w:tcPr>
          <w:p w14:paraId="5EE84531"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5.13</w:t>
            </w:r>
          </w:p>
        </w:tc>
        <w:tc>
          <w:tcPr>
            <w:tcW w:w="552" w:type="dxa"/>
            <w:tcBorders>
              <w:top w:val="nil"/>
              <w:left w:val="nil"/>
              <w:bottom w:val="nil"/>
              <w:right w:val="nil"/>
            </w:tcBorders>
            <w:shd w:val="clear" w:color="000000" w:fill="FEE883"/>
            <w:noWrap/>
            <w:vAlign w:val="bottom"/>
            <w:hideMark/>
          </w:tcPr>
          <w:p w14:paraId="0FB3505B"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5.32</w:t>
            </w:r>
          </w:p>
        </w:tc>
        <w:tc>
          <w:tcPr>
            <w:tcW w:w="552" w:type="dxa"/>
            <w:tcBorders>
              <w:top w:val="nil"/>
              <w:left w:val="nil"/>
              <w:bottom w:val="nil"/>
              <w:right w:val="nil"/>
            </w:tcBorders>
            <w:shd w:val="clear" w:color="000000" w:fill="63BE7B"/>
            <w:noWrap/>
            <w:vAlign w:val="bottom"/>
            <w:hideMark/>
          </w:tcPr>
          <w:p w14:paraId="6D1E730C"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5.51</w:t>
            </w:r>
          </w:p>
        </w:tc>
        <w:tc>
          <w:tcPr>
            <w:tcW w:w="552" w:type="dxa"/>
            <w:tcBorders>
              <w:top w:val="nil"/>
              <w:left w:val="nil"/>
              <w:bottom w:val="nil"/>
              <w:right w:val="nil"/>
            </w:tcBorders>
            <w:shd w:val="clear" w:color="000000" w:fill="F8696B"/>
            <w:noWrap/>
            <w:vAlign w:val="bottom"/>
            <w:hideMark/>
          </w:tcPr>
          <w:p w14:paraId="443071D8" w14:textId="77777777" w:rsidR="003831BC" w:rsidRPr="00FC21D3" w:rsidRDefault="003831BC" w:rsidP="00DA302A">
            <w:pPr>
              <w:spacing w:after="0" w:line="240" w:lineRule="auto"/>
              <w:jc w:val="both"/>
              <w:rPr>
                <w:rFonts w:ascii="Century Gothic" w:eastAsia="Times New Roman" w:hAnsi="Century Gothic" w:cs="Calibri"/>
                <w:color w:val="000000"/>
                <w:sz w:val="18"/>
                <w:szCs w:val="18"/>
                <w:lang w:eastAsia="en-GB"/>
              </w:rPr>
            </w:pPr>
            <w:r w:rsidRPr="00FC21D3">
              <w:rPr>
                <w:rFonts w:ascii="Century Gothic" w:hAnsi="Century Gothic" w:cs="Calibri"/>
                <w:color w:val="000000"/>
                <w:sz w:val="18"/>
                <w:szCs w:val="18"/>
              </w:rPr>
              <w:t>4.95</w:t>
            </w:r>
          </w:p>
        </w:tc>
        <w:tc>
          <w:tcPr>
            <w:tcW w:w="552" w:type="dxa"/>
            <w:tcBorders>
              <w:top w:val="nil"/>
              <w:left w:val="nil"/>
              <w:bottom w:val="nil"/>
              <w:right w:val="nil"/>
            </w:tcBorders>
            <w:shd w:val="clear" w:color="auto" w:fill="auto"/>
            <w:noWrap/>
            <w:vAlign w:val="bottom"/>
            <w:hideMark/>
          </w:tcPr>
          <w:p w14:paraId="118C4742" w14:textId="77777777" w:rsidR="003831BC" w:rsidRPr="00FC21D3"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FC21D3">
              <w:rPr>
                <w:rFonts w:ascii="Century Gothic" w:hAnsi="Century Gothic" w:cs="Calibri"/>
                <w:b/>
                <w:bCs/>
                <w:color w:val="000000"/>
                <w:sz w:val="18"/>
                <w:szCs w:val="18"/>
              </w:rPr>
              <w:t>5.28</w:t>
            </w:r>
          </w:p>
        </w:tc>
        <w:tc>
          <w:tcPr>
            <w:tcW w:w="552" w:type="dxa"/>
            <w:tcBorders>
              <w:top w:val="nil"/>
              <w:left w:val="nil"/>
              <w:bottom w:val="nil"/>
              <w:right w:val="nil"/>
            </w:tcBorders>
            <w:vAlign w:val="bottom"/>
          </w:tcPr>
          <w:p w14:paraId="4D967602" w14:textId="77777777" w:rsidR="003831BC" w:rsidRPr="00FC21D3"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5.46</w:t>
            </w:r>
          </w:p>
        </w:tc>
      </w:tr>
    </w:tbl>
    <w:p w14:paraId="6DED736A" w14:textId="77777777" w:rsidR="003831BC" w:rsidRDefault="003831BC" w:rsidP="003831BC">
      <w:pPr>
        <w:jc w:val="both"/>
        <w:rPr>
          <w:rFonts w:ascii="Century Gothic" w:hAnsi="Century Gothic"/>
          <w:b/>
          <w:bCs/>
        </w:rPr>
      </w:pPr>
    </w:p>
    <w:p w14:paraId="49718CCA"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Essex LSOAs score nationally for housing</w:t>
      </w:r>
    </w:p>
    <w:p w14:paraId="2432EEC9"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table below shows 20 LSOAs in Essex which score the lowest in the housing decile. The LSOA with the lowest score is found in the ward of Great Dunmow North in Uttlesford.</w:t>
      </w:r>
    </w:p>
    <w:p w14:paraId="50FF60D9"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LSOAs which score the lowest in the housing decile are typically in rural locations. A range of districts are represented in the lowest scoring LSOAs, but Uttlesford has the highest number of LSOAs among the lowest scorers with six. </w:t>
      </w:r>
    </w:p>
    <w:p w14:paraId="703337C6"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Most of the lowest scoring LSOAs are less deprived according to the 2019 Indices of Deprivation, placing in deciles 5-10, with the exception of an LSOA in the </w:t>
      </w:r>
      <w:proofErr w:type="spellStart"/>
      <w:r w:rsidRPr="00435601">
        <w:rPr>
          <w:rFonts w:ascii="Century Gothic" w:hAnsi="Century Gothic"/>
          <w:sz w:val="22"/>
          <w:szCs w:val="22"/>
        </w:rPr>
        <w:t>Bocking</w:t>
      </w:r>
      <w:proofErr w:type="spellEnd"/>
      <w:r w:rsidRPr="00435601">
        <w:rPr>
          <w:rFonts w:ascii="Century Gothic" w:hAnsi="Century Gothic"/>
          <w:sz w:val="22"/>
          <w:szCs w:val="22"/>
        </w:rPr>
        <w:t xml:space="preserve"> Elms ward of Tendring which placed in decile 2, and LSOAs in the wards of </w:t>
      </w:r>
      <w:proofErr w:type="spellStart"/>
      <w:r w:rsidRPr="00435601">
        <w:rPr>
          <w:rFonts w:ascii="Century Gothic" w:hAnsi="Century Gothic"/>
          <w:sz w:val="22"/>
          <w:szCs w:val="22"/>
        </w:rPr>
        <w:t>Greenstead</w:t>
      </w:r>
      <w:proofErr w:type="spellEnd"/>
      <w:r w:rsidRPr="00435601">
        <w:rPr>
          <w:rFonts w:ascii="Century Gothic" w:hAnsi="Century Gothic"/>
          <w:sz w:val="22"/>
          <w:szCs w:val="22"/>
        </w:rPr>
        <w:t xml:space="preserve"> and </w:t>
      </w:r>
      <w:proofErr w:type="spellStart"/>
      <w:r w:rsidRPr="00435601">
        <w:rPr>
          <w:rFonts w:ascii="Century Gothic" w:hAnsi="Century Gothic"/>
          <w:sz w:val="22"/>
          <w:szCs w:val="22"/>
        </w:rPr>
        <w:t>Berechurch</w:t>
      </w:r>
      <w:proofErr w:type="spellEnd"/>
      <w:r w:rsidRPr="00435601">
        <w:rPr>
          <w:rFonts w:ascii="Century Gothic" w:hAnsi="Century Gothic"/>
          <w:sz w:val="22"/>
          <w:szCs w:val="22"/>
        </w:rPr>
        <w:t xml:space="preserve"> in Colchester, which placed in decile 4.</w:t>
      </w:r>
    </w:p>
    <w:tbl>
      <w:tblPr>
        <w:tblW w:w="9026" w:type="dxa"/>
        <w:tblLook w:val="04A0" w:firstRow="1" w:lastRow="0" w:firstColumn="1" w:lastColumn="0" w:noHBand="0" w:noVBand="1"/>
      </w:tblPr>
      <w:tblGrid>
        <w:gridCol w:w="806"/>
        <w:gridCol w:w="1158"/>
        <w:gridCol w:w="1541"/>
        <w:gridCol w:w="2485"/>
        <w:gridCol w:w="1294"/>
        <w:gridCol w:w="761"/>
        <w:gridCol w:w="981"/>
      </w:tblGrid>
      <w:tr w:rsidR="003831BC" w:rsidRPr="00A07481" w14:paraId="561F7C69" w14:textId="77777777" w:rsidTr="00DA302A">
        <w:trPr>
          <w:trHeight w:val="288"/>
          <w:tblHeader/>
        </w:trPr>
        <w:tc>
          <w:tcPr>
            <w:tcW w:w="803" w:type="dxa"/>
            <w:tcBorders>
              <w:top w:val="nil"/>
              <w:left w:val="nil"/>
              <w:bottom w:val="single" w:sz="4" w:space="0" w:color="auto"/>
              <w:right w:val="nil"/>
            </w:tcBorders>
            <w:shd w:val="clear" w:color="auto" w:fill="auto"/>
            <w:noWrap/>
            <w:vAlign w:val="bottom"/>
            <w:hideMark/>
          </w:tcPr>
          <w:p w14:paraId="77EFAA0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Theme Rank</w:t>
            </w:r>
          </w:p>
        </w:tc>
        <w:tc>
          <w:tcPr>
            <w:tcW w:w="1159" w:type="dxa"/>
            <w:tcBorders>
              <w:top w:val="nil"/>
              <w:left w:val="nil"/>
              <w:bottom w:val="single" w:sz="4" w:space="0" w:color="auto"/>
              <w:right w:val="nil"/>
            </w:tcBorders>
            <w:shd w:val="clear" w:color="auto" w:fill="auto"/>
            <w:noWrap/>
            <w:vAlign w:val="bottom"/>
            <w:hideMark/>
          </w:tcPr>
          <w:p w14:paraId="405BB02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Code</w:t>
            </w:r>
          </w:p>
        </w:tc>
        <w:tc>
          <w:tcPr>
            <w:tcW w:w="1542" w:type="dxa"/>
            <w:tcBorders>
              <w:top w:val="nil"/>
              <w:left w:val="nil"/>
              <w:bottom w:val="single" w:sz="4" w:space="0" w:color="auto"/>
              <w:right w:val="nil"/>
            </w:tcBorders>
            <w:shd w:val="clear" w:color="auto" w:fill="auto"/>
            <w:noWrap/>
            <w:vAlign w:val="bottom"/>
            <w:hideMark/>
          </w:tcPr>
          <w:p w14:paraId="1880C22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Name</w:t>
            </w:r>
          </w:p>
        </w:tc>
        <w:tc>
          <w:tcPr>
            <w:tcW w:w="2487" w:type="dxa"/>
            <w:tcBorders>
              <w:top w:val="nil"/>
              <w:left w:val="nil"/>
              <w:bottom w:val="single" w:sz="4" w:space="0" w:color="auto"/>
              <w:right w:val="nil"/>
            </w:tcBorders>
            <w:shd w:val="clear" w:color="auto" w:fill="auto"/>
            <w:noWrap/>
            <w:vAlign w:val="bottom"/>
            <w:hideMark/>
          </w:tcPr>
          <w:p w14:paraId="1EA3FAD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Ward</w:t>
            </w:r>
          </w:p>
        </w:tc>
        <w:tc>
          <w:tcPr>
            <w:tcW w:w="1295" w:type="dxa"/>
            <w:tcBorders>
              <w:top w:val="nil"/>
              <w:left w:val="nil"/>
              <w:bottom w:val="single" w:sz="4" w:space="0" w:color="auto"/>
              <w:right w:val="nil"/>
            </w:tcBorders>
            <w:shd w:val="clear" w:color="auto" w:fill="auto"/>
            <w:noWrap/>
            <w:vAlign w:val="bottom"/>
            <w:hideMark/>
          </w:tcPr>
          <w:p w14:paraId="13DA492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LA Name</w:t>
            </w:r>
          </w:p>
        </w:tc>
        <w:tc>
          <w:tcPr>
            <w:tcW w:w="760" w:type="dxa"/>
            <w:tcBorders>
              <w:top w:val="nil"/>
              <w:left w:val="nil"/>
              <w:bottom w:val="single" w:sz="4" w:space="0" w:color="auto"/>
              <w:right w:val="nil"/>
            </w:tcBorders>
            <w:shd w:val="clear" w:color="auto" w:fill="auto"/>
            <w:noWrap/>
            <w:vAlign w:val="bottom"/>
            <w:hideMark/>
          </w:tcPr>
          <w:p w14:paraId="3834D7C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IMD 2019 decile</w:t>
            </w:r>
          </w:p>
        </w:tc>
        <w:tc>
          <w:tcPr>
            <w:tcW w:w="980" w:type="dxa"/>
            <w:tcBorders>
              <w:top w:val="nil"/>
              <w:left w:val="nil"/>
              <w:bottom w:val="single" w:sz="4" w:space="0" w:color="auto"/>
              <w:right w:val="nil"/>
            </w:tcBorders>
            <w:shd w:val="clear" w:color="auto" w:fill="auto"/>
            <w:noWrap/>
            <w:vAlign w:val="bottom"/>
            <w:hideMark/>
          </w:tcPr>
          <w:p w14:paraId="5E469DC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Housing Average</w:t>
            </w:r>
          </w:p>
        </w:tc>
      </w:tr>
      <w:tr w:rsidR="003831BC" w:rsidRPr="00A07481" w14:paraId="59CDE425"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ACE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ABF5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E01033054</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2BC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007D</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031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Great Dunmow North</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C57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AE37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E40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3.54</w:t>
            </w:r>
          </w:p>
        </w:tc>
      </w:tr>
      <w:tr w:rsidR="003831BC" w:rsidRPr="00A07481" w14:paraId="04843CD6"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6515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B075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E01021351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4754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007B</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52B1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Bocking</w:t>
            </w:r>
            <w:proofErr w:type="spellEnd"/>
            <w:r w:rsidRPr="00A07481">
              <w:rPr>
                <w:rFonts w:ascii="Century Gothic" w:eastAsia="Times New Roman" w:hAnsi="Century Gothic" w:cs="Calibri"/>
                <w:color w:val="000000"/>
                <w:sz w:val="18"/>
                <w:szCs w:val="18"/>
                <w:lang w:eastAsia="en-GB"/>
              </w:rPr>
              <w:t xml:space="preserve"> Blackwater</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3180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A17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7BB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3.96</w:t>
            </w:r>
          </w:p>
        </w:tc>
      </w:tr>
      <w:tr w:rsidR="003831BC" w:rsidRPr="00A07481" w14:paraId="0B32F4E5"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E875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A741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E01021349</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4504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007A</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876E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Bocking</w:t>
            </w:r>
            <w:proofErr w:type="spellEnd"/>
            <w:r w:rsidRPr="00A07481">
              <w:rPr>
                <w:rFonts w:ascii="Century Gothic" w:eastAsia="Times New Roman" w:hAnsi="Century Gothic" w:cs="Calibri"/>
                <w:color w:val="000000"/>
                <w:sz w:val="18"/>
                <w:szCs w:val="18"/>
                <w:lang w:eastAsia="en-GB"/>
              </w:rPr>
              <w:t xml:space="preserve"> Blackwater</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758B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3063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1A27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4.04</w:t>
            </w:r>
          </w:p>
        </w:tc>
      </w:tr>
      <w:tr w:rsidR="003831BC" w:rsidRPr="00A07481" w14:paraId="6F93E3BC"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9AF1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FBD0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E01022097</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57E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004C</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9A4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The </w:t>
            </w:r>
            <w:proofErr w:type="spellStart"/>
            <w:r w:rsidRPr="00A07481">
              <w:rPr>
                <w:rFonts w:ascii="Century Gothic" w:eastAsia="Times New Roman" w:hAnsi="Century Gothic" w:cs="Calibri"/>
                <w:color w:val="000000"/>
                <w:sz w:val="18"/>
                <w:szCs w:val="18"/>
                <w:lang w:eastAsia="en-GB"/>
              </w:rPr>
              <w:t>Sampfords</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73E1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6610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635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4.13</w:t>
            </w:r>
          </w:p>
        </w:tc>
      </w:tr>
      <w:tr w:rsidR="003831BC" w:rsidRPr="00A07481" w14:paraId="5D22255C"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4890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84F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E01021538</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28B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 001A</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A94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Boreham and The Leighs</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5F15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BF4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8F0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4.13</w:t>
            </w:r>
          </w:p>
        </w:tc>
      </w:tr>
      <w:tr w:rsidR="003831BC" w:rsidRPr="00A07481" w14:paraId="73A9A856"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0132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B01F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E01021769</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6B81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003A</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25CE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High Ongar, </w:t>
            </w:r>
            <w:proofErr w:type="spellStart"/>
            <w:r w:rsidRPr="00A07481">
              <w:rPr>
                <w:rFonts w:ascii="Century Gothic" w:eastAsia="Times New Roman" w:hAnsi="Century Gothic" w:cs="Calibri"/>
                <w:color w:val="000000"/>
                <w:sz w:val="18"/>
                <w:szCs w:val="18"/>
                <w:lang w:eastAsia="en-GB"/>
              </w:rPr>
              <w:t>Willingale</w:t>
            </w:r>
            <w:proofErr w:type="spellEnd"/>
            <w:r w:rsidRPr="00A07481">
              <w:rPr>
                <w:rFonts w:ascii="Century Gothic" w:eastAsia="Times New Roman" w:hAnsi="Century Gothic" w:cs="Calibri"/>
                <w:color w:val="000000"/>
                <w:sz w:val="18"/>
                <w:szCs w:val="18"/>
                <w:lang w:eastAsia="en-GB"/>
              </w:rPr>
              <w:t xml:space="preserve"> and The </w:t>
            </w:r>
            <w:proofErr w:type="spellStart"/>
            <w:r w:rsidRPr="00A07481">
              <w:rPr>
                <w:rFonts w:ascii="Century Gothic" w:eastAsia="Times New Roman" w:hAnsi="Century Gothic" w:cs="Calibri"/>
                <w:color w:val="000000"/>
                <w:sz w:val="18"/>
                <w:szCs w:val="18"/>
                <w:lang w:eastAsia="en-GB"/>
              </w:rPr>
              <w:t>Rodings</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1A82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CFBD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75EB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4.17</w:t>
            </w:r>
          </w:p>
        </w:tc>
      </w:tr>
      <w:tr w:rsidR="003831BC" w:rsidRPr="00A07481" w14:paraId="6B3ED835"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BCFD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7</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275C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E01021698</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C3B7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008C</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3041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Greenstead</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11D2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4F5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B07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4.21</w:t>
            </w:r>
          </w:p>
        </w:tc>
      </w:tr>
      <w:tr w:rsidR="003831BC" w:rsidRPr="00A07481" w14:paraId="7773832D"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95E7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8F23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E01021380</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FECC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012E</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CA51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Coggeshall</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5CEF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2171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C0E0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4.21</w:t>
            </w:r>
          </w:p>
        </w:tc>
      </w:tr>
      <w:tr w:rsidR="003831BC" w:rsidRPr="00A07481" w14:paraId="5E47CC81"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449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1313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E01022089</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362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005G</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FAB6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Stort</w:t>
            </w:r>
            <w:proofErr w:type="spellEnd"/>
            <w:r w:rsidRPr="00A07481">
              <w:rPr>
                <w:rFonts w:ascii="Century Gothic" w:eastAsia="Times New Roman" w:hAnsi="Century Gothic" w:cs="Calibri"/>
                <w:color w:val="000000"/>
                <w:sz w:val="18"/>
                <w:szCs w:val="18"/>
                <w:lang w:eastAsia="en-GB"/>
              </w:rPr>
              <w:t xml:space="preserve"> Valley</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010A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A7B0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F930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4.21</w:t>
            </w:r>
          </w:p>
        </w:tc>
      </w:tr>
      <w:tr w:rsidR="003831BC" w:rsidRPr="00A07481" w14:paraId="4FB82ACB"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D58B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10</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134E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E01022099</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671C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004D</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6E70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Debden &amp; Wimbish</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09A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12D2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DF0B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4.21</w:t>
            </w:r>
          </w:p>
        </w:tc>
      </w:tr>
      <w:tr w:rsidR="003831BC" w:rsidRPr="00A07481" w14:paraId="10F1A09A"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7BE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11</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3EB5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E01021794</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38B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002D</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431E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Lower </w:t>
            </w:r>
            <w:proofErr w:type="spellStart"/>
            <w:r w:rsidRPr="00A07481">
              <w:rPr>
                <w:rFonts w:ascii="Century Gothic" w:eastAsia="Times New Roman" w:hAnsi="Century Gothic" w:cs="Calibri"/>
                <w:color w:val="000000"/>
                <w:sz w:val="18"/>
                <w:szCs w:val="18"/>
                <w:lang w:eastAsia="en-GB"/>
              </w:rPr>
              <w:t>Nazeing</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B1C9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4DD8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EDA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4.25</w:t>
            </w:r>
          </w:p>
        </w:tc>
      </w:tr>
      <w:tr w:rsidR="003831BC" w:rsidRPr="00A07481" w14:paraId="1D89207E"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AE18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12</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D61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E01022096</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84F4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009D</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760B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High Easter &amp; the </w:t>
            </w:r>
            <w:proofErr w:type="spellStart"/>
            <w:r w:rsidRPr="00A07481">
              <w:rPr>
                <w:rFonts w:ascii="Century Gothic" w:eastAsia="Times New Roman" w:hAnsi="Century Gothic" w:cs="Calibri"/>
                <w:color w:val="000000"/>
                <w:sz w:val="18"/>
                <w:szCs w:val="18"/>
                <w:lang w:eastAsia="en-GB"/>
              </w:rPr>
              <w:t>Rodings</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3BB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0DE6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0159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4.25</w:t>
            </w:r>
          </w:p>
        </w:tc>
      </w:tr>
      <w:tr w:rsidR="003831BC" w:rsidRPr="00A07481" w14:paraId="76BED26D"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0450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13</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62EA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E01021261</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E30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010A</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E60A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Crouch</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0AC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1668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69C1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4.29</w:t>
            </w:r>
          </w:p>
        </w:tc>
      </w:tr>
      <w:tr w:rsidR="003831BC" w:rsidRPr="00A07481" w14:paraId="14390205"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BA90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14</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FDD6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E01033055</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CFE2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007E</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DDF5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Great Dunmow North</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D5AD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3460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0C2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4.29</w:t>
            </w:r>
          </w:p>
        </w:tc>
      </w:tr>
      <w:tr w:rsidR="003831BC" w:rsidRPr="00A07481" w14:paraId="777050F3"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F492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6B7C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E01021828</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65B1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Harlow 005E</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1417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Church Langley</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A6B3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Harlow</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30A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99E0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4.29</w:t>
            </w:r>
          </w:p>
        </w:tc>
      </w:tr>
      <w:tr w:rsidR="003831BC" w:rsidRPr="00A07481" w14:paraId="2034AF25"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E756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16</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A322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E01021815</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DE2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007D</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266A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Waltham Abbey Paternoster</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8C34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82D8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7200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4.33</w:t>
            </w:r>
          </w:p>
        </w:tc>
      </w:tr>
      <w:tr w:rsidR="003831BC" w:rsidRPr="00A07481" w14:paraId="5BF04A13"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FE8E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17</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6E5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E01033723</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0D9D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015G</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1B7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Shrub End</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682D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1BD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E79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4.33</w:t>
            </w:r>
          </w:p>
        </w:tc>
      </w:tr>
      <w:tr w:rsidR="003831BC" w:rsidRPr="00A07481" w14:paraId="3859F127"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6A52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18</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A926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E01021874</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E321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 007B</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52FB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Althorne</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6DA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E6D6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850A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4.33</w:t>
            </w:r>
          </w:p>
        </w:tc>
      </w:tr>
      <w:tr w:rsidR="003831BC" w:rsidRPr="00A07481" w14:paraId="575533FA"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535A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19</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7B19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E01021975</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CB2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013A</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6BD2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Bockings</w:t>
            </w:r>
            <w:proofErr w:type="spellEnd"/>
            <w:r w:rsidRPr="00A07481">
              <w:rPr>
                <w:rFonts w:ascii="Century Gothic" w:eastAsia="Times New Roman" w:hAnsi="Century Gothic" w:cs="Calibri"/>
                <w:color w:val="000000"/>
                <w:sz w:val="18"/>
                <w:szCs w:val="18"/>
                <w:lang w:eastAsia="en-GB"/>
              </w:rPr>
              <w:t xml:space="preserve"> Elm</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3CE1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666D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3B35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4.38</w:t>
            </w:r>
          </w:p>
        </w:tc>
      </w:tr>
      <w:tr w:rsidR="003831BC" w:rsidRPr="00A07481" w14:paraId="523E5B3F" w14:textId="77777777" w:rsidTr="00DA302A">
        <w:trPr>
          <w:trHeight w:val="288"/>
        </w:trPr>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7F04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20</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AF58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E01021658</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BBA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016B</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6C8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Berechurch</w:t>
            </w:r>
            <w:proofErr w:type="spellEnd"/>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E70D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6EC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5822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4.38</w:t>
            </w:r>
          </w:p>
        </w:tc>
      </w:tr>
    </w:tbl>
    <w:p w14:paraId="3D3F5455" w14:textId="77777777" w:rsidR="003831BC" w:rsidRDefault="003831BC" w:rsidP="003831BC">
      <w:pPr>
        <w:jc w:val="both"/>
        <w:rPr>
          <w:rFonts w:ascii="Century Gothic" w:hAnsi="Century Gothic"/>
          <w:b/>
          <w:bCs/>
        </w:rPr>
      </w:pPr>
    </w:p>
    <w:p w14:paraId="41930F8E"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map below shows where each LSOA in Essex places nationally in our housing decile. As there is very little deviation from the Essex mean among LSOAs, the vast majority of LSOAs across the county place in deciles 4-6. </w:t>
      </w:r>
    </w:p>
    <w:p w14:paraId="41C889C9" w14:textId="77777777" w:rsidR="003831BC" w:rsidRDefault="003831BC" w:rsidP="003831BC">
      <w:pPr>
        <w:jc w:val="both"/>
        <w:rPr>
          <w:rFonts w:ascii="Century Gothic" w:hAnsi="Century Gothic"/>
          <w:b/>
          <w:bCs/>
        </w:rPr>
      </w:pPr>
    </w:p>
    <w:p w14:paraId="455ABDA2" w14:textId="77777777" w:rsidR="003831BC" w:rsidRDefault="003831BC" w:rsidP="003831BC">
      <w:pPr>
        <w:jc w:val="both"/>
        <w:rPr>
          <w:rFonts w:ascii="Century Gothic" w:hAnsi="Century Gothic"/>
          <w:b/>
          <w:bCs/>
        </w:rPr>
      </w:pPr>
      <w:r>
        <w:rPr>
          <w:noProof/>
        </w:rPr>
        <w:drawing>
          <wp:inline distT="0" distB="0" distL="0" distR="0" wp14:anchorId="7AE64101" wp14:editId="6E58B494">
            <wp:extent cx="5731510" cy="398780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987800"/>
                    </a:xfrm>
                    <a:prstGeom prst="rect">
                      <a:avLst/>
                    </a:prstGeom>
                  </pic:spPr>
                </pic:pic>
              </a:graphicData>
            </a:graphic>
          </wp:inline>
        </w:drawing>
      </w:r>
    </w:p>
    <w:p w14:paraId="4529D2FB" w14:textId="77777777" w:rsidR="003831BC" w:rsidRDefault="003831BC" w:rsidP="003831BC">
      <w:pPr>
        <w:jc w:val="both"/>
        <w:rPr>
          <w:rFonts w:ascii="Century Gothic" w:hAnsi="Century Gothic"/>
          <w:b/>
          <w:bCs/>
        </w:rPr>
      </w:pPr>
    </w:p>
    <w:p w14:paraId="708FCCEF" w14:textId="77777777" w:rsidR="003831BC" w:rsidRDefault="003831BC" w:rsidP="003831BC">
      <w:pPr>
        <w:jc w:val="both"/>
        <w:rPr>
          <w:rFonts w:ascii="Century Gothic" w:hAnsi="Century Gothic"/>
          <w:b/>
          <w:bCs/>
        </w:rPr>
      </w:pPr>
    </w:p>
    <w:p w14:paraId="57B5E04A"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housing ranks within Essex</w:t>
      </w:r>
    </w:p>
    <w:p w14:paraId="776A4D46"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map below shows each Essex LSOA ranked from 1 to 872 depending on its housing decile score, with 1 being the lowest housing decile score, and 872 the highest. This allows us to see the spread of housing decile scores on an Essex-specific scale.</w:t>
      </w:r>
    </w:p>
    <w:p w14:paraId="442360D4"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As most LSOAs are placed in deciles 4-6, this map allows us to see the differences between areas based on rank a little clearer, although it should be remembered that the range of housing decile scores in Essex is not large.</w:t>
      </w:r>
    </w:p>
    <w:p w14:paraId="1C467C29" w14:textId="77777777" w:rsidR="003831BC" w:rsidRPr="00FD286B" w:rsidRDefault="003831BC" w:rsidP="003831BC">
      <w:pPr>
        <w:jc w:val="both"/>
        <w:rPr>
          <w:rFonts w:ascii="Century Gothic" w:hAnsi="Century Gothic"/>
          <w:b/>
          <w:bCs/>
        </w:rPr>
      </w:pPr>
      <w:r>
        <w:rPr>
          <w:noProof/>
        </w:rPr>
        <w:drawing>
          <wp:inline distT="0" distB="0" distL="0" distR="0" wp14:anchorId="5C147D49" wp14:editId="19174C8A">
            <wp:extent cx="5731510" cy="4049395"/>
            <wp:effectExtent l="0" t="0" r="254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049395"/>
                    </a:xfrm>
                    <a:prstGeom prst="rect">
                      <a:avLst/>
                    </a:prstGeom>
                  </pic:spPr>
                </pic:pic>
              </a:graphicData>
            </a:graphic>
          </wp:inline>
        </w:drawing>
      </w:r>
      <w:r>
        <w:rPr>
          <w:rFonts w:ascii="Century Gothic" w:hAnsi="Century Gothic"/>
          <w:b/>
          <w:bCs/>
        </w:rPr>
        <w:br/>
      </w:r>
    </w:p>
    <w:p w14:paraId="5715EDE3"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3" w:name="_Toc50553605"/>
      <w:r>
        <w:rPr>
          <w:rFonts w:ascii="Century Gothic" w:hAnsi="Century Gothic"/>
          <w:b/>
          <w:bCs/>
          <w:i/>
          <w:iCs/>
          <w:color w:val="D8117D"/>
          <w:sz w:val="24"/>
          <w:szCs w:val="24"/>
        </w:rPr>
        <w:t>Education and skills</w:t>
      </w:r>
      <w:bookmarkEnd w:id="23"/>
    </w:p>
    <w:p w14:paraId="7F53F1C1" w14:textId="77777777" w:rsidR="003831BC" w:rsidRDefault="003831BC" w:rsidP="003831BC">
      <w:pPr>
        <w:jc w:val="both"/>
      </w:pPr>
    </w:p>
    <w:p w14:paraId="526E8694"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From the findings of our regression analysis, data relating to education and skills was the eighth biggest driver of physical inactivity.</w:t>
      </w:r>
    </w:p>
    <w:p w14:paraId="752DB334" w14:textId="77777777" w:rsidR="003831BC" w:rsidRDefault="003831BC" w:rsidP="003831BC">
      <w:pPr>
        <w:jc w:val="both"/>
        <w:rPr>
          <w:rFonts w:ascii="Century Gothic" w:hAnsi="Century Gothic"/>
          <w:sz w:val="22"/>
          <w:szCs w:val="22"/>
        </w:rPr>
      </w:pPr>
      <w:r w:rsidRPr="00435601">
        <w:rPr>
          <w:rFonts w:ascii="Century Gothic" w:hAnsi="Century Gothic"/>
          <w:sz w:val="22"/>
          <w:szCs w:val="22"/>
        </w:rPr>
        <w:t>On average, Essex scores 5.45 for education and skills, higher than the national average of 5.34. The highest scores are found in Brentwood (6.51), Uttlesford (6.41) and Rochford (6.08). The lowest scores are found in the districts of Tendring (4.44), Basildon (5.02) and Braintree (5.16).</w:t>
      </w:r>
    </w:p>
    <w:p w14:paraId="7540D11E" w14:textId="77777777" w:rsidR="003831BC" w:rsidRPr="00435601" w:rsidRDefault="003831BC" w:rsidP="003831BC">
      <w:pPr>
        <w:jc w:val="both"/>
        <w:rPr>
          <w:rFonts w:ascii="Century Gothic" w:hAnsi="Century Gothic"/>
          <w:sz w:val="22"/>
          <w:szCs w:val="22"/>
        </w:rPr>
      </w:pPr>
    </w:p>
    <w:p w14:paraId="52A35639" w14:textId="77777777" w:rsidR="003831BC" w:rsidRDefault="003831BC" w:rsidP="003831BC">
      <w:pPr>
        <w:jc w:val="both"/>
        <w:rPr>
          <w:rFonts w:ascii="Century Gothic" w:hAnsi="Century Gothic"/>
          <w:b/>
          <w:bCs/>
        </w:rPr>
      </w:pPr>
    </w:p>
    <w:tbl>
      <w:tblPr>
        <w:tblW w:w="9173" w:type="dxa"/>
        <w:tblLook w:val="04A0" w:firstRow="1" w:lastRow="0" w:firstColumn="1" w:lastColumn="0" w:noHBand="0" w:noVBand="1"/>
      </w:tblPr>
      <w:tblGrid>
        <w:gridCol w:w="1382"/>
        <w:gridCol w:w="566"/>
        <w:gridCol w:w="566"/>
        <w:gridCol w:w="591"/>
        <w:gridCol w:w="566"/>
        <w:gridCol w:w="606"/>
        <w:gridCol w:w="566"/>
        <w:gridCol w:w="566"/>
        <w:gridCol w:w="566"/>
        <w:gridCol w:w="566"/>
        <w:gridCol w:w="566"/>
        <w:gridCol w:w="566"/>
        <w:gridCol w:w="566"/>
        <w:gridCol w:w="569"/>
        <w:gridCol w:w="569"/>
      </w:tblGrid>
      <w:tr w:rsidR="003831BC" w:rsidRPr="009848BB" w14:paraId="15A1716E" w14:textId="77777777" w:rsidTr="00DA302A">
        <w:trPr>
          <w:cantSplit/>
          <w:trHeight w:val="1321"/>
        </w:trPr>
        <w:tc>
          <w:tcPr>
            <w:tcW w:w="1382" w:type="dxa"/>
            <w:tcBorders>
              <w:top w:val="nil"/>
              <w:left w:val="nil"/>
              <w:bottom w:val="nil"/>
              <w:right w:val="nil"/>
            </w:tcBorders>
            <w:shd w:val="clear" w:color="auto" w:fill="auto"/>
            <w:noWrap/>
            <w:vAlign w:val="bottom"/>
            <w:hideMark/>
          </w:tcPr>
          <w:p w14:paraId="5F2F98F4"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48" w:type="dxa"/>
            <w:tcBorders>
              <w:top w:val="nil"/>
              <w:left w:val="nil"/>
              <w:bottom w:val="nil"/>
              <w:right w:val="nil"/>
            </w:tcBorders>
            <w:shd w:val="clear" w:color="auto" w:fill="auto"/>
            <w:noWrap/>
            <w:textDirection w:val="tbRl"/>
            <w:vAlign w:val="bottom"/>
            <w:hideMark/>
          </w:tcPr>
          <w:p w14:paraId="400BB71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48" w:type="dxa"/>
            <w:tcBorders>
              <w:top w:val="nil"/>
              <w:left w:val="nil"/>
              <w:bottom w:val="nil"/>
              <w:right w:val="nil"/>
            </w:tcBorders>
            <w:shd w:val="clear" w:color="auto" w:fill="auto"/>
            <w:noWrap/>
            <w:textDirection w:val="tbRl"/>
            <w:vAlign w:val="bottom"/>
            <w:hideMark/>
          </w:tcPr>
          <w:p w14:paraId="1C7B96CB"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91" w:type="dxa"/>
            <w:tcBorders>
              <w:top w:val="nil"/>
              <w:left w:val="nil"/>
              <w:bottom w:val="nil"/>
              <w:right w:val="nil"/>
            </w:tcBorders>
            <w:shd w:val="clear" w:color="auto" w:fill="auto"/>
            <w:noWrap/>
            <w:textDirection w:val="tbRl"/>
            <w:vAlign w:val="bottom"/>
            <w:hideMark/>
          </w:tcPr>
          <w:p w14:paraId="4C54AE6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48" w:type="dxa"/>
            <w:tcBorders>
              <w:top w:val="nil"/>
              <w:left w:val="nil"/>
              <w:bottom w:val="nil"/>
              <w:right w:val="nil"/>
            </w:tcBorders>
            <w:shd w:val="clear" w:color="auto" w:fill="auto"/>
            <w:noWrap/>
            <w:textDirection w:val="tbRl"/>
            <w:vAlign w:val="bottom"/>
            <w:hideMark/>
          </w:tcPr>
          <w:p w14:paraId="67B2A7C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06" w:type="dxa"/>
            <w:tcBorders>
              <w:top w:val="nil"/>
              <w:left w:val="nil"/>
              <w:bottom w:val="nil"/>
              <w:right w:val="nil"/>
            </w:tcBorders>
            <w:shd w:val="clear" w:color="auto" w:fill="auto"/>
            <w:noWrap/>
            <w:textDirection w:val="tbRl"/>
            <w:vAlign w:val="bottom"/>
            <w:hideMark/>
          </w:tcPr>
          <w:p w14:paraId="4BDACC9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66" w:type="dxa"/>
            <w:tcBorders>
              <w:top w:val="nil"/>
              <w:left w:val="nil"/>
              <w:bottom w:val="nil"/>
              <w:right w:val="nil"/>
            </w:tcBorders>
            <w:shd w:val="clear" w:color="auto" w:fill="auto"/>
            <w:noWrap/>
            <w:textDirection w:val="tbRl"/>
            <w:vAlign w:val="bottom"/>
            <w:hideMark/>
          </w:tcPr>
          <w:p w14:paraId="23E7942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48" w:type="dxa"/>
            <w:tcBorders>
              <w:top w:val="nil"/>
              <w:left w:val="nil"/>
              <w:bottom w:val="nil"/>
              <w:right w:val="nil"/>
            </w:tcBorders>
            <w:shd w:val="clear" w:color="auto" w:fill="auto"/>
            <w:noWrap/>
            <w:textDirection w:val="tbRl"/>
            <w:vAlign w:val="bottom"/>
            <w:hideMark/>
          </w:tcPr>
          <w:p w14:paraId="062B40B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48" w:type="dxa"/>
            <w:tcBorders>
              <w:top w:val="nil"/>
              <w:left w:val="nil"/>
              <w:bottom w:val="nil"/>
              <w:right w:val="nil"/>
            </w:tcBorders>
            <w:shd w:val="clear" w:color="auto" w:fill="auto"/>
            <w:noWrap/>
            <w:textDirection w:val="tbRl"/>
            <w:vAlign w:val="bottom"/>
            <w:hideMark/>
          </w:tcPr>
          <w:p w14:paraId="445F385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48" w:type="dxa"/>
            <w:tcBorders>
              <w:top w:val="nil"/>
              <w:left w:val="nil"/>
              <w:bottom w:val="nil"/>
              <w:right w:val="nil"/>
            </w:tcBorders>
            <w:shd w:val="clear" w:color="auto" w:fill="auto"/>
            <w:noWrap/>
            <w:textDirection w:val="tbRl"/>
            <w:vAlign w:val="bottom"/>
            <w:hideMark/>
          </w:tcPr>
          <w:p w14:paraId="1401963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48" w:type="dxa"/>
            <w:tcBorders>
              <w:top w:val="nil"/>
              <w:left w:val="nil"/>
              <w:bottom w:val="nil"/>
              <w:right w:val="nil"/>
            </w:tcBorders>
            <w:shd w:val="clear" w:color="auto" w:fill="auto"/>
            <w:noWrap/>
            <w:textDirection w:val="tbRl"/>
            <w:vAlign w:val="bottom"/>
            <w:hideMark/>
          </w:tcPr>
          <w:p w14:paraId="1BEB597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48" w:type="dxa"/>
            <w:tcBorders>
              <w:top w:val="nil"/>
              <w:left w:val="nil"/>
              <w:bottom w:val="nil"/>
              <w:right w:val="nil"/>
            </w:tcBorders>
            <w:shd w:val="clear" w:color="auto" w:fill="auto"/>
            <w:noWrap/>
            <w:textDirection w:val="tbRl"/>
            <w:vAlign w:val="bottom"/>
            <w:hideMark/>
          </w:tcPr>
          <w:p w14:paraId="2ED44CF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48" w:type="dxa"/>
            <w:tcBorders>
              <w:top w:val="nil"/>
              <w:left w:val="nil"/>
              <w:bottom w:val="nil"/>
              <w:right w:val="single" w:sz="4" w:space="0" w:color="auto"/>
            </w:tcBorders>
            <w:shd w:val="clear" w:color="auto" w:fill="auto"/>
            <w:noWrap/>
            <w:textDirection w:val="tbRl"/>
            <w:vAlign w:val="bottom"/>
            <w:hideMark/>
          </w:tcPr>
          <w:p w14:paraId="2199DA6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48"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265B80A0"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48" w:type="dxa"/>
            <w:tcBorders>
              <w:top w:val="single" w:sz="4" w:space="0" w:color="auto"/>
              <w:left w:val="single" w:sz="4" w:space="0" w:color="auto"/>
              <w:bottom w:val="single" w:sz="4" w:space="0" w:color="auto"/>
              <w:right w:val="single" w:sz="4" w:space="0" w:color="auto"/>
            </w:tcBorders>
            <w:textDirection w:val="tbRl"/>
          </w:tcPr>
          <w:p w14:paraId="1F62353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122B4AC9" w14:textId="77777777" w:rsidTr="00DA302A">
        <w:trPr>
          <w:trHeight w:val="417"/>
        </w:trPr>
        <w:tc>
          <w:tcPr>
            <w:tcW w:w="1382" w:type="dxa"/>
            <w:tcBorders>
              <w:top w:val="nil"/>
              <w:left w:val="nil"/>
              <w:bottom w:val="nil"/>
              <w:right w:val="nil"/>
            </w:tcBorders>
            <w:shd w:val="clear" w:color="auto" w:fill="auto"/>
            <w:noWrap/>
            <w:vAlign w:val="bottom"/>
            <w:hideMark/>
          </w:tcPr>
          <w:p w14:paraId="6D893DA2"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Education &amp; Skills Average</w:t>
            </w:r>
            <w:r>
              <w:rPr>
                <w:rFonts w:ascii="Century Gothic" w:hAnsi="Century Gothic" w:cs="Calibri"/>
                <w:color w:val="000000"/>
                <w:sz w:val="18"/>
                <w:szCs w:val="18"/>
              </w:rPr>
              <w:t xml:space="preserve"> decile</w:t>
            </w:r>
          </w:p>
        </w:tc>
        <w:tc>
          <w:tcPr>
            <w:tcW w:w="548" w:type="dxa"/>
            <w:tcBorders>
              <w:top w:val="nil"/>
              <w:left w:val="nil"/>
              <w:bottom w:val="nil"/>
              <w:right w:val="nil"/>
            </w:tcBorders>
            <w:shd w:val="clear" w:color="000000" w:fill="FCB97A"/>
            <w:noWrap/>
            <w:vAlign w:val="bottom"/>
            <w:hideMark/>
          </w:tcPr>
          <w:p w14:paraId="450E644A"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5.02</w:t>
            </w:r>
          </w:p>
        </w:tc>
        <w:tc>
          <w:tcPr>
            <w:tcW w:w="548" w:type="dxa"/>
            <w:tcBorders>
              <w:top w:val="nil"/>
              <w:left w:val="nil"/>
              <w:bottom w:val="nil"/>
              <w:right w:val="nil"/>
            </w:tcBorders>
            <w:shd w:val="clear" w:color="000000" w:fill="FDCC7E"/>
            <w:noWrap/>
            <w:vAlign w:val="bottom"/>
            <w:hideMark/>
          </w:tcPr>
          <w:p w14:paraId="542A4F36"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5.16</w:t>
            </w:r>
          </w:p>
        </w:tc>
        <w:tc>
          <w:tcPr>
            <w:tcW w:w="591" w:type="dxa"/>
            <w:tcBorders>
              <w:top w:val="nil"/>
              <w:left w:val="nil"/>
              <w:bottom w:val="nil"/>
              <w:right w:val="nil"/>
            </w:tcBorders>
            <w:shd w:val="clear" w:color="000000" w:fill="63BE7B"/>
            <w:noWrap/>
            <w:vAlign w:val="bottom"/>
            <w:hideMark/>
          </w:tcPr>
          <w:p w14:paraId="762DACC5"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6.51</w:t>
            </w:r>
          </w:p>
        </w:tc>
        <w:tc>
          <w:tcPr>
            <w:tcW w:w="548" w:type="dxa"/>
            <w:tcBorders>
              <w:top w:val="nil"/>
              <w:left w:val="nil"/>
              <w:bottom w:val="nil"/>
              <w:right w:val="nil"/>
            </w:tcBorders>
            <w:shd w:val="clear" w:color="000000" w:fill="FAEA84"/>
            <w:noWrap/>
            <w:vAlign w:val="bottom"/>
            <w:hideMark/>
          </w:tcPr>
          <w:p w14:paraId="5149FFD2"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5.42</w:t>
            </w:r>
          </w:p>
        </w:tc>
        <w:tc>
          <w:tcPr>
            <w:tcW w:w="606" w:type="dxa"/>
            <w:tcBorders>
              <w:top w:val="nil"/>
              <w:left w:val="nil"/>
              <w:bottom w:val="nil"/>
              <w:right w:val="nil"/>
            </w:tcBorders>
            <w:shd w:val="clear" w:color="000000" w:fill="BFD981"/>
            <w:noWrap/>
            <w:vAlign w:val="bottom"/>
            <w:hideMark/>
          </w:tcPr>
          <w:p w14:paraId="1EE7F7AE"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5.85</w:t>
            </w:r>
          </w:p>
        </w:tc>
        <w:tc>
          <w:tcPr>
            <w:tcW w:w="566" w:type="dxa"/>
            <w:tcBorders>
              <w:top w:val="nil"/>
              <w:left w:val="nil"/>
              <w:bottom w:val="nil"/>
              <w:right w:val="nil"/>
            </w:tcBorders>
            <w:shd w:val="clear" w:color="000000" w:fill="FEE583"/>
            <w:noWrap/>
            <w:vAlign w:val="bottom"/>
            <w:hideMark/>
          </w:tcPr>
          <w:p w14:paraId="44158043"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5.35</w:t>
            </w:r>
          </w:p>
        </w:tc>
        <w:tc>
          <w:tcPr>
            <w:tcW w:w="548" w:type="dxa"/>
            <w:tcBorders>
              <w:top w:val="nil"/>
              <w:left w:val="nil"/>
              <w:bottom w:val="nil"/>
              <w:right w:val="nil"/>
            </w:tcBorders>
            <w:shd w:val="clear" w:color="000000" w:fill="C8DC81"/>
            <w:noWrap/>
            <w:vAlign w:val="bottom"/>
            <w:hideMark/>
          </w:tcPr>
          <w:p w14:paraId="07E67112"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5.79</w:t>
            </w:r>
          </w:p>
        </w:tc>
        <w:tc>
          <w:tcPr>
            <w:tcW w:w="548" w:type="dxa"/>
            <w:tcBorders>
              <w:top w:val="nil"/>
              <w:left w:val="nil"/>
              <w:bottom w:val="nil"/>
              <w:right w:val="nil"/>
            </w:tcBorders>
            <w:shd w:val="clear" w:color="000000" w:fill="FDD780"/>
            <w:noWrap/>
            <w:vAlign w:val="bottom"/>
            <w:hideMark/>
          </w:tcPr>
          <w:p w14:paraId="2E8C7424"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5.24</w:t>
            </w:r>
          </w:p>
        </w:tc>
        <w:tc>
          <w:tcPr>
            <w:tcW w:w="548" w:type="dxa"/>
            <w:tcBorders>
              <w:top w:val="nil"/>
              <w:left w:val="nil"/>
              <w:bottom w:val="nil"/>
              <w:right w:val="nil"/>
            </w:tcBorders>
            <w:shd w:val="clear" w:color="000000" w:fill="FDD07E"/>
            <w:noWrap/>
            <w:vAlign w:val="bottom"/>
            <w:hideMark/>
          </w:tcPr>
          <w:p w14:paraId="5D50502F"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5.19</w:t>
            </w:r>
          </w:p>
        </w:tc>
        <w:tc>
          <w:tcPr>
            <w:tcW w:w="548" w:type="dxa"/>
            <w:tcBorders>
              <w:top w:val="nil"/>
              <w:left w:val="nil"/>
              <w:bottom w:val="nil"/>
              <w:right w:val="nil"/>
            </w:tcBorders>
            <w:shd w:val="clear" w:color="000000" w:fill="A0D07F"/>
            <w:noWrap/>
            <w:vAlign w:val="bottom"/>
            <w:hideMark/>
          </w:tcPr>
          <w:p w14:paraId="6D21035F"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6.08</w:t>
            </w:r>
          </w:p>
        </w:tc>
        <w:tc>
          <w:tcPr>
            <w:tcW w:w="548" w:type="dxa"/>
            <w:tcBorders>
              <w:top w:val="nil"/>
              <w:left w:val="nil"/>
              <w:bottom w:val="nil"/>
              <w:right w:val="nil"/>
            </w:tcBorders>
            <w:shd w:val="clear" w:color="000000" w:fill="F8696B"/>
            <w:noWrap/>
            <w:vAlign w:val="bottom"/>
            <w:hideMark/>
          </w:tcPr>
          <w:p w14:paraId="268B4DB9"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4.44</w:t>
            </w:r>
          </w:p>
        </w:tc>
        <w:tc>
          <w:tcPr>
            <w:tcW w:w="548" w:type="dxa"/>
            <w:tcBorders>
              <w:top w:val="nil"/>
              <w:left w:val="nil"/>
              <w:bottom w:val="nil"/>
              <w:right w:val="nil"/>
            </w:tcBorders>
            <w:shd w:val="clear" w:color="000000" w:fill="72C37C"/>
            <w:noWrap/>
            <w:vAlign w:val="bottom"/>
            <w:hideMark/>
          </w:tcPr>
          <w:p w14:paraId="49316F93" w14:textId="77777777" w:rsidR="003831BC" w:rsidRPr="005A439B" w:rsidRDefault="003831BC" w:rsidP="00DA302A">
            <w:pPr>
              <w:spacing w:after="0" w:line="240" w:lineRule="auto"/>
              <w:jc w:val="both"/>
              <w:rPr>
                <w:rFonts w:ascii="Century Gothic" w:eastAsia="Times New Roman" w:hAnsi="Century Gothic" w:cs="Calibri"/>
                <w:color w:val="000000"/>
                <w:sz w:val="18"/>
                <w:szCs w:val="18"/>
                <w:lang w:eastAsia="en-GB"/>
              </w:rPr>
            </w:pPr>
            <w:r w:rsidRPr="005A439B">
              <w:rPr>
                <w:rFonts w:ascii="Century Gothic" w:hAnsi="Century Gothic" w:cs="Calibri"/>
                <w:color w:val="000000"/>
                <w:sz w:val="18"/>
                <w:szCs w:val="18"/>
              </w:rPr>
              <w:t>6.41</w:t>
            </w:r>
          </w:p>
        </w:tc>
        <w:tc>
          <w:tcPr>
            <w:tcW w:w="548" w:type="dxa"/>
            <w:tcBorders>
              <w:top w:val="nil"/>
              <w:left w:val="nil"/>
              <w:bottom w:val="nil"/>
              <w:right w:val="nil"/>
            </w:tcBorders>
            <w:shd w:val="clear" w:color="auto" w:fill="auto"/>
            <w:noWrap/>
            <w:vAlign w:val="bottom"/>
            <w:hideMark/>
          </w:tcPr>
          <w:p w14:paraId="08922B2E" w14:textId="77777777" w:rsidR="003831BC" w:rsidRPr="005A439B"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5A439B">
              <w:rPr>
                <w:rFonts w:ascii="Century Gothic" w:hAnsi="Century Gothic" w:cs="Calibri"/>
                <w:b/>
                <w:bCs/>
                <w:color w:val="000000"/>
                <w:sz w:val="18"/>
                <w:szCs w:val="18"/>
              </w:rPr>
              <w:t>5.45</w:t>
            </w:r>
          </w:p>
        </w:tc>
        <w:tc>
          <w:tcPr>
            <w:tcW w:w="548" w:type="dxa"/>
            <w:tcBorders>
              <w:top w:val="nil"/>
              <w:left w:val="nil"/>
              <w:bottom w:val="nil"/>
              <w:right w:val="nil"/>
            </w:tcBorders>
            <w:vAlign w:val="bottom"/>
          </w:tcPr>
          <w:p w14:paraId="6A8F2FD7" w14:textId="77777777" w:rsidR="003831BC" w:rsidRPr="005A439B"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5.34</w:t>
            </w:r>
          </w:p>
        </w:tc>
      </w:tr>
    </w:tbl>
    <w:p w14:paraId="21E0C847" w14:textId="77777777" w:rsidR="003831BC" w:rsidRDefault="003831BC" w:rsidP="003831BC">
      <w:pPr>
        <w:jc w:val="both"/>
        <w:rPr>
          <w:rFonts w:ascii="Century Gothic" w:hAnsi="Century Gothic"/>
          <w:b/>
          <w:bCs/>
        </w:rPr>
      </w:pPr>
    </w:p>
    <w:p w14:paraId="47701BAB"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Essex LSOAs score nationally for education and skills</w:t>
      </w:r>
    </w:p>
    <w:p w14:paraId="32E23ABA"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table below shows 20 LSOAs in Essex which score the lowest in the education and skills decile. The LSOA with the lowest score for education and skills is in the area of Jaywick, in the Golf Green ward of Tendring. The other two lowest scoring areas are in Tendring, in the ward of Rush Green.</w:t>
      </w:r>
    </w:p>
    <w:p w14:paraId="2BF3AF9D"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While three LSOAs in Tendring score the lowest (and with Tendring also having another three LSOAs in the lowest scoring areas), Basildon has eight LSOAs in total in the lowest 20 scoring LSOAs. These areas of Basildon are based in the wards of </w:t>
      </w:r>
      <w:proofErr w:type="spellStart"/>
      <w:r w:rsidRPr="00435601">
        <w:rPr>
          <w:rFonts w:ascii="Century Gothic" w:hAnsi="Century Gothic"/>
          <w:sz w:val="22"/>
          <w:szCs w:val="22"/>
        </w:rPr>
        <w:t>Fryerns</w:t>
      </w:r>
      <w:proofErr w:type="spellEnd"/>
      <w:r w:rsidRPr="00435601">
        <w:rPr>
          <w:rFonts w:ascii="Century Gothic" w:hAnsi="Century Gothic"/>
          <w:sz w:val="22"/>
          <w:szCs w:val="22"/>
        </w:rPr>
        <w:t xml:space="preserve">, </w:t>
      </w:r>
      <w:proofErr w:type="spellStart"/>
      <w:r w:rsidRPr="00435601">
        <w:rPr>
          <w:rFonts w:ascii="Century Gothic" w:hAnsi="Century Gothic"/>
          <w:sz w:val="22"/>
          <w:szCs w:val="22"/>
        </w:rPr>
        <w:t>Pitsea</w:t>
      </w:r>
      <w:proofErr w:type="spellEnd"/>
      <w:r w:rsidRPr="00435601">
        <w:rPr>
          <w:rFonts w:ascii="Century Gothic" w:hAnsi="Century Gothic"/>
          <w:sz w:val="22"/>
          <w:szCs w:val="22"/>
        </w:rPr>
        <w:t xml:space="preserve"> North West and Lee Chapel North.</w:t>
      </w:r>
    </w:p>
    <w:p w14:paraId="3EA4DCCC" w14:textId="77777777" w:rsidR="003831BC" w:rsidRPr="00435601" w:rsidRDefault="003831BC" w:rsidP="003831BC">
      <w:pPr>
        <w:jc w:val="both"/>
        <w:rPr>
          <w:rFonts w:ascii="Century Gothic" w:hAnsi="Century Gothic"/>
          <w:b/>
          <w:bCs/>
          <w:sz w:val="22"/>
          <w:szCs w:val="22"/>
        </w:rPr>
      </w:pPr>
      <w:proofErr w:type="gramStart"/>
      <w:r w:rsidRPr="00435601">
        <w:rPr>
          <w:rFonts w:ascii="Century Gothic" w:hAnsi="Century Gothic"/>
          <w:sz w:val="22"/>
          <w:szCs w:val="22"/>
        </w:rPr>
        <w:t>All of</w:t>
      </w:r>
      <w:proofErr w:type="gramEnd"/>
      <w:r w:rsidRPr="00435601">
        <w:rPr>
          <w:rFonts w:ascii="Century Gothic" w:hAnsi="Century Gothic"/>
          <w:sz w:val="22"/>
          <w:szCs w:val="22"/>
        </w:rPr>
        <w:t xml:space="preserve"> these LSOAs are placed in deciles 1-4 of the 2019 Indices of Deprivation, with the exception of one LSOA in the </w:t>
      </w:r>
      <w:proofErr w:type="spellStart"/>
      <w:r w:rsidRPr="00435601">
        <w:rPr>
          <w:rFonts w:ascii="Century Gothic" w:hAnsi="Century Gothic"/>
          <w:sz w:val="22"/>
          <w:szCs w:val="22"/>
        </w:rPr>
        <w:t>Greenstead</w:t>
      </w:r>
      <w:proofErr w:type="spellEnd"/>
      <w:r w:rsidRPr="00435601">
        <w:rPr>
          <w:rFonts w:ascii="Century Gothic" w:hAnsi="Century Gothic"/>
          <w:sz w:val="22"/>
          <w:szCs w:val="22"/>
        </w:rPr>
        <w:t xml:space="preserve"> ward of Colchester, which was placed in decile 6 for deprivation.</w:t>
      </w:r>
    </w:p>
    <w:tbl>
      <w:tblPr>
        <w:tblW w:w="9026" w:type="dxa"/>
        <w:tblLook w:val="04A0" w:firstRow="1" w:lastRow="0" w:firstColumn="1" w:lastColumn="0" w:noHBand="0" w:noVBand="1"/>
      </w:tblPr>
      <w:tblGrid>
        <w:gridCol w:w="804"/>
        <w:gridCol w:w="1172"/>
        <w:gridCol w:w="1728"/>
        <w:gridCol w:w="1960"/>
        <w:gridCol w:w="1286"/>
        <w:gridCol w:w="969"/>
        <w:gridCol w:w="1107"/>
      </w:tblGrid>
      <w:tr w:rsidR="003831BC" w:rsidRPr="00A07481" w14:paraId="1DF4FAD9" w14:textId="77777777" w:rsidTr="00DA302A">
        <w:trPr>
          <w:trHeight w:val="288"/>
        </w:trPr>
        <w:tc>
          <w:tcPr>
            <w:tcW w:w="794" w:type="dxa"/>
            <w:tcBorders>
              <w:top w:val="nil"/>
              <w:left w:val="nil"/>
              <w:bottom w:val="single" w:sz="4" w:space="0" w:color="auto"/>
              <w:right w:val="nil"/>
            </w:tcBorders>
            <w:shd w:val="clear" w:color="auto" w:fill="auto"/>
            <w:noWrap/>
            <w:vAlign w:val="bottom"/>
            <w:hideMark/>
          </w:tcPr>
          <w:p w14:paraId="55B751E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Theme Rank</w:t>
            </w:r>
          </w:p>
        </w:tc>
        <w:tc>
          <w:tcPr>
            <w:tcW w:w="1176" w:type="dxa"/>
            <w:tcBorders>
              <w:top w:val="nil"/>
              <w:left w:val="nil"/>
              <w:bottom w:val="single" w:sz="4" w:space="0" w:color="auto"/>
              <w:right w:val="nil"/>
            </w:tcBorders>
            <w:shd w:val="clear" w:color="auto" w:fill="auto"/>
            <w:noWrap/>
            <w:vAlign w:val="bottom"/>
            <w:hideMark/>
          </w:tcPr>
          <w:p w14:paraId="74CD016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Code</w:t>
            </w:r>
          </w:p>
        </w:tc>
        <w:tc>
          <w:tcPr>
            <w:tcW w:w="1734" w:type="dxa"/>
            <w:tcBorders>
              <w:top w:val="nil"/>
              <w:left w:val="nil"/>
              <w:bottom w:val="single" w:sz="4" w:space="0" w:color="auto"/>
              <w:right w:val="nil"/>
            </w:tcBorders>
            <w:shd w:val="clear" w:color="auto" w:fill="auto"/>
            <w:noWrap/>
            <w:vAlign w:val="bottom"/>
            <w:hideMark/>
          </w:tcPr>
          <w:p w14:paraId="77BC808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Name</w:t>
            </w:r>
          </w:p>
        </w:tc>
        <w:tc>
          <w:tcPr>
            <w:tcW w:w="1966" w:type="dxa"/>
            <w:tcBorders>
              <w:top w:val="nil"/>
              <w:left w:val="nil"/>
              <w:bottom w:val="single" w:sz="4" w:space="0" w:color="auto"/>
              <w:right w:val="nil"/>
            </w:tcBorders>
            <w:shd w:val="clear" w:color="auto" w:fill="auto"/>
            <w:noWrap/>
            <w:vAlign w:val="bottom"/>
            <w:hideMark/>
          </w:tcPr>
          <w:p w14:paraId="159B6AE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Ward</w:t>
            </w:r>
          </w:p>
        </w:tc>
        <w:tc>
          <w:tcPr>
            <w:tcW w:w="1290" w:type="dxa"/>
            <w:tcBorders>
              <w:top w:val="nil"/>
              <w:left w:val="nil"/>
              <w:bottom w:val="single" w:sz="4" w:space="0" w:color="auto"/>
              <w:right w:val="nil"/>
            </w:tcBorders>
            <w:shd w:val="clear" w:color="auto" w:fill="auto"/>
            <w:noWrap/>
            <w:vAlign w:val="bottom"/>
            <w:hideMark/>
          </w:tcPr>
          <w:p w14:paraId="0661BC4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LA Name</w:t>
            </w:r>
          </w:p>
        </w:tc>
        <w:tc>
          <w:tcPr>
            <w:tcW w:w="972" w:type="dxa"/>
            <w:tcBorders>
              <w:top w:val="nil"/>
              <w:left w:val="nil"/>
              <w:bottom w:val="single" w:sz="4" w:space="0" w:color="auto"/>
              <w:right w:val="nil"/>
            </w:tcBorders>
            <w:shd w:val="clear" w:color="auto" w:fill="auto"/>
            <w:noWrap/>
            <w:vAlign w:val="bottom"/>
            <w:hideMark/>
          </w:tcPr>
          <w:p w14:paraId="6E80896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IMD 2019 decile</w:t>
            </w:r>
          </w:p>
        </w:tc>
        <w:tc>
          <w:tcPr>
            <w:tcW w:w="1094" w:type="dxa"/>
            <w:tcBorders>
              <w:top w:val="nil"/>
              <w:left w:val="nil"/>
              <w:bottom w:val="single" w:sz="4" w:space="0" w:color="auto"/>
              <w:right w:val="nil"/>
            </w:tcBorders>
            <w:shd w:val="clear" w:color="auto" w:fill="auto"/>
            <w:noWrap/>
            <w:vAlign w:val="bottom"/>
            <w:hideMark/>
          </w:tcPr>
          <w:p w14:paraId="5424AC5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Education &amp; Skills Average</w:t>
            </w:r>
          </w:p>
        </w:tc>
      </w:tr>
      <w:tr w:rsidR="003831BC" w:rsidRPr="00A07481" w14:paraId="528593B0"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1DD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E889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E01021988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BED5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018A</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EC1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Golf Green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6158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BAB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F225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1.97</w:t>
            </w:r>
          </w:p>
        </w:tc>
      </w:tr>
      <w:tr w:rsidR="003831BC" w:rsidRPr="00A07481" w14:paraId="6244344F"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F9B3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30D8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E01022030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B183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015C</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CA87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Rush Green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860D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89A3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C01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2.03</w:t>
            </w:r>
          </w:p>
        </w:tc>
      </w:tr>
      <w:tr w:rsidR="003831BC" w:rsidRPr="00A07481" w14:paraId="7296F541"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7ACB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ABA0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E01022031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A9F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015D</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903B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Rush Green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11F6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D59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78CF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2.10</w:t>
            </w:r>
          </w:p>
        </w:tc>
      </w:tr>
      <w:tr w:rsidR="003831BC" w:rsidRPr="00A07481" w14:paraId="26E97C29"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BBA9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30E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E01021290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861F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016D</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1C3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Lee Chapel North</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61D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D4D1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3C06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2.17</w:t>
            </w:r>
          </w:p>
        </w:tc>
      </w:tr>
      <w:tr w:rsidR="003831BC" w:rsidRPr="00A07481" w14:paraId="125DA85E"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D045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D4AF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E01021990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9DC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018C</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EB00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Golf Green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433D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4BE0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A077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2.21</w:t>
            </w:r>
          </w:p>
        </w:tc>
      </w:tr>
      <w:tr w:rsidR="003831BC" w:rsidRPr="00A07481" w14:paraId="1816D027"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0D7D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54E1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E01033719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0986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008G</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4548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Greenstead</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CA5F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7375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3CDB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2.31</w:t>
            </w:r>
          </w:p>
        </w:tc>
      </w:tr>
      <w:tr w:rsidR="003831BC" w:rsidRPr="00A07481" w14:paraId="2624D01C"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C1B4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EFB4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E01022025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A00F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016B</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41CC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Pier</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20E8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56A6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ECA5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2.31</w:t>
            </w:r>
          </w:p>
        </w:tc>
      </w:tr>
      <w:tr w:rsidR="003831BC" w:rsidRPr="00A07481" w14:paraId="10D62CA1"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0829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F7C9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E01021271</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095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013A</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4AC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Fryerns</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219F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A4EB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178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2.38</w:t>
            </w:r>
          </w:p>
        </w:tc>
      </w:tr>
      <w:tr w:rsidR="003831BC" w:rsidRPr="00A07481" w14:paraId="1857FE4A"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ADD0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D31E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E01021302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029C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013B</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C6B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Pitsea</w:t>
            </w:r>
            <w:proofErr w:type="spellEnd"/>
            <w:r w:rsidRPr="00A07481">
              <w:rPr>
                <w:rFonts w:ascii="Century Gothic" w:eastAsia="Times New Roman" w:hAnsi="Century Gothic" w:cs="Calibri"/>
                <w:color w:val="000000"/>
                <w:sz w:val="18"/>
                <w:szCs w:val="18"/>
                <w:lang w:eastAsia="en-GB"/>
              </w:rPr>
              <w:t xml:space="preserve"> North West</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6DA8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B5A6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7A23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2.38</w:t>
            </w:r>
          </w:p>
        </w:tc>
      </w:tr>
      <w:tr w:rsidR="003831BC" w:rsidRPr="00A07481" w14:paraId="07DA9566"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279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2830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E01021596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88B3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 006E</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1A34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St Andrews</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0F27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3AB9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B3F5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2.41</w:t>
            </w:r>
          </w:p>
        </w:tc>
      </w:tr>
      <w:tr w:rsidR="003831BC" w:rsidRPr="00A07481" w14:paraId="435A26BA"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2FE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FC6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E01021268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67BD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015B</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AD0E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Fryerns</w:t>
            </w:r>
            <w:proofErr w:type="spellEnd"/>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E402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F33F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A506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2.41</w:t>
            </w:r>
          </w:p>
        </w:tc>
      </w:tr>
      <w:tr w:rsidR="003831BC" w:rsidRPr="00A07481" w14:paraId="14DEE021"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C7BB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32CF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E01021576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1DC8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 006A</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5C8C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Marconi</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B0C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2080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ADBC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2.45</w:t>
            </w:r>
          </w:p>
        </w:tc>
      </w:tr>
      <w:tr w:rsidR="003831BC" w:rsidRPr="00A07481" w14:paraId="4B98237F"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8FC3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13</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E7D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E01021306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D1C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013E</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9C5F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Pitsea</w:t>
            </w:r>
            <w:proofErr w:type="spellEnd"/>
            <w:r w:rsidRPr="00A07481">
              <w:rPr>
                <w:rFonts w:ascii="Century Gothic" w:eastAsia="Times New Roman" w:hAnsi="Century Gothic" w:cs="Calibri"/>
                <w:color w:val="000000"/>
                <w:sz w:val="18"/>
                <w:szCs w:val="18"/>
                <w:lang w:eastAsia="en-GB"/>
              </w:rPr>
              <w:t xml:space="preserve"> North West</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D2B7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942A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EDF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2.48</w:t>
            </w:r>
          </w:p>
        </w:tc>
      </w:tr>
      <w:tr w:rsidR="003831BC" w:rsidRPr="00A07481" w14:paraId="606F3121"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9D0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14</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B98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E01021305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3914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013D</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738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Pitsea</w:t>
            </w:r>
            <w:proofErr w:type="spellEnd"/>
            <w:r w:rsidRPr="00A07481">
              <w:rPr>
                <w:rFonts w:ascii="Century Gothic" w:eastAsia="Times New Roman" w:hAnsi="Century Gothic" w:cs="Calibri"/>
                <w:color w:val="000000"/>
                <w:sz w:val="18"/>
                <w:szCs w:val="18"/>
                <w:lang w:eastAsia="en-GB"/>
              </w:rPr>
              <w:t xml:space="preserve"> North West</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4169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3B34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1F13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2.48</w:t>
            </w:r>
          </w:p>
        </w:tc>
      </w:tr>
      <w:tr w:rsidR="003831BC" w:rsidRPr="00A07481" w14:paraId="672DA13C"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CA5B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E387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E01021592</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348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 006D</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3BAB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Patching Hall</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DF31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Chelmsford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7F1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BB6B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2.52</w:t>
            </w:r>
          </w:p>
        </w:tc>
      </w:tr>
      <w:tr w:rsidR="003831BC" w:rsidRPr="00A07481" w14:paraId="4BC3D5B4"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F665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245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E01021286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F60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016A</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2AA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Lee Chapel North</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C87D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4B1D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E09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2.55</w:t>
            </w:r>
          </w:p>
        </w:tc>
      </w:tr>
      <w:tr w:rsidR="003831BC" w:rsidRPr="00A07481" w14:paraId="1AFBB3E9"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A3F2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17</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3A3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E01021288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823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016B</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5165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Lee Chapel North</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783B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CC0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1886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2.55</w:t>
            </w:r>
          </w:p>
        </w:tc>
      </w:tr>
      <w:tr w:rsidR="003831BC" w:rsidRPr="00A07481" w14:paraId="0DE37CE9"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1C43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18</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1524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E01021685</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BDD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011C</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B15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Old Heath and The Hythe</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8B82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0CE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3D87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2.55</w:t>
            </w:r>
          </w:p>
        </w:tc>
      </w:tr>
      <w:tr w:rsidR="003831BC" w:rsidRPr="00A07481" w14:paraId="661634ED"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B4E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19</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8264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E01021953</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2929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Rochford 004C</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FA33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Roche North and Rural</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583C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Rochford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DE48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4EA8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2.66</w:t>
            </w:r>
          </w:p>
        </w:tc>
      </w:tr>
      <w:tr w:rsidR="003831BC" w:rsidRPr="00A07481" w14:paraId="1920E807" w14:textId="77777777" w:rsidTr="00DA302A">
        <w:trPr>
          <w:trHeight w:val="288"/>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959E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20</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B47F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E01022006</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3AB9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 002C</w:t>
            </w:r>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B6F5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Harwich West Central</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A42A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Tendring</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AE9E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7E2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2.66</w:t>
            </w:r>
          </w:p>
        </w:tc>
      </w:tr>
    </w:tbl>
    <w:p w14:paraId="1E72150F" w14:textId="77777777" w:rsidR="003831BC" w:rsidRDefault="003831BC" w:rsidP="003831BC">
      <w:pPr>
        <w:jc w:val="both"/>
        <w:rPr>
          <w:rFonts w:ascii="Century Gothic" w:hAnsi="Century Gothic"/>
          <w:b/>
          <w:bCs/>
        </w:rPr>
      </w:pPr>
    </w:p>
    <w:p w14:paraId="199EA2FD" w14:textId="77777777" w:rsidR="003831BC" w:rsidRDefault="003831BC" w:rsidP="003831BC">
      <w:pPr>
        <w:jc w:val="both"/>
        <w:rPr>
          <w:rFonts w:ascii="Century Gothic" w:hAnsi="Century Gothic"/>
          <w:b/>
          <w:bCs/>
        </w:rPr>
      </w:pPr>
      <w:r w:rsidRPr="00435601">
        <w:rPr>
          <w:rFonts w:ascii="Century Gothic" w:hAnsi="Century Gothic"/>
          <w:sz w:val="22"/>
          <w:szCs w:val="22"/>
        </w:rPr>
        <w:t>The map below shows where each LSOA in Essex places nationally in our education and skills decile. The lowest scoring areas are found on the Tendring coast, central Basildon, Harlow and Castle Point. There are also pockets of low scoring areas in Braintree, Chelmsford, Colchester, Epping Forest, Rochford and Maldon.</w:t>
      </w:r>
    </w:p>
    <w:p w14:paraId="75DF82C6" w14:textId="77777777" w:rsidR="003831BC" w:rsidRDefault="003831BC" w:rsidP="003831BC">
      <w:pPr>
        <w:jc w:val="center"/>
        <w:rPr>
          <w:rFonts w:ascii="Century Gothic" w:hAnsi="Century Gothic"/>
          <w:b/>
          <w:bCs/>
        </w:rPr>
      </w:pPr>
      <w:r>
        <w:rPr>
          <w:noProof/>
        </w:rPr>
        <w:drawing>
          <wp:inline distT="0" distB="0" distL="0" distR="0" wp14:anchorId="2DDFF6A4" wp14:editId="0405C760">
            <wp:extent cx="4907280" cy="3452386"/>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8602" cy="3467386"/>
                    </a:xfrm>
                    <a:prstGeom prst="rect">
                      <a:avLst/>
                    </a:prstGeom>
                  </pic:spPr>
                </pic:pic>
              </a:graphicData>
            </a:graphic>
          </wp:inline>
        </w:drawing>
      </w:r>
    </w:p>
    <w:p w14:paraId="1AA8CEFB"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education and skills rank within Essex</w:t>
      </w:r>
    </w:p>
    <w:p w14:paraId="59194022"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map below shows each Essex LSOA ranked from 1 to 872 depending on its education and skills decile score, with 1 being the lowest education and skills decile score, and 872 the highest. This allows us to see the spread of education and skills on an Essex-specific scale.</w:t>
      </w:r>
    </w:p>
    <w:p w14:paraId="38BE4719" w14:textId="77777777" w:rsidR="003831BC" w:rsidRPr="00FD286B" w:rsidRDefault="003831BC" w:rsidP="003831BC">
      <w:pPr>
        <w:jc w:val="center"/>
        <w:rPr>
          <w:rFonts w:ascii="Century Gothic" w:hAnsi="Century Gothic"/>
          <w:b/>
          <w:bCs/>
        </w:rPr>
      </w:pPr>
      <w:r>
        <w:rPr>
          <w:noProof/>
        </w:rPr>
        <w:drawing>
          <wp:inline distT="0" distB="0" distL="0" distR="0" wp14:anchorId="6CBE6086" wp14:editId="5E89ECCA">
            <wp:extent cx="4815840" cy="337898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34831" cy="3392310"/>
                    </a:xfrm>
                    <a:prstGeom prst="rect">
                      <a:avLst/>
                    </a:prstGeom>
                  </pic:spPr>
                </pic:pic>
              </a:graphicData>
            </a:graphic>
          </wp:inline>
        </w:drawing>
      </w:r>
    </w:p>
    <w:p w14:paraId="76BA4F63"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4" w:name="_Toc50553606"/>
      <w:r>
        <w:rPr>
          <w:rFonts w:ascii="Century Gothic" w:hAnsi="Century Gothic"/>
          <w:b/>
          <w:bCs/>
          <w:i/>
          <w:iCs/>
          <w:color w:val="D8117D"/>
          <w:sz w:val="24"/>
          <w:szCs w:val="24"/>
        </w:rPr>
        <w:t>Communities and Environment</w:t>
      </w:r>
      <w:bookmarkEnd w:id="24"/>
    </w:p>
    <w:p w14:paraId="648489D7" w14:textId="77777777" w:rsidR="003831BC" w:rsidRDefault="003831BC" w:rsidP="003831BC">
      <w:pPr>
        <w:jc w:val="both"/>
      </w:pPr>
    </w:p>
    <w:p w14:paraId="4BA8E721"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From the findings of our regression analysis, data relating to communities and environment was the ninth biggest driver of physical inactivity.</w:t>
      </w:r>
    </w:p>
    <w:p w14:paraId="29B7B7A7"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Essex scores </w:t>
      </w:r>
      <w:proofErr w:type="gramStart"/>
      <w:r w:rsidRPr="00435601">
        <w:rPr>
          <w:rFonts w:ascii="Century Gothic" w:hAnsi="Century Gothic"/>
          <w:sz w:val="22"/>
          <w:szCs w:val="22"/>
        </w:rPr>
        <w:t>fairly low</w:t>
      </w:r>
      <w:proofErr w:type="gramEnd"/>
      <w:r w:rsidRPr="00435601">
        <w:rPr>
          <w:rFonts w:ascii="Century Gothic" w:hAnsi="Century Gothic"/>
          <w:sz w:val="22"/>
          <w:szCs w:val="22"/>
        </w:rPr>
        <w:t xml:space="preserve"> for communities and environment as a whole. </w:t>
      </w:r>
      <w:proofErr w:type="gramStart"/>
      <w:r w:rsidRPr="00435601">
        <w:rPr>
          <w:rFonts w:ascii="Century Gothic" w:hAnsi="Century Gothic"/>
          <w:sz w:val="22"/>
          <w:szCs w:val="22"/>
        </w:rPr>
        <w:t>Similar to</w:t>
      </w:r>
      <w:proofErr w:type="gramEnd"/>
      <w:r w:rsidRPr="00435601">
        <w:rPr>
          <w:rFonts w:ascii="Century Gothic" w:hAnsi="Century Gothic"/>
          <w:sz w:val="22"/>
          <w:szCs w:val="22"/>
        </w:rPr>
        <w:t xml:space="preserve"> the access and transport data theme, this may be because Essex is a largely rural county with facilities spread out over a large area.</w:t>
      </w:r>
    </w:p>
    <w:p w14:paraId="080D5345"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On average, Essex scores 4.84 for communities and environment, lower than the national average of 5.41, suggesting that Essex performs worse in most districts for measures relating to communities and environment than the rest of the country. The highest scores are found in Colchester (5.12), Chelmsford (5.00) and Harlow and Tendring (both scoring 4.97). The lowest scores are found in the districts of Braintree (4.50), Uttlesford (4.61) and Maldon (4.63).</w:t>
      </w:r>
    </w:p>
    <w:p w14:paraId="02402A21" w14:textId="77777777" w:rsidR="003831BC" w:rsidRDefault="003831BC" w:rsidP="003831BC">
      <w:pPr>
        <w:jc w:val="both"/>
        <w:rPr>
          <w:rFonts w:ascii="Century Gothic" w:hAnsi="Century Gothic"/>
          <w:b/>
          <w:bCs/>
        </w:rPr>
      </w:pPr>
    </w:p>
    <w:tbl>
      <w:tblPr>
        <w:tblW w:w="9321" w:type="dxa"/>
        <w:tblLook w:val="04A0" w:firstRow="1" w:lastRow="0" w:firstColumn="1" w:lastColumn="0" w:noHBand="0" w:noVBand="1"/>
      </w:tblPr>
      <w:tblGrid>
        <w:gridCol w:w="1404"/>
        <w:gridCol w:w="566"/>
        <w:gridCol w:w="566"/>
        <w:gridCol w:w="600"/>
        <w:gridCol w:w="566"/>
        <w:gridCol w:w="616"/>
        <w:gridCol w:w="574"/>
        <w:gridCol w:w="566"/>
        <w:gridCol w:w="566"/>
        <w:gridCol w:w="566"/>
        <w:gridCol w:w="566"/>
        <w:gridCol w:w="566"/>
        <w:gridCol w:w="566"/>
        <w:gridCol w:w="569"/>
        <w:gridCol w:w="569"/>
      </w:tblGrid>
      <w:tr w:rsidR="003831BC" w:rsidRPr="009848BB" w14:paraId="46A1DC0F" w14:textId="77777777" w:rsidTr="00DA302A">
        <w:trPr>
          <w:cantSplit/>
          <w:trHeight w:val="1433"/>
        </w:trPr>
        <w:tc>
          <w:tcPr>
            <w:tcW w:w="1404" w:type="dxa"/>
            <w:tcBorders>
              <w:top w:val="nil"/>
              <w:left w:val="nil"/>
              <w:bottom w:val="nil"/>
              <w:right w:val="nil"/>
            </w:tcBorders>
            <w:shd w:val="clear" w:color="auto" w:fill="auto"/>
            <w:noWrap/>
            <w:vAlign w:val="bottom"/>
            <w:hideMark/>
          </w:tcPr>
          <w:p w14:paraId="729CDFF8"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57" w:type="dxa"/>
            <w:tcBorders>
              <w:top w:val="nil"/>
              <w:left w:val="nil"/>
              <w:bottom w:val="nil"/>
              <w:right w:val="nil"/>
            </w:tcBorders>
            <w:shd w:val="clear" w:color="auto" w:fill="auto"/>
            <w:noWrap/>
            <w:textDirection w:val="tbRl"/>
            <w:vAlign w:val="bottom"/>
            <w:hideMark/>
          </w:tcPr>
          <w:p w14:paraId="07491ED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57" w:type="dxa"/>
            <w:tcBorders>
              <w:top w:val="nil"/>
              <w:left w:val="nil"/>
              <w:bottom w:val="nil"/>
              <w:right w:val="nil"/>
            </w:tcBorders>
            <w:shd w:val="clear" w:color="auto" w:fill="auto"/>
            <w:noWrap/>
            <w:textDirection w:val="tbRl"/>
            <w:vAlign w:val="bottom"/>
            <w:hideMark/>
          </w:tcPr>
          <w:p w14:paraId="1B30DE5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600" w:type="dxa"/>
            <w:tcBorders>
              <w:top w:val="nil"/>
              <w:left w:val="nil"/>
              <w:bottom w:val="nil"/>
              <w:right w:val="nil"/>
            </w:tcBorders>
            <w:shd w:val="clear" w:color="auto" w:fill="auto"/>
            <w:noWrap/>
            <w:textDirection w:val="tbRl"/>
            <w:vAlign w:val="bottom"/>
            <w:hideMark/>
          </w:tcPr>
          <w:p w14:paraId="3CCDBCD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57" w:type="dxa"/>
            <w:tcBorders>
              <w:top w:val="nil"/>
              <w:left w:val="nil"/>
              <w:bottom w:val="nil"/>
              <w:right w:val="nil"/>
            </w:tcBorders>
            <w:shd w:val="clear" w:color="auto" w:fill="auto"/>
            <w:noWrap/>
            <w:textDirection w:val="tbRl"/>
            <w:vAlign w:val="bottom"/>
            <w:hideMark/>
          </w:tcPr>
          <w:p w14:paraId="3BD16D4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616" w:type="dxa"/>
            <w:tcBorders>
              <w:top w:val="nil"/>
              <w:left w:val="nil"/>
              <w:bottom w:val="nil"/>
              <w:right w:val="nil"/>
            </w:tcBorders>
            <w:shd w:val="clear" w:color="auto" w:fill="auto"/>
            <w:noWrap/>
            <w:textDirection w:val="tbRl"/>
            <w:vAlign w:val="bottom"/>
            <w:hideMark/>
          </w:tcPr>
          <w:p w14:paraId="6C59FDF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74" w:type="dxa"/>
            <w:tcBorders>
              <w:top w:val="nil"/>
              <w:left w:val="nil"/>
              <w:bottom w:val="nil"/>
              <w:right w:val="nil"/>
            </w:tcBorders>
            <w:shd w:val="clear" w:color="auto" w:fill="auto"/>
            <w:noWrap/>
            <w:textDirection w:val="tbRl"/>
            <w:vAlign w:val="bottom"/>
            <w:hideMark/>
          </w:tcPr>
          <w:p w14:paraId="5371611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57" w:type="dxa"/>
            <w:tcBorders>
              <w:top w:val="nil"/>
              <w:left w:val="nil"/>
              <w:bottom w:val="nil"/>
              <w:right w:val="nil"/>
            </w:tcBorders>
            <w:shd w:val="clear" w:color="auto" w:fill="auto"/>
            <w:noWrap/>
            <w:textDirection w:val="tbRl"/>
            <w:vAlign w:val="bottom"/>
            <w:hideMark/>
          </w:tcPr>
          <w:p w14:paraId="3FA5D61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57" w:type="dxa"/>
            <w:tcBorders>
              <w:top w:val="nil"/>
              <w:left w:val="nil"/>
              <w:bottom w:val="nil"/>
              <w:right w:val="nil"/>
            </w:tcBorders>
            <w:shd w:val="clear" w:color="auto" w:fill="auto"/>
            <w:noWrap/>
            <w:textDirection w:val="tbRl"/>
            <w:vAlign w:val="bottom"/>
            <w:hideMark/>
          </w:tcPr>
          <w:p w14:paraId="581409EC"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57" w:type="dxa"/>
            <w:tcBorders>
              <w:top w:val="nil"/>
              <w:left w:val="nil"/>
              <w:bottom w:val="nil"/>
              <w:right w:val="nil"/>
            </w:tcBorders>
            <w:shd w:val="clear" w:color="auto" w:fill="auto"/>
            <w:noWrap/>
            <w:textDirection w:val="tbRl"/>
            <w:vAlign w:val="bottom"/>
            <w:hideMark/>
          </w:tcPr>
          <w:p w14:paraId="13CD987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57" w:type="dxa"/>
            <w:tcBorders>
              <w:top w:val="nil"/>
              <w:left w:val="nil"/>
              <w:bottom w:val="nil"/>
              <w:right w:val="nil"/>
            </w:tcBorders>
            <w:shd w:val="clear" w:color="auto" w:fill="auto"/>
            <w:noWrap/>
            <w:textDirection w:val="tbRl"/>
            <w:vAlign w:val="bottom"/>
            <w:hideMark/>
          </w:tcPr>
          <w:p w14:paraId="515E34F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57" w:type="dxa"/>
            <w:tcBorders>
              <w:top w:val="nil"/>
              <w:left w:val="nil"/>
              <w:bottom w:val="nil"/>
              <w:right w:val="nil"/>
            </w:tcBorders>
            <w:shd w:val="clear" w:color="auto" w:fill="auto"/>
            <w:noWrap/>
            <w:textDirection w:val="tbRl"/>
            <w:vAlign w:val="bottom"/>
            <w:hideMark/>
          </w:tcPr>
          <w:p w14:paraId="2622C29F"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57" w:type="dxa"/>
            <w:tcBorders>
              <w:top w:val="nil"/>
              <w:left w:val="nil"/>
              <w:bottom w:val="nil"/>
              <w:right w:val="single" w:sz="4" w:space="0" w:color="auto"/>
            </w:tcBorders>
            <w:shd w:val="clear" w:color="auto" w:fill="auto"/>
            <w:noWrap/>
            <w:textDirection w:val="tbRl"/>
            <w:vAlign w:val="bottom"/>
            <w:hideMark/>
          </w:tcPr>
          <w:p w14:paraId="1E910DE7"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5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3DCF1CF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57" w:type="dxa"/>
            <w:tcBorders>
              <w:top w:val="single" w:sz="4" w:space="0" w:color="auto"/>
              <w:left w:val="single" w:sz="4" w:space="0" w:color="auto"/>
              <w:bottom w:val="single" w:sz="4" w:space="0" w:color="auto"/>
              <w:right w:val="single" w:sz="4" w:space="0" w:color="auto"/>
            </w:tcBorders>
            <w:textDirection w:val="tbRl"/>
          </w:tcPr>
          <w:p w14:paraId="4D97764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0A282A82" w14:textId="77777777" w:rsidTr="00DA302A">
        <w:trPr>
          <w:trHeight w:val="453"/>
        </w:trPr>
        <w:tc>
          <w:tcPr>
            <w:tcW w:w="1404" w:type="dxa"/>
            <w:tcBorders>
              <w:top w:val="nil"/>
              <w:left w:val="nil"/>
              <w:bottom w:val="nil"/>
              <w:right w:val="nil"/>
            </w:tcBorders>
            <w:shd w:val="clear" w:color="auto" w:fill="auto"/>
            <w:noWrap/>
            <w:vAlign w:val="bottom"/>
            <w:hideMark/>
          </w:tcPr>
          <w:p w14:paraId="4A8409DC"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Communities &amp; Environment Average</w:t>
            </w:r>
            <w:r>
              <w:rPr>
                <w:rFonts w:ascii="Century Gothic" w:hAnsi="Century Gothic" w:cs="Calibri"/>
                <w:color w:val="000000"/>
                <w:sz w:val="18"/>
                <w:szCs w:val="18"/>
              </w:rPr>
              <w:t xml:space="preserve"> decile</w:t>
            </w:r>
          </w:p>
        </w:tc>
        <w:tc>
          <w:tcPr>
            <w:tcW w:w="557" w:type="dxa"/>
            <w:tcBorders>
              <w:top w:val="nil"/>
              <w:left w:val="nil"/>
              <w:bottom w:val="nil"/>
              <w:right w:val="nil"/>
            </w:tcBorders>
            <w:shd w:val="clear" w:color="000000" w:fill="FEE883"/>
            <w:noWrap/>
            <w:vAlign w:val="bottom"/>
            <w:hideMark/>
          </w:tcPr>
          <w:p w14:paraId="467B11AA"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4.83</w:t>
            </w:r>
          </w:p>
        </w:tc>
        <w:tc>
          <w:tcPr>
            <w:tcW w:w="557" w:type="dxa"/>
            <w:tcBorders>
              <w:top w:val="nil"/>
              <w:left w:val="nil"/>
              <w:bottom w:val="nil"/>
              <w:right w:val="nil"/>
            </w:tcBorders>
            <w:shd w:val="clear" w:color="000000" w:fill="F8696B"/>
            <w:noWrap/>
            <w:vAlign w:val="bottom"/>
            <w:hideMark/>
          </w:tcPr>
          <w:p w14:paraId="7A61914D"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4.50</w:t>
            </w:r>
          </w:p>
        </w:tc>
        <w:tc>
          <w:tcPr>
            <w:tcW w:w="600" w:type="dxa"/>
            <w:tcBorders>
              <w:top w:val="nil"/>
              <w:left w:val="nil"/>
              <w:bottom w:val="nil"/>
              <w:right w:val="nil"/>
            </w:tcBorders>
            <w:shd w:val="clear" w:color="000000" w:fill="FCC37C"/>
            <w:noWrap/>
            <w:vAlign w:val="bottom"/>
            <w:hideMark/>
          </w:tcPr>
          <w:p w14:paraId="0C10426B"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4.73</w:t>
            </w:r>
          </w:p>
        </w:tc>
        <w:tc>
          <w:tcPr>
            <w:tcW w:w="557" w:type="dxa"/>
            <w:tcBorders>
              <w:top w:val="nil"/>
              <w:left w:val="nil"/>
              <w:bottom w:val="nil"/>
              <w:right w:val="nil"/>
            </w:tcBorders>
            <w:shd w:val="clear" w:color="000000" w:fill="FCEB84"/>
            <w:noWrap/>
            <w:vAlign w:val="bottom"/>
            <w:hideMark/>
          </w:tcPr>
          <w:p w14:paraId="66D0B7B2"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4.84</w:t>
            </w:r>
          </w:p>
        </w:tc>
        <w:tc>
          <w:tcPr>
            <w:tcW w:w="616" w:type="dxa"/>
            <w:tcBorders>
              <w:top w:val="nil"/>
              <w:left w:val="nil"/>
              <w:bottom w:val="nil"/>
              <w:right w:val="nil"/>
            </w:tcBorders>
            <w:shd w:val="clear" w:color="000000" w:fill="A8D27F"/>
            <w:noWrap/>
            <w:vAlign w:val="bottom"/>
            <w:hideMark/>
          </w:tcPr>
          <w:p w14:paraId="702403AC"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5.00</w:t>
            </w:r>
          </w:p>
        </w:tc>
        <w:tc>
          <w:tcPr>
            <w:tcW w:w="574" w:type="dxa"/>
            <w:tcBorders>
              <w:top w:val="nil"/>
              <w:left w:val="nil"/>
              <w:bottom w:val="nil"/>
              <w:right w:val="nil"/>
            </w:tcBorders>
            <w:shd w:val="clear" w:color="000000" w:fill="63BE7B"/>
            <w:noWrap/>
            <w:vAlign w:val="bottom"/>
            <w:hideMark/>
          </w:tcPr>
          <w:p w14:paraId="30ADDFC9"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5.12</w:t>
            </w:r>
          </w:p>
        </w:tc>
        <w:tc>
          <w:tcPr>
            <w:tcW w:w="557" w:type="dxa"/>
            <w:tcBorders>
              <w:top w:val="nil"/>
              <w:left w:val="nil"/>
              <w:bottom w:val="nil"/>
              <w:right w:val="nil"/>
            </w:tcBorders>
            <w:shd w:val="clear" w:color="000000" w:fill="FAEA84"/>
            <w:noWrap/>
            <w:vAlign w:val="bottom"/>
            <w:hideMark/>
          </w:tcPr>
          <w:p w14:paraId="196EF711"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4.85</w:t>
            </w:r>
          </w:p>
        </w:tc>
        <w:tc>
          <w:tcPr>
            <w:tcW w:w="557" w:type="dxa"/>
            <w:tcBorders>
              <w:top w:val="nil"/>
              <w:left w:val="nil"/>
              <w:bottom w:val="nil"/>
              <w:right w:val="nil"/>
            </w:tcBorders>
            <w:shd w:val="clear" w:color="000000" w:fill="B6D680"/>
            <w:noWrap/>
            <w:vAlign w:val="bottom"/>
            <w:hideMark/>
          </w:tcPr>
          <w:p w14:paraId="510900DF"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4.97</w:t>
            </w:r>
          </w:p>
        </w:tc>
        <w:tc>
          <w:tcPr>
            <w:tcW w:w="557" w:type="dxa"/>
            <w:tcBorders>
              <w:top w:val="nil"/>
              <w:left w:val="nil"/>
              <w:bottom w:val="nil"/>
              <w:right w:val="nil"/>
            </w:tcBorders>
            <w:shd w:val="clear" w:color="000000" w:fill="FA9974"/>
            <w:noWrap/>
            <w:vAlign w:val="bottom"/>
            <w:hideMark/>
          </w:tcPr>
          <w:p w14:paraId="61733F9B"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4.63</w:t>
            </w:r>
          </w:p>
        </w:tc>
        <w:tc>
          <w:tcPr>
            <w:tcW w:w="557" w:type="dxa"/>
            <w:tcBorders>
              <w:top w:val="nil"/>
              <w:left w:val="nil"/>
              <w:bottom w:val="nil"/>
              <w:right w:val="nil"/>
            </w:tcBorders>
            <w:shd w:val="clear" w:color="000000" w:fill="FBA476"/>
            <w:noWrap/>
            <w:vAlign w:val="bottom"/>
            <w:hideMark/>
          </w:tcPr>
          <w:p w14:paraId="1D5BF9EC"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4.65</w:t>
            </w:r>
          </w:p>
        </w:tc>
        <w:tc>
          <w:tcPr>
            <w:tcW w:w="557" w:type="dxa"/>
            <w:tcBorders>
              <w:top w:val="nil"/>
              <w:left w:val="nil"/>
              <w:bottom w:val="nil"/>
              <w:right w:val="nil"/>
            </w:tcBorders>
            <w:shd w:val="clear" w:color="000000" w:fill="BAD780"/>
            <w:noWrap/>
            <w:vAlign w:val="bottom"/>
            <w:hideMark/>
          </w:tcPr>
          <w:p w14:paraId="6C8F99B0"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4.97</w:t>
            </w:r>
          </w:p>
        </w:tc>
        <w:tc>
          <w:tcPr>
            <w:tcW w:w="557" w:type="dxa"/>
            <w:tcBorders>
              <w:top w:val="nil"/>
              <w:left w:val="nil"/>
              <w:bottom w:val="nil"/>
              <w:right w:val="nil"/>
            </w:tcBorders>
            <w:shd w:val="clear" w:color="000000" w:fill="FA9272"/>
            <w:noWrap/>
            <w:vAlign w:val="bottom"/>
            <w:hideMark/>
          </w:tcPr>
          <w:p w14:paraId="5C07F5AA"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4.61</w:t>
            </w:r>
          </w:p>
        </w:tc>
        <w:tc>
          <w:tcPr>
            <w:tcW w:w="557" w:type="dxa"/>
            <w:tcBorders>
              <w:top w:val="nil"/>
              <w:left w:val="nil"/>
              <w:bottom w:val="nil"/>
              <w:right w:val="nil"/>
            </w:tcBorders>
            <w:shd w:val="clear" w:color="auto" w:fill="auto"/>
            <w:noWrap/>
            <w:vAlign w:val="bottom"/>
            <w:hideMark/>
          </w:tcPr>
          <w:p w14:paraId="386856FF" w14:textId="77777777" w:rsidR="003831BC" w:rsidRPr="004A5194"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4A5194">
              <w:rPr>
                <w:rFonts w:ascii="Century Gothic" w:hAnsi="Century Gothic" w:cs="Calibri"/>
                <w:b/>
                <w:bCs/>
                <w:color w:val="000000"/>
                <w:sz w:val="18"/>
                <w:szCs w:val="18"/>
              </w:rPr>
              <w:t>4.84</w:t>
            </w:r>
          </w:p>
        </w:tc>
        <w:tc>
          <w:tcPr>
            <w:tcW w:w="557" w:type="dxa"/>
            <w:tcBorders>
              <w:top w:val="nil"/>
              <w:left w:val="nil"/>
              <w:bottom w:val="nil"/>
              <w:right w:val="nil"/>
            </w:tcBorders>
            <w:vAlign w:val="bottom"/>
          </w:tcPr>
          <w:p w14:paraId="15DE3F1E" w14:textId="77777777" w:rsidR="003831BC" w:rsidRPr="004A5194"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5.41</w:t>
            </w:r>
          </w:p>
        </w:tc>
      </w:tr>
    </w:tbl>
    <w:p w14:paraId="41F37114" w14:textId="77777777" w:rsidR="003831BC" w:rsidRDefault="003831BC" w:rsidP="003831BC">
      <w:pPr>
        <w:jc w:val="both"/>
        <w:rPr>
          <w:rFonts w:ascii="Century Gothic" w:hAnsi="Century Gothic"/>
          <w:b/>
          <w:bCs/>
        </w:rPr>
      </w:pPr>
    </w:p>
    <w:p w14:paraId="3345DA6B"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Essex LSOAs score nationally for communities and environment</w:t>
      </w:r>
    </w:p>
    <w:p w14:paraId="19D8FFA8"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table below shows 20 LSOAs in Essex which score the lowest in the communities and </w:t>
      </w:r>
      <w:proofErr w:type="spellStart"/>
      <w:r w:rsidRPr="00435601">
        <w:rPr>
          <w:rFonts w:ascii="Century Gothic" w:hAnsi="Century Gothic"/>
          <w:sz w:val="22"/>
          <w:szCs w:val="22"/>
        </w:rPr>
        <w:t>envrionment</w:t>
      </w:r>
      <w:proofErr w:type="spellEnd"/>
      <w:r w:rsidRPr="00435601">
        <w:rPr>
          <w:rFonts w:ascii="Century Gothic" w:hAnsi="Century Gothic"/>
          <w:sz w:val="22"/>
          <w:szCs w:val="22"/>
        </w:rPr>
        <w:t xml:space="preserve"> decile. Interestingly, the spread of these 20 lowest scoring areas is across multiple districts and different levels of deprivation.</w:t>
      </w:r>
    </w:p>
    <w:p w14:paraId="34D4A021"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lowest scoring areas are found in Basildon, with the lowest scoring area located in the Laindon Park ward, and the second and third lowest scoring areas both found in </w:t>
      </w:r>
      <w:proofErr w:type="spellStart"/>
      <w:r w:rsidRPr="00435601">
        <w:rPr>
          <w:rFonts w:ascii="Century Gothic" w:hAnsi="Century Gothic"/>
          <w:sz w:val="22"/>
          <w:szCs w:val="22"/>
        </w:rPr>
        <w:t>Pitsea</w:t>
      </w:r>
      <w:proofErr w:type="spellEnd"/>
      <w:r w:rsidRPr="00435601">
        <w:rPr>
          <w:rFonts w:ascii="Century Gothic" w:hAnsi="Century Gothic"/>
          <w:sz w:val="22"/>
          <w:szCs w:val="22"/>
        </w:rPr>
        <w:t xml:space="preserve"> North West. The remaining areas are found in both residential town and rural settings across </w:t>
      </w:r>
      <w:proofErr w:type="gramStart"/>
      <w:r w:rsidRPr="00435601">
        <w:rPr>
          <w:rFonts w:ascii="Century Gothic" w:hAnsi="Century Gothic"/>
          <w:sz w:val="22"/>
          <w:szCs w:val="22"/>
        </w:rPr>
        <w:t>a number of</w:t>
      </w:r>
      <w:proofErr w:type="gramEnd"/>
      <w:r w:rsidRPr="00435601">
        <w:rPr>
          <w:rFonts w:ascii="Century Gothic" w:hAnsi="Century Gothic"/>
          <w:sz w:val="22"/>
          <w:szCs w:val="22"/>
        </w:rPr>
        <w:t xml:space="preserve"> districts. </w:t>
      </w:r>
    </w:p>
    <w:tbl>
      <w:tblPr>
        <w:tblW w:w="9026" w:type="dxa"/>
        <w:tblLook w:val="04A0" w:firstRow="1" w:lastRow="0" w:firstColumn="1" w:lastColumn="0" w:noHBand="0" w:noVBand="1"/>
      </w:tblPr>
      <w:tblGrid>
        <w:gridCol w:w="795"/>
        <w:gridCol w:w="1445"/>
        <w:gridCol w:w="1469"/>
        <w:gridCol w:w="1779"/>
        <w:gridCol w:w="1449"/>
        <w:gridCol w:w="752"/>
        <w:gridCol w:w="1337"/>
      </w:tblGrid>
      <w:tr w:rsidR="003831BC" w:rsidRPr="00A07481" w14:paraId="54B9BEB1" w14:textId="77777777" w:rsidTr="00DA302A">
        <w:trPr>
          <w:trHeight w:val="288"/>
          <w:tblHeader/>
        </w:trPr>
        <w:tc>
          <w:tcPr>
            <w:tcW w:w="771" w:type="dxa"/>
            <w:tcBorders>
              <w:top w:val="nil"/>
              <w:left w:val="nil"/>
              <w:bottom w:val="single" w:sz="4" w:space="0" w:color="auto"/>
              <w:right w:val="nil"/>
            </w:tcBorders>
            <w:shd w:val="clear" w:color="auto" w:fill="auto"/>
            <w:noWrap/>
            <w:vAlign w:val="bottom"/>
            <w:hideMark/>
          </w:tcPr>
          <w:p w14:paraId="5C0FF27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Theme Rank</w:t>
            </w:r>
          </w:p>
        </w:tc>
        <w:tc>
          <w:tcPr>
            <w:tcW w:w="1467" w:type="dxa"/>
            <w:tcBorders>
              <w:top w:val="nil"/>
              <w:left w:val="nil"/>
              <w:bottom w:val="single" w:sz="4" w:space="0" w:color="auto"/>
              <w:right w:val="nil"/>
            </w:tcBorders>
            <w:shd w:val="clear" w:color="auto" w:fill="auto"/>
            <w:noWrap/>
            <w:vAlign w:val="bottom"/>
            <w:hideMark/>
          </w:tcPr>
          <w:p w14:paraId="6AD6CA2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Code</w:t>
            </w:r>
          </w:p>
        </w:tc>
        <w:tc>
          <w:tcPr>
            <w:tcW w:w="1492" w:type="dxa"/>
            <w:tcBorders>
              <w:top w:val="nil"/>
              <w:left w:val="nil"/>
              <w:bottom w:val="single" w:sz="4" w:space="0" w:color="auto"/>
              <w:right w:val="nil"/>
            </w:tcBorders>
            <w:shd w:val="clear" w:color="auto" w:fill="auto"/>
            <w:noWrap/>
            <w:vAlign w:val="bottom"/>
            <w:hideMark/>
          </w:tcPr>
          <w:p w14:paraId="4D170A9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LSOA Name</w:t>
            </w:r>
          </w:p>
        </w:tc>
        <w:tc>
          <w:tcPr>
            <w:tcW w:w="1808" w:type="dxa"/>
            <w:tcBorders>
              <w:top w:val="nil"/>
              <w:left w:val="nil"/>
              <w:bottom w:val="single" w:sz="4" w:space="0" w:color="auto"/>
              <w:right w:val="nil"/>
            </w:tcBorders>
            <w:shd w:val="clear" w:color="auto" w:fill="auto"/>
            <w:noWrap/>
            <w:vAlign w:val="bottom"/>
            <w:hideMark/>
          </w:tcPr>
          <w:p w14:paraId="07FE58F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Ward</w:t>
            </w:r>
          </w:p>
        </w:tc>
        <w:tc>
          <w:tcPr>
            <w:tcW w:w="1471" w:type="dxa"/>
            <w:tcBorders>
              <w:top w:val="nil"/>
              <w:left w:val="nil"/>
              <w:bottom w:val="single" w:sz="4" w:space="0" w:color="auto"/>
              <w:right w:val="nil"/>
            </w:tcBorders>
            <w:shd w:val="clear" w:color="auto" w:fill="auto"/>
            <w:noWrap/>
            <w:vAlign w:val="bottom"/>
            <w:hideMark/>
          </w:tcPr>
          <w:p w14:paraId="43A6C25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LA Name</w:t>
            </w:r>
          </w:p>
        </w:tc>
        <w:tc>
          <w:tcPr>
            <w:tcW w:w="729" w:type="dxa"/>
            <w:tcBorders>
              <w:top w:val="nil"/>
              <w:left w:val="nil"/>
              <w:bottom w:val="single" w:sz="4" w:space="0" w:color="auto"/>
              <w:right w:val="nil"/>
            </w:tcBorders>
            <w:shd w:val="clear" w:color="auto" w:fill="auto"/>
            <w:noWrap/>
            <w:vAlign w:val="bottom"/>
            <w:hideMark/>
          </w:tcPr>
          <w:p w14:paraId="6F7B0EB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IMD 2019 decile</w:t>
            </w:r>
          </w:p>
        </w:tc>
        <w:tc>
          <w:tcPr>
            <w:tcW w:w="1288" w:type="dxa"/>
            <w:tcBorders>
              <w:top w:val="nil"/>
              <w:left w:val="nil"/>
              <w:bottom w:val="single" w:sz="4" w:space="0" w:color="auto"/>
              <w:right w:val="nil"/>
            </w:tcBorders>
            <w:shd w:val="clear" w:color="auto" w:fill="auto"/>
            <w:noWrap/>
            <w:vAlign w:val="bottom"/>
            <w:hideMark/>
          </w:tcPr>
          <w:p w14:paraId="5EF0BE1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Communities &amp; Environment Average</w:t>
            </w:r>
          </w:p>
        </w:tc>
      </w:tr>
      <w:tr w:rsidR="003831BC" w:rsidRPr="00A07481" w14:paraId="4B2DB408"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55E9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9F1D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E01021277</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E8C4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014D</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795B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Laindon Park</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69FB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9DEF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C498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3.29</w:t>
            </w:r>
          </w:p>
        </w:tc>
      </w:tr>
      <w:tr w:rsidR="003831BC" w:rsidRPr="00A07481" w14:paraId="43C68300"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077A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A952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E01021309</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23C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011E</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E79F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Pitsea</w:t>
            </w:r>
            <w:proofErr w:type="spellEnd"/>
            <w:r w:rsidRPr="00A07481">
              <w:rPr>
                <w:rFonts w:ascii="Century Gothic" w:eastAsia="Times New Roman" w:hAnsi="Century Gothic" w:cs="Calibri"/>
                <w:color w:val="000000"/>
                <w:sz w:val="18"/>
                <w:szCs w:val="18"/>
                <w:lang w:eastAsia="en-GB"/>
              </w:rPr>
              <w:t xml:space="preserve"> North West</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A999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2A53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9491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3.29</w:t>
            </w:r>
          </w:p>
        </w:tc>
      </w:tr>
      <w:tr w:rsidR="003831BC" w:rsidRPr="00A07481" w14:paraId="01BC0D29"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C69F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945A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E01021307</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D2B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 011C</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B952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Pitsea</w:t>
            </w:r>
            <w:proofErr w:type="spellEnd"/>
            <w:r w:rsidRPr="00A07481">
              <w:rPr>
                <w:rFonts w:ascii="Century Gothic" w:eastAsia="Times New Roman" w:hAnsi="Century Gothic" w:cs="Calibri"/>
                <w:color w:val="000000"/>
                <w:sz w:val="18"/>
                <w:szCs w:val="18"/>
                <w:lang w:eastAsia="en-GB"/>
              </w:rPr>
              <w:t xml:space="preserve"> North West</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5894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Basildon</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044B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98EE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3.32</w:t>
            </w:r>
          </w:p>
        </w:tc>
      </w:tr>
      <w:tr w:rsidR="003831BC" w:rsidRPr="00A07481" w14:paraId="07182968"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19E2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451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E01033460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A5C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017F</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0556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Witham South</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0EC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62D3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10B3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3.32</w:t>
            </w:r>
          </w:p>
        </w:tc>
      </w:tr>
      <w:tr w:rsidR="003831BC" w:rsidRPr="00A07481" w14:paraId="0AFFC024"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27E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16A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E01021361</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6FF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012B</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E11A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Coggeshall</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81E3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C093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7</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A1F4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3.39</w:t>
            </w:r>
          </w:p>
        </w:tc>
      </w:tr>
      <w:tr w:rsidR="003831BC" w:rsidRPr="00A07481" w14:paraId="668994E7"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ADF8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DE53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E01021903</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FE23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 007G</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5893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Purleigh</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E79F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06C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55C7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3.39</w:t>
            </w:r>
          </w:p>
        </w:tc>
      </w:tr>
      <w:tr w:rsidR="003831BC" w:rsidRPr="00A07481" w14:paraId="4011DB58"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2410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7</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48A1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E01021506</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A68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Castle Point 008E</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BE49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Canvey Island Winter Gardens</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D0A0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Castle Point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7CAC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4</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BDCC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3.42</w:t>
            </w:r>
          </w:p>
        </w:tc>
      </w:tr>
      <w:tr w:rsidR="003831BC" w:rsidRPr="00A07481" w14:paraId="743DCAC1"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88E0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D217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E01021362</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CA25"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015A</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9D27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Silver End &amp; </w:t>
            </w:r>
            <w:proofErr w:type="spellStart"/>
            <w:r w:rsidRPr="00A07481">
              <w:rPr>
                <w:rFonts w:ascii="Century Gothic" w:eastAsia="Times New Roman" w:hAnsi="Century Gothic" w:cs="Calibri"/>
                <w:color w:val="000000"/>
                <w:sz w:val="18"/>
                <w:szCs w:val="18"/>
                <w:lang w:eastAsia="en-GB"/>
              </w:rPr>
              <w:t>Cressing</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B338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5CE1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1253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3.45</w:t>
            </w:r>
          </w:p>
        </w:tc>
      </w:tr>
      <w:tr w:rsidR="003831BC" w:rsidRPr="00A07481" w14:paraId="1ED1266D"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8402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203B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E01021769</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469E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003A</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EB41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High Ongar, </w:t>
            </w:r>
            <w:proofErr w:type="spellStart"/>
            <w:r w:rsidRPr="00A07481">
              <w:rPr>
                <w:rFonts w:ascii="Century Gothic" w:eastAsia="Times New Roman" w:hAnsi="Century Gothic" w:cs="Calibri"/>
                <w:color w:val="000000"/>
                <w:sz w:val="18"/>
                <w:szCs w:val="18"/>
                <w:lang w:eastAsia="en-GB"/>
              </w:rPr>
              <w:t>Willingale</w:t>
            </w:r>
            <w:proofErr w:type="spellEnd"/>
            <w:r w:rsidRPr="00A07481">
              <w:rPr>
                <w:rFonts w:ascii="Century Gothic" w:eastAsia="Times New Roman" w:hAnsi="Century Gothic" w:cs="Calibri"/>
                <w:color w:val="000000"/>
                <w:sz w:val="18"/>
                <w:szCs w:val="18"/>
                <w:lang w:eastAsia="en-GB"/>
              </w:rPr>
              <w:t xml:space="preserve"> and The </w:t>
            </w:r>
            <w:proofErr w:type="spellStart"/>
            <w:r w:rsidRPr="00A07481">
              <w:rPr>
                <w:rFonts w:ascii="Century Gothic" w:eastAsia="Times New Roman" w:hAnsi="Century Gothic" w:cs="Calibri"/>
                <w:color w:val="000000"/>
                <w:sz w:val="18"/>
                <w:szCs w:val="18"/>
                <w:lang w:eastAsia="en-GB"/>
              </w:rPr>
              <w:t>Rodings</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041B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584A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15C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3.48</w:t>
            </w:r>
          </w:p>
        </w:tc>
      </w:tr>
      <w:tr w:rsidR="003831BC" w:rsidRPr="00A07481" w14:paraId="465CD16F"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BEC0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10</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A15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E01033461</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432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017G</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FFC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Witham South</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198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7336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A45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3.48</w:t>
            </w:r>
          </w:p>
        </w:tc>
      </w:tr>
      <w:tr w:rsidR="003831BC" w:rsidRPr="00A07481" w14:paraId="643AAC1F"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B66C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11</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2461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E01021815</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6E48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007D</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8D2A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Waltham Abbey Paternoster</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6F7F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36C4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E172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3.52</w:t>
            </w:r>
          </w:p>
        </w:tc>
      </w:tr>
      <w:tr w:rsidR="003831BC" w:rsidRPr="00A07481" w14:paraId="00A4FA18"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1E9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12</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568D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E01021418</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2F67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 015C</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5F33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Witham North</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089D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Braintree</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465B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F770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3.52</w:t>
            </w:r>
          </w:p>
        </w:tc>
      </w:tr>
      <w:tr w:rsidR="003831BC" w:rsidRPr="00A07481" w14:paraId="0F733EE8"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B1BF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13</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C053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E01021800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0E89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003C</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F25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Passingford</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9262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9C6F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2C3E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3.52</w:t>
            </w:r>
          </w:p>
        </w:tc>
      </w:tr>
      <w:tr w:rsidR="003831BC" w:rsidRPr="00A07481" w14:paraId="007DC9D9"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0FBA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14</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350C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E01021828</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E6F4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Harlow 005E</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EFAC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Church Langley</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7D99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Harlow</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4721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ABC1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3.52</w:t>
            </w:r>
          </w:p>
        </w:tc>
      </w:tr>
      <w:tr w:rsidR="003831BC" w:rsidRPr="00A07481" w14:paraId="3245790A"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52BF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15</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5CF3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E01021810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C81C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 008D</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534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Waltham Abbey Honey Lane</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EC0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Epping Forest</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BEB4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D1759"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3.55</w:t>
            </w:r>
          </w:p>
        </w:tc>
      </w:tr>
      <w:tr w:rsidR="003831BC" w:rsidRPr="00A07481" w14:paraId="67AF3005"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147F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16</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234E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E01021678</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3826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 010E</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E0A5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 xml:space="preserve">Marks </w:t>
            </w:r>
            <w:proofErr w:type="spellStart"/>
            <w:r w:rsidRPr="00A07481">
              <w:rPr>
                <w:rFonts w:ascii="Century Gothic" w:eastAsia="Times New Roman" w:hAnsi="Century Gothic" w:cs="Calibri"/>
                <w:color w:val="000000"/>
                <w:sz w:val="18"/>
                <w:szCs w:val="18"/>
                <w:lang w:eastAsia="en-GB"/>
              </w:rPr>
              <w:t>Tey</w:t>
            </w:r>
            <w:proofErr w:type="spellEnd"/>
            <w:r w:rsidRPr="00A07481">
              <w:rPr>
                <w:rFonts w:ascii="Century Gothic" w:eastAsia="Times New Roman" w:hAnsi="Century Gothic" w:cs="Calibri"/>
                <w:color w:val="000000"/>
                <w:sz w:val="18"/>
                <w:szCs w:val="18"/>
                <w:lang w:eastAsia="en-GB"/>
              </w:rPr>
              <w:t xml:space="preserve"> and Layer</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EDD6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Colchester</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BA2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B4A0"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3.55</w:t>
            </w:r>
          </w:p>
        </w:tc>
      </w:tr>
      <w:tr w:rsidR="003831BC" w:rsidRPr="00A07481" w14:paraId="41DD3832"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21E1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17</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A006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E01021444</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15E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Brentwood 001D</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333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Brizes</w:t>
            </w:r>
            <w:proofErr w:type="spellEnd"/>
            <w:r w:rsidRPr="00A07481">
              <w:rPr>
                <w:rFonts w:ascii="Century Gothic" w:eastAsia="Times New Roman" w:hAnsi="Century Gothic" w:cs="Calibri"/>
                <w:color w:val="000000"/>
                <w:sz w:val="18"/>
                <w:szCs w:val="18"/>
                <w:lang w:eastAsia="en-GB"/>
              </w:rPr>
              <w:t xml:space="preserve"> and </w:t>
            </w:r>
            <w:proofErr w:type="spellStart"/>
            <w:r w:rsidRPr="00A07481">
              <w:rPr>
                <w:rFonts w:ascii="Century Gothic" w:eastAsia="Times New Roman" w:hAnsi="Century Gothic" w:cs="Calibri"/>
                <w:color w:val="000000"/>
                <w:sz w:val="18"/>
                <w:szCs w:val="18"/>
                <w:lang w:eastAsia="en-GB"/>
              </w:rPr>
              <w:t>Doddinghurst</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67497"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Brentwood</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39EF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8</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63D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3.58</w:t>
            </w:r>
          </w:p>
        </w:tc>
      </w:tr>
      <w:tr w:rsidR="003831BC" w:rsidRPr="00A07481" w14:paraId="795FBBDE"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1A5E3"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18</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5D97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E01021874</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5A36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 007B</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B283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Althorne</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D3B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Maldon</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D599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5</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1B37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3.58</w:t>
            </w:r>
          </w:p>
        </w:tc>
      </w:tr>
      <w:tr w:rsidR="003831BC" w:rsidRPr="00A07481" w14:paraId="2A64D75C"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71E58"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19</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408FC"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E01022090</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7E6B"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 006B</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3A4AA"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A07481">
              <w:rPr>
                <w:rFonts w:ascii="Century Gothic" w:eastAsia="Times New Roman" w:hAnsi="Century Gothic" w:cs="Calibri"/>
                <w:color w:val="000000"/>
                <w:sz w:val="18"/>
                <w:szCs w:val="18"/>
                <w:lang w:eastAsia="en-GB"/>
              </w:rPr>
              <w:t>Takeley</w:t>
            </w:r>
            <w:proofErr w:type="spellEnd"/>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0E6C6"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Uttlesford</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0BA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6</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6CC34"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3.58</w:t>
            </w:r>
          </w:p>
        </w:tc>
      </w:tr>
      <w:tr w:rsidR="003831BC" w:rsidRPr="00A07481" w14:paraId="48AF85E6" w14:textId="77777777" w:rsidTr="00DA302A">
        <w:trPr>
          <w:trHeight w:val="288"/>
        </w:trPr>
        <w:tc>
          <w:tcPr>
            <w:tcW w:w="7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6B09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20</w:t>
            </w:r>
          </w:p>
        </w:tc>
        <w:tc>
          <w:tcPr>
            <w:tcW w:w="14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2B98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E01021454</w:t>
            </w:r>
          </w:p>
        </w:tc>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51E61"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Brentwood 009C</w:t>
            </w:r>
          </w:p>
        </w:tc>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B4602"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Hutton South</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97B3E"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Brentwood</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BC0F"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9</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070AD" w14:textId="77777777" w:rsidR="003831BC" w:rsidRPr="00A07481" w:rsidRDefault="003831BC" w:rsidP="00DA302A">
            <w:pPr>
              <w:spacing w:after="0" w:line="240" w:lineRule="auto"/>
              <w:jc w:val="both"/>
              <w:rPr>
                <w:rFonts w:ascii="Century Gothic" w:eastAsia="Times New Roman" w:hAnsi="Century Gothic" w:cs="Calibri"/>
                <w:color w:val="000000"/>
                <w:sz w:val="18"/>
                <w:szCs w:val="18"/>
                <w:lang w:eastAsia="en-GB"/>
              </w:rPr>
            </w:pPr>
            <w:r w:rsidRPr="00A07481">
              <w:rPr>
                <w:rFonts w:ascii="Century Gothic" w:eastAsia="Times New Roman" w:hAnsi="Century Gothic" w:cs="Calibri"/>
                <w:color w:val="000000"/>
                <w:sz w:val="18"/>
                <w:szCs w:val="18"/>
                <w:lang w:eastAsia="en-GB"/>
              </w:rPr>
              <w:t>3.58</w:t>
            </w:r>
          </w:p>
        </w:tc>
      </w:tr>
    </w:tbl>
    <w:p w14:paraId="10B0955C" w14:textId="77777777" w:rsidR="003831BC" w:rsidRDefault="003831BC" w:rsidP="003831BC">
      <w:pPr>
        <w:jc w:val="both"/>
        <w:rPr>
          <w:rFonts w:ascii="Century Gothic" w:hAnsi="Century Gothic"/>
          <w:b/>
          <w:bCs/>
        </w:rPr>
      </w:pPr>
    </w:p>
    <w:p w14:paraId="615EA4DD"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map below shows where each LSOA in Essex places nationally in our communities and environment decile. Essex is a largely rural county, meaning a lot of our LSOAs score quite low for this measure, </w:t>
      </w:r>
      <w:proofErr w:type="gramStart"/>
      <w:r w:rsidRPr="00435601">
        <w:rPr>
          <w:rFonts w:ascii="Century Gothic" w:hAnsi="Century Gothic"/>
          <w:sz w:val="22"/>
          <w:szCs w:val="22"/>
        </w:rPr>
        <w:t>similar to</w:t>
      </w:r>
      <w:proofErr w:type="gramEnd"/>
      <w:r w:rsidRPr="00435601">
        <w:rPr>
          <w:rFonts w:ascii="Century Gothic" w:hAnsi="Century Gothic"/>
          <w:sz w:val="22"/>
          <w:szCs w:val="22"/>
        </w:rPr>
        <w:t xml:space="preserve"> the access and transport theme. Typically, these areas are among the least deprived LSOAs in Essex.</w:t>
      </w:r>
    </w:p>
    <w:p w14:paraId="06E7A634" w14:textId="77777777" w:rsidR="003831BC" w:rsidRDefault="003831BC" w:rsidP="003831BC">
      <w:pPr>
        <w:jc w:val="both"/>
        <w:rPr>
          <w:rFonts w:ascii="Century Gothic" w:hAnsi="Century Gothic"/>
          <w:b/>
          <w:bCs/>
        </w:rPr>
      </w:pPr>
    </w:p>
    <w:p w14:paraId="7FDFCC4A" w14:textId="77777777" w:rsidR="003831BC" w:rsidRDefault="003831BC" w:rsidP="003831BC">
      <w:pPr>
        <w:jc w:val="center"/>
        <w:rPr>
          <w:rFonts w:ascii="Century Gothic" w:hAnsi="Century Gothic"/>
          <w:b/>
          <w:bCs/>
        </w:rPr>
      </w:pPr>
      <w:r>
        <w:rPr>
          <w:noProof/>
        </w:rPr>
        <w:drawing>
          <wp:inline distT="0" distB="0" distL="0" distR="0" wp14:anchorId="6C4DE1D0" wp14:editId="02DCE001">
            <wp:extent cx="4724400" cy="3288656"/>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24400" cy="3288656"/>
                    </a:xfrm>
                    <a:prstGeom prst="rect">
                      <a:avLst/>
                    </a:prstGeom>
                  </pic:spPr>
                </pic:pic>
              </a:graphicData>
            </a:graphic>
          </wp:inline>
        </w:drawing>
      </w:r>
    </w:p>
    <w:p w14:paraId="47AD23F3"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 xml:space="preserve">How communities and environment </w:t>
      </w:r>
      <w:proofErr w:type="gramStart"/>
      <w:r w:rsidRPr="00435601">
        <w:rPr>
          <w:rFonts w:ascii="Century Gothic" w:hAnsi="Century Gothic"/>
          <w:b/>
          <w:bCs/>
          <w:sz w:val="22"/>
          <w:szCs w:val="22"/>
        </w:rPr>
        <w:t>ranks</w:t>
      </w:r>
      <w:proofErr w:type="gramEnd"/>
      <w:r w:rsidRPr="00435601">
        <w:rPr>
          <w:rFonts w:ascii="Century Gothic" w:hAnsi="Century Gothic"/>
          <w:b/>
          <w:bCs/>
          <w:sz w:val="22"/>
          <w:szCs w:val="22"/>
        </w:rPr>
        <w:t xml:space="preserve"> within Essex</w:t>
      </w:r>
    </w:p>
    <w:p w14:paraId="5848FEDD"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map below shows each Essex LSOA ranked from 1 to 872 depending on its communities and environment decile score, with 1 being the lowest communities and environment decile score, and 872 the highest. This allows us to see the spread of communities and environment decile scores on an Essex-specific scale.</w:t>
      </w:r>
    </w:p>
    <w:p w14:paraId="0366391C"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As most LSOAs are placed in deciles 2-6, this map allows us to see the differences between areas based on rank a little clearer.</w:t>
      </w:r>
    </w:p>
    <w:p w14:paraId="03A98BF7" w14:textId="77777777" w:rsidR="003831BC" w:rsidRDefault="003831BC" w:rsidP="003831BC">
      <w:pPr>
        <w:jc w:val="both"/>
        <w:rPr>
          <w:rFonts w:ascii="Century Gothic" w:hAnsi="Century Gothic"/>
          <w:b/>
          <w:bCs/>
        </w:rPr>
      </w:pPr>
      <w:r>
        <w:rPr>
          <w:noProof/>
        </w:rPr>
        <w:drawing>
          <wp:inline distT="0" distB="0" distL="0" distR="0" wp14:anchorId="6E8A2827" wp14:editId="45335D4D">
            <wp:extent cx="5731510" cy="398145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981450"/>
                    </a:xfrm>
                    <a:prstGeom prst="rect">
                      <a:avLst/>
                    </a:prstGeom>
                  </pic:spPr>
                </pic:pic>
              </a:graphicData>
            </a:graphic>
          </wp:inline>
        </w:drawing>
      </w:r>
    </w:p>
    <w:p w14:paraId="1A6B3D54" w14:textId="77777777" w:rsidR="003831BC" w:rsidRPr="00A07481" w:rsidRDefault="003831BC" w:rsidP="003831BC">
      <w:pPr>
        <w:jc w:val="both"/>
        <w:rPr>
          <w:rFonts w:ascii="Century Gothic" w:hAnsi="Century Gothic"/>
          <w:b/>
          <w:bCs/>
        </w:rPr>
      </w:pPr>
    </w:p>
    <w:p w14:paraId="1F1C74A4" w14:textId="77777777" w:rsidR="003831BC" w:rsidRDefault="003831BC" w:rsidP="003831BC">
      <w:pPr>
        <w:pStyle w:val="Heading2"/>
        <w:numPr>
          <w:ilvl w:val="2"/>
          <w:numId w:val="9"/>
        </w:numPr>
        <w:jc w:val="both"/>
        <w:rPr>
          <w:rFonts w:ascii="Century Gothic" w:hAnsi="Century Gothic"/>
          <w:b/>
          <w:bCs/>
          <w:i/>
          <w:iCs/>
          <w:color w:val="D8117D"/>
          <w:sz w:val="24"/>
          <w:szCs w:val="24"/>
        </w:rPr>
      </w:pPr>
      <w:bookmarkStart w:id="25" w:name="_Toc50553607"/>
      <w:r>
        <w:rPr>
          <w:rFonts w:ascii="Century Gothic" w:hAnsi="Century Gothic"/>
          <w:b/>
          <w:bCs/>
          <w:i/>
          <w:iCs/>
          <w:color w:val="D8117D"/>
          <w:sz w:val="24"/>
          <w:szCs w:val="24"/>
        </w:rPr>
        <w:t>Population</w:t>
      </w:r>
      <w:bookmarkEnd w:id="25"/>
    </w:p>
    <w:p w14:paraId="21B3891A" w14:textId="77777777" w:rsidR="003831BC" w:rsidRDefault="003831BC" w:rsidP="003831BC">
      <w:pPr>
        <w:jc w:val="both"/>
      </w:pPr>
    </w:p>
    <w:p w14:paraId="7F9F75E5"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A higher presence of population groups with higher challenges to being active was identified as the tenth biggest driver of physical inactivity according to our regression analysis.</w:t>
      </w:r>
    </w:p>
    <w:p w14:paraId="237ACF06"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On average, Essex scores 5.39 for the presence of these population groups, higher than the national average of 5.34. The highest scores are found in Rochford (6.25), Brentwood (6.01) and Uttlesford (5.87) indicating a lower presence of these groups in these areas. The lowest scores are found in the districts of Tendring (4.68), Basildon (4.77) and Harlow (4.86).</w:t>
      </w:r>
    </w:p>
    <w:p w14:paraId="3964E455" w14:textId="77777777" w:rsidR="003831BC" w:rsidRDefault="003831BC" w:rsidP="003831BC">
      <w:pPr>
        <w:jc w:val="both"/>
        <w:rPr>
          <w:rFonts w:ascii="Century Gothic" w:hAnsi="Century Gothic"/>
          <w:b/>
          <w:bCs/>
        </w:rPr>
      </w:pPr>
    </w:p>
    <w:tbl>
      <w:tblPr>
        <w:tblW w:w="9036" w:type="dxa"/>
        <w:tblLook w:val="04A0" w:firstRow="1" w:lastRow="0" w:firstColumn="1" w:lastColumn="0" w:noHBand="0" w:noVBand="1"/>
      </w:tblPr>
      <w:tblGrid>
        <w:gridCol w:w="1360"/>
        <w:gridCol w:w="566"/>
        <w:gridCol w:w="566"/>
        <w:gridCol w:w="582"/>
        <w:gridCol w:w="566"/>
        <w:gridCol w:w="597"/>
        <w:gridCol w:w="566"/>
        <w:gridCol w:w="566"/>
        <w:gridCol w:w="566"/>
        <w:gridCol w:w="566"/>
        <w:gridCol w:w="566"/>
        <w:gridCol w:w="566"/>
        <w:gridCol w:w="566"/>
        <w:gridCol w:w="569"/>
        <w:gridCol w:w="569"/>
      </w:tblGrid>
      <w:tr w:rsidR="003831BC" w:rsidRPr="009848BB" w14:paraId="665634FB" w14:textId="77777777" w:rsidTr="00DA302A">
        <w:trPr>
          <w:cantSplit/>
          <w:trHeight w:val="1482"/>
        </w:trPr>
        <w:tc>
          <w:tcPr>
            <w:tcW w:w="1360" w:type="dxa"/>
            <w:tcBorders>
              <w:top w:val="nil"/>
              <w:left w:val="nil"/>
              <w:bottom w:val="nil"/>
              <w:right w:val="nil"/>
            </w:tcBorders>
            <w:shd w:val="clear" w:color="auto" w:fill="auto"/>
            <w:noWrap/>
            <w:vAlign w:val="bottom"/>
            <w:hideMark/>
          </w:tcPr>
          <w:p w14:paraId="6E9871D5" w14:textId="77777777" w:rsidR="003831BC" w:rsidRPr="009848BB" w:rsidRDefault="003831BC" w:rsidP="00DA302A">
            <w:pPr>
              <w:spacing w:after="0" w:line="240" w:lineRule="auto"/>
              <w:jc w:val="both"/>
              <w:rPr>
                <w:rFonts w:ascii="Century Gothic" w:eastAsia="Times New Roman" w:hAnsi="Century Gothic" w:cs="Times New Roman"/>
                <w:sz w:val="18"/>
                <w:szCs w:val="18"/>
                <w:lang w:eastAsia="en-GB"/>
              </w:rPr>
            </w:pPr>
          </w:p>
        </w:tc>
        <w:tc>
          <w:tcPr>
            <w:tcW w:w="540" w:type="dxa"/>
            <w:tcBorders>
              <w:top w:val="nil"/>
              <w:left w:val="nil"/>
              <w:bottom w:val="nil"/>
              <w:right w:val="nil"/>
            </w:tcBorders>
            <w:shd w:val="clear" w:color="auto" w:fill="auto"/>
            <w:noWrap/>
            <w:textDirection w:val="tbRl"/>
            <w:vAlign w:val="bottom"/>
            <w:hideMark/>
          </w:tcPr>
          <w:p w14:paraId="6953FA3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Basildon</w:t>
            </w:r>
          </w:p>
        </w:tc>
        <w:tc>
          <w:tcPr>
            <w:tcW w:w="540" w:type="dxa"/>
            <w:tcBorders>
              <w:top w:val="nil"/>
              <w:left w:val="nil"/>
              <w:bottom w:val="nil"/>
              <w:right w:val="nil"/>
            </w:tcBorders>
            <w:shd w:val="clear" w:color="auto" w:fill="auto"/>
            <w:noWrap/>
            <w:textDirection w:val="tbRl"/>
            <w:vAlign w:val="bottom"/>
            <w:hideMark/>
          </w:tcPr>
          <w:p w14:paraId="55B37B08"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Braintree</w:t>
            </w:r>
          </w:p>
        </w:tc>
        <w:tc>
          <w:tcPr>
            <w:tcW w:w="582" w:type="dxa"/>
            <w:tcBorders>
              <w:top w:val="nil"/>
              <w:left w:val="nil"/>
              <w:bottom w:val="nil"/>
              <w:right w:val="nil"/>
            </w:tcBorders>
            <w:shd w:val="clear" w:color="auto" w:fill="auto"/>
            <w:noWrap/>
            <w:textDirection w:val="tbRl"/>
            <w:vAlign w:val="bottom"/>
            <w:hideMark/>
          </w:tcPr>
          <w:p w14:paraId="6183B453"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Brentwood</w:t>
            </w:r>
          </w:p>
        </w:tc>
        <w:tc>
          <w:tcPr>
            <w:tcW w:w="540" w:type="dxa"/>
            <w:tcBorders>
              <w:top w:val="nil"/>
              <w:left w:val="nil"/>
              <w:bottom w:val="nil"/>
              <w:right w:val="nil"/>
            </w:tcBorders>
            <w:shd w:val="clear" w:color="auto" w:fill="auto"/>
            <w:noWrap/>
            <w:textDirection w:val="tbRl"/>
            <w:vAlign w:val="bottom"/>
            <w:hideMark/>
          </w:tcPr>
          <w:p w14:paraId="14A9CCD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Castle Point</w:t>
            </w:r>
          </w:p>
        </w:tc>
        <w:tc>
          <w:tcPr>
            <w:tcW w:w="597" w:type="dxa"/>
            <w:tcBorders>
              <w:top w:val="nil"/>
              <w:left w:val="nil"/>
              <w:bottom w:val="nil"/>
              <w:right w:val="nil"/>
            </w:tcBorders>
            <w:shd w:val="clear" w:color="auto" w:fill="auto"/>
            <w:noWrap/>
            <w:textDirection w:val="tbRl"/>
            <w:vAlign w:val="bottom"/>
            <w:hideMark/>
          </w:tcPr>
          <w:p w14:paraId="512505AA"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Chelmsford</w:t>
            </w:r>
          </w:p>
        </w:tc>
        <w:tc>
          <w:tcPr>
            <w:tcW w:w="557" w:type="dxa"/>
            <w:tcBorders>
              <w:top w:val="nil"/>
              <w:left w:val="nil"/>
              <w:bottom w:val="nil"/>
              <w:right w:val="nil"/>
            </w:tcBorders>
            <w:shd w:val="clear" w:color="auto" w:fill="auto"/>
            <w:noWrap/>
            <w:textDirection w:val="tbRl"/>
            <w:vAlign w:val="bottom"/>
            <w:hideMark/>
          </w:tcPr>
          <w:p w14:paraId="14571A4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Colchester</w:t>
            </w:r>
          </w:p>
        </w:tc>
        <w:tc>
          <w:tcPr>
            <w:tcW w:w="540" w:type="dxa"/>
            <w:tcBorders>
              <w:top w:val="nil"/>
              <w:left w:val="nil"/>
              <w:bottom w:val="nil"/>
              <w:right w:val="nil"/>
            </w:tcBorders>
            <w:shd w:val="clear" w:color="auto" w:fill="auto"/>
            <w:noWrap/>
            <w:textDirection w:val="tbRl"/>
            <w:vAlign w:val="bottom"/>
            <w:hideMark/>
          </w:tcPr>
          <w:p w14:paraId="6C972519"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Epping Forest</w:t>
            </w:r>
          </w:p>
        </w:tc>
        <w:tc>
          <w:tcPr>
            <w:tcW w:w="540" w:type="dxa"/>
            <w:tcBorders>
              <w:top w:val="nil"/>
              <w:left w:val="nil"/>
              <w:bottom w:val="nil"/>
              <w:right w:val="nil"/>
            </w:tcBorders>
            <w:shd w:val="clear" w:color="auto" w:fill="auto"/>
            <w:noWrap/>
            <w:textDirection w:val="tbRl"/>
            <w:vAlign w:val="bottom"/>
            <w:hideMark/>
          </w:tcPr>
          <w:p w14:paraId="7D772916"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Harlow</w:t>
            </w:r>
          </w:p>
        </w:tc>
        <w:tc>
          <w:tcPr>
            <w:tcW w:w="540" w:type="dxa"/>
            <w:tcBorders>
              <w:top w:val="nil"/>
              <w:left w:val="nil"/>
              <w:bottom w:val="nil"/>
              <w:right w:val="nil"/>
            </w:tcBorders>
            <w:shd w:val="clear" w:color="auto" w:fill="auto"/>
            <w:noWrap/>
            <w:textDirection w:val="tbRl"/>
            <w:vAlign w:val="bottom"/>
            <w:hideMark/>
          </w:tcPr>
          <w:p w14:paraId="5F703EAE"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Maldon</w:t>
            </w:r>
          </w:p>
        </w:tc>
        <w:tc>
          <w:tcPr>
            <w:tcW w:w="540" w:type="dxa"/>
            <w:tcBorders>
              <w:top w:val="nil"/>
              <w:left w:val="nil"/>
              <w:bottom w:val="nil"/>
              <w:right w:val="nil"/>
            </w:tcBorders>
            <w:shd w:val="clear" w:color="auto" w:fill="auto"/>
            <w:noWrap/>
            <w:textDirection w:val="tbRl"/>
            <w:vAlign w:val="bottom"/>
            <w:hideMark/>
          </w:tcPr>
          <w:p w14:paraId="702185A1"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Rochford</w:t>
            </w:r>
          </w:p>
        </w:tc>
        <w:tc>
          <w:tcPr>
            <w:tcW w:w="540" w:type="dxa"/>
            <w:tcBorders>
              <w:top w:val="nil"/>
              <w:left w:val="nil"/>
              <w:bottom w:val="nil"/>
              <w:right w:val="nil"/>
            </w:tcBorders>
            <w:shd w:val="clear" w:color="auto" w:fill="auto"/>
            <w:noWrap/>
            <w:textDirection w:val="tbRl"/>
            <w:vAlign w:val="bottom"/>
            <w:hideMark/>
          </w:tcPr>
          <w:p w14:paraId="51106B5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Tendring</w:t>
            </w:r>
          </w:p>
        </w:tc>
        <w:tc>
          <w:tcPr>
            <w:tcW w:w="540" w:type="dxa"/>
            <w:tcBorders>
              <w:top w:val="nil"/>
              <w:left w:val="nil"/>
              <w:bottom w:val="nil"/>
              <w:right w:val="single" w:sz="4" w:space="0" w:color="auto"/>
            </w:tcBorders>
            <w:shd w:val="clear" w:color="auto" w:fill="auto"/>
            <w:noWrap/>
            <w:textDirection w:val="tbRl"/>
            <w:vAlign w:val="bottom"/>
            <w:hideMark/>
          </w:tcPr>
          <w:p w14:paraId="7DF2101D"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Uttlesford</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4A6114E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sidRPr="009848BB">
              <w:rPr>
                <w:rFonts w:ascii="Century Gothic" w:eastAsia="Times New Roman" w:hAnsi="Century Gothic" w:cs="Calibri"/>
                <w:color w:val="000000"/>
                <w:sz w:val="18"/>
                <w:szCs w:val="18"/>
                <w:lang w:eastAsia="en-GB"/>
              </w:rPr>
              <w:t>Essex average</w:t>
            </w:r>
          </w:p>
        </w:tc>
        <w:tc>
          <w:tcPr>
            <w:tcW w:w="540" w:type="dxa"/>
            <w:tcBorders>
              <w:top w:val="single" w:sz="4" w:space="0" w:color="auto"/>
              <w:left w:val="single" w:sz="4" w:space="0" w:color="auto"/>
              <w:bottom w:val="single" w:sz="4" w:space="0" w:color="auto"/>
              <w:right w:val="single" w:sz="4" w:space="0" w:color="auto"/>
            </w:tcBorders>
            <w:textDirection w:val="tbRl"/>
          </w:tcPr>
          <w:p w14:paraId="096AEEC2" w14:textId="77777777" w:rsidR="003831BC" w:rsidRPr="009848BB" w:rsidRDefault="003831BC" w:rsidP="00DA302A">
            <w:pPr>
              <w:spacing w:after="0" w:line="240" w:lineRule="auto"/>
              <w:ind w:left="113" w:right="113"/>
              <w:jc w:val="both"/>
              <w:rPr>
                <w:rFonts w:ascii="Century Gothic" w:eastAsia="Times New Roman" w:hAnsi="Century Gothic" w:cs="Calibri"/>
                <w:color w:val="000000"/>
                <w:sz w:val="18"/>
                <w:szCs w:val="18"/>
                <w:lang w:eastAsia="en-GB"/>
              </w:rPr>
            </w:pPr>
            <w:r>
              <w:rPr>
                <w:rFonts w:ascii="Century Gothic" w:eastAsia="Times New Roman" w:hAnsi="Century Gothic" w:cs="Calibri"/>
                <w:color w:val="000000"/>
                <w:sz w:val="18"/>
                <w:szCs w:val="18"/>
                <w:lang w:eastAsia="en-GB"/>
              </w:rPr>
              <w:t>National average</w:t>
            </w:r>
          </w:p>
        </w:tc>
      </w:tr>
      <w:tr w:rsidR="003831BC" w:rsidRPr="009848BB" w14:paraId="2B20FE58" w14:textId="77777777" w:rsidTr="00DA302A">
        <w:trPr>
          <w:trHeight w:val="468"/>
        </w:trPr>
        <w:tc>
          <w:tcPr>
            <w:tcW w:w="1360" w:type="dxa"/>
            <w:tcBorders>
              <w:top w:val="nil"/>
              <w:left w:val="nil"/>
              <w:bottom w:val="nil"/>
              <w:right w:val="nil"/>
            </w:tcBorders>
            <w:shd w:val="clear" w:color="auto" w:fill="auto"/>
            <w:noWrap/>
            <w:vAlign w:val="bottom"/>
            <w:hideMark/>
          </w:tcPr>
          <w:p w14:paraId="143B7D58"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Population Average</w:t>
            </w:r>
            <w:r>
              <w:rPr>
                <w:rFonts w:ascii="Century Gothic" w:hAnsi="Century Gothic" w:cs="Calibri"/>
                <w:color w:val="000000"/>
                <w:sz w:val="18"/>
                <w:szCs w:val="18"/>
              </w:rPr>
              <w:t xml:space="preserve"> deciles</w:t>
            </w:r>
          </w:p>
        </w:tc>
        <w:tc>
          <w:tcPr>
            <w:tcW w:w="540" w:type="dxa"/>
            <w:tcBorders>
              <w:top w:val="nil"/>
              <w:left w:val="nil"/>
              <w:bottom w:val="nil"/>
              <w:right w:val="nil"/>
            </w:tcBorders>
            <w:shd w:val="clear" w:color="000000" w:fill="F8786D"/>
            <w:noWrap/>
            <w:vAlign w:val="bottom"/>
            <w:hideMark/>
          </w:tcPr>
          <w:p w14:paraId="49444B9F"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4.77</w:t>
            </w:r>
          </w:p>
        </w:tc>
        <w:tc>
          <w:tcPr>
            <w:tcW w:w="540" w:type="dxa"/>
            <w:tcBorders>
              <w:top w:val="nil"/>
              <w:left w:val="nil"/>
              <w:bottom w:val="nil"/>
              <w:right w:val="nil"/>
            </w:tcBorders>
            <w:shd w:val="clear" w:color="000000" w:fill="FEDD81"/>
            <w:noWrap/>
            <w:vAlign w:val="bottom"/>
            <w:hideMark/>
          </w:tcPr>
          <w:p w14:paraId="5C15E482"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5.39</w:t>
            </w:r>
          </w:p>
        </w:tc>
        <w:tc>
          <w:tcPr>
            <w:tcW w:w="582" w:type="dxa"/>
            <w:tcBorders>
              <w:top w:val="nil"/>
              <w:left w:val="nil"/>
              <w:bottom w:val="nil"/>
              <w:right w:val="nil"/>
            </w:tcBorders>
            <w:shd w:val="clear" w:color="000000" w:fill="93CC7E"/>
            <w:noWrap/>
            <w:vAlign w:val="bottom"/>
            <w:hideMark/>
          </w:tcPr>
          <w:p w14:paraId="4EEC2F95"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6.01</w:t>
            </w:r>
          </w:p>
        </w:tc>
        <w:tc>
          <w:tcPr>
            <w:tcW w:w="540" w:type="dxa"/>
            <w:tcBorders>
              <w:top w:val="nil"/>
              <w:left w:val="nil"/>
              <w:bottom w:val="nil"/>
              <w:right w:val="nil"/>
            </w:tcBorders>
            <w:shd w:val="clear" w:color="000000" w:fill="FED880"/>
            <w:noWrap/>
            <w:vAlign w:val="bottom"/>
            <w:hideMark/>
          </w:tcPr>
          <w:p w14:paraId="55EA5798"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5.36</w:t>
            </w:r>
          </w:p>
        </w:tc>
        <w:tc>
          <w:tcPr>
            <w:tcW w:w="597" w:type="dxa"/>
            <w:tcBorders>
              <w:top w:val="nil"/>
              <w:left w:val="nil"/>
              <w:bottom w:val="nil"/>
              <w:right w:val="nil"/>
            </w:tcBorders>
            <w:shd w:val="clear" w:color="000000" w:fill="B5D680"/>
            <w:noWrap/>
            <w:vAlign w:val="bottom"/>
            <w:hideMark/>
          </w:tcPr>
          <w:p w14:paraId="1A2F54B6"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5.84</w:t>
            </w:r>
          </w:p>
        </w:tc>
        <w:tc>
          <w:tcPr>
            <w:tcW w:w="557" w:type="dxa"/>
            <w:tcBorders>
              <w:top w:val="nil"/>
              <w:left w:val="nil"/>
              <w:bottom w:val="nil"/>
              <w:right w:val="nil"/>
            </w:tcBorders>
            <w:shd w:val="clear" w:color="000000" w:fill="EFE784"/>
            <w:noWrap/>
            <w:vAlign w:val="bottom"/>
            <w:hideMark/>
          </w:tcPr>
          <w:p w14:paraId="24D19293"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5.55</w:t>
            </w:r>
          </w:p>
        </w:tc>
        <w:tc>
          <w:tcPr>
            <w:tcW w:w="540" w:type="dxa"/>
            <w:tcBorders>
              <w:top w:val="nil"/>
              <w:left w:val="nil"/>
              <w:bottom w:val="nil"/>
              <w:right w:val="nil"/>
            </w:tcBorders>
            <w:shd w:val="clear" w:color="000000" w:fill="FCBD7B"/>
            <w:noWrap/>
            <w:vAlign w:val="bottom"/>
            <w:hideMark/>
          </w:tcPr>
          <w:p w14:paraId="16F0DDAF"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5.19</w:t>
            </w:r>
          </w:p>
        </w:tc>
        <w:tc>
          <w:tcPr>
            <w:tcW w:w="540" w:type="dxa"/>
            <w:tcBorders>
              <w:top w:val="nil"/>
              <w:left w:val="nil"/>
              <w:bottom w:val="nil"/>
              <w:right w:val="nil"/>
            </w:tcBorders>
            <w:shd w:val="clear" w:color="000000" w:fill="F98670"/>
            <w:noWrap/>
            <w:vAlign w:val="bottom"/>
            <w:hideMark/>
          </w:tcPr>
          <w:p w14:paraId="3175329B"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4.86</w:t>
            </w:r>
          </w:p>
        </w:tc>
        <w:tc>
          <w:tcPr>
            <w:tcW w:w="540" w:type="dxa"/>
            <w:tcBorders>
              <w:top w:val="nil"/>
              <w:left w:val="nil"/>
              <w:bottom w:val="nil"/>
              <w:right w:val="nil"/>
            </w:tcBorders>
            <w:shd w:val="clear" w:color="000000" w:fill="C3DA81"/>
            <w:noWrap/>
            <w:vAlign w:val="bottom"/>
            <w:hideMark/>
          </w:tcPr>
          <w:p w14:paraId="78232857"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5.77</w:t>
            </w:r>
          </w:p>
        </w:tc>
        <w:tc>
          <w:tcPr>
            <w:tcW w:w="540" w:type="dxa"/>
            <w:tcBorders>
              <w:top w:val="nil"/>
              <w:left w:val="nil"/>
              <w:bottom w:val="nil"/>
              <w:right w:val="nil"/>
            </w:tcBorders>
            <w:shd w:val="clear" w:color="000000" w:fill="63BE7B"/>
            <w:noWrap/>
            <w:vAlign w:val="bottom"/>
            <w:hideMark/>
          </w:tcPr>
          <w:p w14:paraId="77CF8F1B"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6.25</w:t>
            </w:r>
          </w:p>
        </w:tc>
        <w:tc>
          <w:tcPr>
            <w:tcW w:w="540" w:type="dxa"/>
            <w:tcBorders>
              <w:top w:val="nil"/>
              <w:left w:val="nil"/>
              <w:bottom w:val="nil"/>
              <w:right w:val="nil"/>
            </w:tcBorders>
            <w:shd w:val="clear" w:color="000000" w:fill="F8696B"/>
            <w:noWrap/>
            <w:vAlign w:val="bottom"/>
            <w:hideMark/>
          </w:tcPr>
          <w:p w14:paraId="70B20899"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4.68</w:t>
            </w:r>
          </w:p>
        </w:tc>
        <w:tc>
          <w:tcPr>
            <w:tcW w:w="540" w:type="dxa"/>
            <w:tcBorders>
              <w:top w:val="nil"/>
              <w:left w:val="nil"/>
              <w:bottom w:val="nil"/>
              <w:right w:val="nil"/>
            </w:tcBorders>
            <w:shd w:val="clear" w:color="000000" w:fill="B0D580"/>
            <w:noWrap/>
            <w:vAlign w:val="bottom"/>
            <w:hideMark/>
          </w:tcPr>
          <w:p w14:paraId="7900D748" w14:textId="77777777" w:rsidR="003831BC" w:rsidRPr="004A5194" w:rsidRDefault="003831BC" w:rsidP="00DA302A">
            <w:pPr>
              <w:spacing w:after="0" w:line="240" w:lineRule="auto"/>
              <w:jc w:val="both"/>
              <w:rPr>
                <w:rFonts w:ascii="Century Gothic" w:eastAsia="Times New Roman" w:hAnsi="Century Gothic" w:cs="Calibri"/>
                <w:color w:val="000000"/>
                <w:sz w:val="18"/>
                <w:szCs w:val="18"/>
                <w:lang w:eastAsia="en-GB"/>
              </w:rPr>
            </w:pPr>
            <w:r w:rsidRPr="004A5194">
              <w:rPr>
                <w:rFonts w:ascii="Century Gothic" w:hAnsi="Century Gothic" w:cs="Calibri"/>
                <w:color w:val="000000"/>
                <w:sz w:val="18"/>
                <w:szCs w:val="18"/>
              </w:rPr>
              <w:t>5.87</w:t>
            </w:r>
          </w:p>
        </w:tc>
        <w:tc>
          <w:tcPr>
            <w:tcW w:w="540" w:type="dxa"/>
            <w:tcBorders>
              <w:top w:val="nil"/>
              <w:left w:val="nil"/>
              <w:bottom w:val="nil"/>
              <w:right w:val="nil"/>
            </w:tcBorders>
            <w:shd w:val="clear" w:color="auto" w:fill="auto"/>
            <w:noWrap/>
            <w:vAlign w:val="bottom"/>
            <w:hideMark/>
          </w:tcPr>
          <w:p w14:paraId="304FCF2E" w14:textId="77777777" w:rsidR="003831BC" w:rsidRPr="004A5194" w:rsidRDefault="003831BC" w:rsidP="00DA302A">
            <w:pPr>
              <w:spacing w:after="0" w:line="240" w:lineRule="auto"/>
              <w:jc w:val="both"/>
              <w:rPr>
                <w:rFonts w:ascii="Century Gothic" w:eastAsia="Times New Roman" w:hAnsi="Century Gothic" w:cs="Calibri"/>
                <w:b/>
                <w:bCs/>
                <w:color w:val="000000"/>
                <w:sz w:val="18"/>
                <w:szCs w:val="18"/>
                <w:lang w:eastAsia="en-GB"/>
              </w:rPr>
            </w:pPr>
            <w:r w:rsidRPr="004A5194">
              <w:rPr>
                <w:rFonts w:ascii="Century Gothic" w:hAnsi="Century Gothic" w:cs="Calibri"/>
                <w:b/>
                <w:bCs/>
                <w:color w:val="000000"/>
                <w:sz w:val="18"/>
                <w:szCs w:val="18"/>
              </w:rPr>
              <w:t>5.39</w:t>
            </w:r>
          </w:p>
        </w:tc>
        <w:tc>
          <w:tcPr>
            <w:tcW w:w="540" w:type="dxa"/>
            <w:tcBorders>
              <w:top w:val="nil"/>
              <w:left w:val="nil"/>
              <w:bottom w:val="nil"/>
              <w:right w:val="nil"/>
            </w:tcBorders>
            <w:vAlign w:val="bottom"/>
          </w:tcPr>
          <w:p w14:paraId="00CBF274" w14:textId="77777777" w:rsidR="003831BC" w:rsidRPr="004A5194" w:rsidRDefault="003831BC" w:rsidP="00DA302A">
            <w:pPr>
              <w:spacing w:after="0" w:line="240" w:lineRule="auto"/>
              <w:jc w:val="center"/>
              <w:rPr>
                <w:rFonts w:ascii="Century Gothic" w:hAnsi="Century Gothic" w:cs="Calibri"/>
                <w:b/>
                <w:bCs/>
                <w:color w:val="000000"/>
                <w:sz w:val="18"/>
                <w:szCs w:val="18"/>
              </w:rPr>
            </w:pPr>
            <w:r>
              <w:rPr>
                <w:rFonts w:ascii="Century Gothic" w:hAnsi="Century Gothic" w:cs="Calibri"/>
                <w:b/>
                <w:bCs/>
                <w:color w:val="000000"/>
                <w:sz w:val="18"/>
                <w:szCs w:val="18"/>
              </w:rPr>
              <w:t>5.34</w:t>
            </w:r>
          </w:p>
        </w:tc>
      </w:tr>
    </w:tbl>
    <w:p w14:paraId="2BCA4446" w14:textId="77777777" w:rsidR="003831BC" w:rsidRDefault="003831BC" w:rsidP="003831BC">
      <w:pPr>
        <w:jc w:val="both"/>
        <w:rPr>
          <w:rFonts w:ascii="Century Gothic" w:hAnsi="Century Gothic"/>
          <w:b/>
          <w:bCs/>
        </w:rPr>
      </w:pPr>
    </w:p>
    <w:p w14:paraId="09A9E94B"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Essex LSOAs score nationally for population</w:t>
      </w:r>
    </w:p>
    <w:p w14:paraId="56679263"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table below shows 20 LSOAs in Essex which score the lowest on indicators relating to populations with greater challenges to being active. Seven of these areas are found in the district of Basildon, specifically in the wards of </w:t>
      </w:r>
      <w:proofErr w:type="spellStart"/>
      <w:r w:rsidRPr="00435601">
        <w:rPr>
          <w:rFonts w:ascii="Century Gothic" w:hAnsi="Century Gothic"/>
          <w:sz w:val="22"/>
          <w:szCs w:val="22"/>
        </w:rPr>
        <w:t>Fryerns</w:t>
      </w:r>
      <w:proofErr w:type="spellEnd"/>
      <w:r w:rsidRPr="00435601">
        <w:rPr>
          <w:rFonts w:ascii="Century Gothic" w:hAnsi="Century Gothic"/>
          <w:sz w:val="22"/>
          <w:szCs w:val="22"/>
        </w:rPr>
        <w:t xml:space="preserve">, Lee Chapel North, </w:t>
      </w:r>
      <w:proofErr w:type="spellStart"/>
      <w:r w:rsidRPr="00435601">
        <w:rPr>
          <w:rFonts w:ascii="Century Gothic" w:hAnsi="Century Gothic"/>
          <w:sz w:val="22"/>
          <w:szCs w:val="22"/>
        </w:rPr>
        <w:t>Pitsea</w:t>
      </w:r>
      <w:proofErr w:type="spellEnd"/>
      <w:r w:rsidRPr="00435601">
        <w:rPr>
          <w:rFonts w:ascii="Century Gothic" w:hAnsi="Century Gothic"/>
          <w:sz w:val="22"/>
          <w:szCs w:val="22"/>
        </w:rPr>
        <w:t xml:space="preserve"> North West and </w:t>
      </w:r>
      <w:proofErr w:type="spellStart"/>
      <w:r w:rsidRPr="00435601">
        <w:rPr>
          <w:rFonts w:ascii="Century Gothic" w:hAnsi="Century Gothic"/>
          <w:sz w:val="22"/>
          <w:szCs w:val="22"/>
        </w:rPr>
        <w:t>Vange</w:t>
      </w:r>
      <w:proofErr w:type="spellEnd"/>
      <w:r w:rsidRPr="00435601">
        <w:rPr>
          <w:rFonts w:ascii="Century Gothic" w:hAnsi="Century Gothic"/>
          <w:sz w:val="22"/>
          <w:szCs w:val="22"/>
        </w:rPr>
        <w:t>. Five are found in Tendring, specifically in the wards of Frinton, Golf Green, Pier and Rush Green.</w:t>
      </w:r>
    </w:p>
    <w:p w14:paraId="5E67C1A2" w14:textId="77777777" w:rsidR="003831BC" w:rsidRPr="00435601" w:rsidRDefault="003831BC" w:rsidP="003831BC">
      <w:pPr>
        <w:jc w:val="both"/>
        <w:rPr>
          <w:rFonts w:ascii="Century Gothic" w:hAnsi="Century Gothic"/>
          <w:b/>
          <w:bCs/>
          <w:sz w:val="22"/>
          <w:szCs w:val="22"/>
        </w:rPr>
      </w:pPr>
      <w:r w:rsidRPr="00435601">
        <w:rPr>
          <w:rFonts w:ascii="Century Gothic" w:hAnsi="Century Gothic"/>
          <w:sz w:val="22"/>
          <w:szCs w:val="22"/>
        </w:rPr>
        <w:t xml:space="preserve">All but five these lowest scoring LSOAs are placed in deciles 1-4 of the 2019 Indices of Deprivation. The five that are placed into a less deprived decile are found in the Witham West ward of Braintree (placed in decile 5), an LSOA in the Frinton ward of Tendring, an LSOA in Maldon South and an LSOA in the </w:t>
      </w:r>
      <w:proofErr w:type="spellStart"/>
      <w:r w:rsidRPr="00435601">
        <w:rPr>
          <w:rFonts w:ascii="Century Gothic" w:hAnsi="Century Gothic"/>
          <w:sz w:val="22"/>
          <w:szCs w:val="22"/>
        </w:rPr>
        <w:t>Greenstead</w:t>
      </w:r>
      <w:proofErr w:type="spellEnd"/>
      <w:r w:rsidRPr="00435601">
        <w:rPr>
          <w:rFonts w:ascii="Century Gothic" w:hAnsi="Century Gothic"/>
          <w:sz w:val="22"/>
          <w:szCs w:val="22"/>
        </w:rPr>
        <w:t xml:space="preserve"> ward of Colchester (all decile 6) and  an LSOA in Maldon North (decile 8).</w:t>
      </w:r>
    </w:p>
    <w:p w14:paraId="4D7C47F5" w14:textId="77777777" w:rsidR="003831BC" w:rsidRDefault="003831BC" w:rsidP="003831BC">
      <w:pPr>
        <w:jc w:val="both"/>
        <w:rPr>
          <w:rFonts w:ascii="Century Gothic" w:hAnsi="Century Gothic"/>
          <w:b/>
          <w:bCs/>
        </w:rPr>
      </w:pPr>
    </w:p>
    <w:tbl>
      <w:tblPr>
        <w:tblW w:w="9026" w:type="dxa"/>
        <w:tblLook w:val="04A0" w:firstRow="1" w:lastRow="0" w:firstColumn="1" w:lastColumn="0" w:noHBand="0" w:noVBand="1"/>
      </w:tblPr>
      <w:tblGrid>
        <w:gridCol w:w="803"/>
        <w:gridCol w:w="1162"/>
        <w:gridCol w:w="1685"/>
        <w:gridCol w:w="1904"/>
        <w:gridCol w:w="1237"/>
        <w:gridCol w:w="1082"/>
        <w:gridCol w:w="1153"/>
      </w:tblGrid>
      <w:tr w:rsidR="003831BC" w:rsidRPr="005B36A5" w14:paraId="6880A2C8" w14:textId="77777777" w:rsidTr="00DA302A">
        <w:trPr>
          <w:trHeight w:val="288"/>
        </w:trPr>
        <w:tc>
          <w:tcPr>
            <w:tcW w:w="795" w:type="dxa"/>
            <w:tcBorders>
              <w:top w:val="nil"/>
              <w:left w:val="nil"/>
              <w:bottom w:val="single" w:sz="4" w:space="0" w:color="auto"/>
              <w:right w:val="nil"/>
            </w:tcBorders>
            <w:shd w:val="clear" w:color="auto" w:fill="auto"/>
            <w:noWrap/>
            <w:vAlign w:val="bottom"/>
            <w:hideMark/>
          </w:tcPr>
          <w:p w14:paraId="33E14F4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Theme Rank</w:t>
            </w:r>
          </w:p>
        </w:tc>
        <w:tc>
          <w:tcPr>
            <w:tcW w:w="1166" w:type="dxa"/>
            <w:tcBorders>
              <w:top w:val="nil"/>
              <w:left w:val="nil"/>
              <w:bottom w:val="single" w:sz="4" w:space="0" w:color="auto"/>
              <w:right w:val="nil"/>
            </w:tcBorders>
            <w:shd w:val="clear" w:color="auto" w:fill="auto"/>
            <w:noWrap/>
            <w:vAlign w:val="bottom"/>
            <w:hideMark/>
          </w:tcPr>
          <w:p w14:paraId="65AA54D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LSOA Code</w:t>
            </w:r>
          </w:p>
        </w:tc>
        <w:tc>
          <w:tcPr>
            <w:tcW w:w="1691" w:type="dxa"/>
            <w:tcBorders>
              <w:top w:val="nil"/>
              <w:left w:val="nil"/>
              <w:bottom w:val="single" w:sz="4" w:space="0" w:color="auto"/>
              <w:right w:val="nil"/>
            </w:tcBorders>
            <w:shd w:val="clear" w:color="auto" w:fill="auto"/>
            <w:noWrap/>
            <w:vAlign w:val="bottom"/>
            <w:hideMark/>
          </w:tcPr>
          <w:p w14:paraId="5286A3D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LSOA Name</w:t>
            </w:r>
          </w:p>
        </w:tc>
        <w:tc>
          <w:tcPr>
            <w:tcW w:w="1911" w:type="dxa"/>
            <w:tcBorders>
              <w:top w:val="nil"/>
              <w:left w:val="nil"/>
              <w:bottom w:val="single" w:sz="4" w:space="0" w:color="auto"/>
              <w:right w:val="nil"/>
            </w:tcBorders>
            <w:shd w:val="clear" w:color="auto" w:fill="auto"/>
            <w:noWrap/>
            <w:vAlign w:val="bottom"/>
            <w:hideMark/>
          </w:tcPr>
          <w:p w14:paraId="124824C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Ward</w:t>
            </w:r>
          </w:p>
        </w:tc>
        <w:tc>
          <w:tcPr>
            <w:tcW w:w="1241" w:type="dxa"/>
            <w:tcBorders>
              <w:top w:val="nil"/>
              <w:left w:val="nil"/>
              <w:bottom w:val="single" w:sz="4" w:space="0" w:color="auto"/>
              <w:right w:val="nil"/>
            </w:tcBorders>
            <w:shd w:val="clear" w:color="auto" w:fill="auto"/>
            <w:noWrap/>
            <w:vAlign w:val="bottom"/>
            <w:hideMark/>
          </w:tcPr>
          <w:p w14:paraId="74B6DC0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LA Name</w:t>
            </w:r>
          </w:p>
        </w:tc>
        <w:tc>
          <w:tcPr>
            <w:tcW w:w="1086" w:type="dxa"/>
            <w:tcBorders>
              <w:top w:val="nil"/>
              <w:left w:val="nil"/>
              <w:bottom w:val="single" w:sz="4" w:space="0" w:color="auto"/>
              <w:right w:val="nil"/>
            </w:tcBorders>
            <w:shd w:val="clear" w:color="auto" w:fill="auto"/>
            <w:noWrap/>
            <w:vAlign w:val="bottom"/>
            <w:hideMark/>
          </w:tcPr>
          <w:p w14:paraId="2624B3B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IMD 2019 decile</w:t>
            </w:r>
          </w:p>
        </w:tc>
        <w:tc>
          <w:tcPr>
            <w:tcW w:w="1136" w:type="dxa"/>
            <w:tcBorders>
              <w:top w:val="nil"/>
              <w:left w:val="nil"/>
              <w:bottom w:val="single" w:sz="4" w:space="0" w:color="auto"/>
              <w:right w:val="nil"/>
            </w:tcBorders>
            <w:shd w:val="clear" w:color="auto" w:fill="auto"/>
            <w:noWrap/>
            <w:vAlign w:val="bottom"/>
            <w:hideMark/>
          </w:tcPr>
          <w:p w14:paraId="690E668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Population Average</w:t>
            </w:r>
          </w:p>
        </w:tc>
      </w:tr>
      <w:tr w:rsidR="003831BC" w:rsidRPr="005B36A5" w14:paraId="3611AD74"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1CD0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2DDA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E01022031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442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 015D</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CA1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Rush Green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6598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557F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CD3A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1.11</w:t>
            </w:r>
          </w:p>
        </w:tc>
      </w:tr>
      <w:tr w:rsidR="003831BC" w:rsidRPr="005B36A5" w14:paraId="07115452"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FC8D"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09D0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E01021988</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7C9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 018A</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C9A6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Golf Green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415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2FA2D"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44ED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1.11</w:t>
            </w:r>
          </w:p>
        </w:tc>
      </w:tr>
      <w:tr w:rsidR="003831BC" w:rsidRPr="005B36A5" w14:paraId="158C83FC"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C797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CECD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E01021426</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63AA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Braintree 015E</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44CD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Witham West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B4D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Braintree</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A62B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8D7D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1.22</w:t>
            </w:r>
          </w:p>
        </w:tc>
      </w:tr>
      <w:tr w:rsidR="003831BC" w:rsidRPr="005B36A5" w14:paraId="6D960684"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153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AC16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E01021302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BB31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013B</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2452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Pitsea</w:t>
            </w:r>
            <w:proofErr w:type="spellEnd"/>
            <w:r w:rsidRPr="005B36A5">
              <w:rPr>
                <w:rFonts w:ascii="Century Gothic" w:eastAsia="Times New Roman" w:hAnsi="Century Gothic" w:cs="Calibri"/>
                <w:color w:val="000000"/>
                <w:sz w:val="18"/>
                <w:szCs w:val="18"/>
                <w:lang w:eastAsia="en-GB"/>
              </w:rPr>
              <w:t xml:space="preserve"> North West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EF0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26F9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55A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1.33</w:t>
            </w:r>
          </w:p>
        </w:tc>
      </w:tr>
      <w:tr w:rsidR="003831BC" w:rsidRPr="005B36A5" w14:paraId="3B463C38"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DE4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377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E01033722</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F672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 008H</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559B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Greenstead</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EFEA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BD8E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C20E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1.44</w:t>
            </w:r>
          </w:p>
        </w:tc>
      </w:tr>
      <w:tr w:rsidR="003831BC" w:rsidRPr="005B36A5" w14:paraId="1E4C9A13"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FA1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67A8D"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E01022030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8504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 015C</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CCAE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Rush Green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1A7C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F958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73F8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1.44</w:t>
            </w:r>
          </w:p>
        </w:tc>
      </w:tr>
      <w:tr w:rsidR="003831BC" w:rsidRPr="005B36A5" w14:paraId="355488C8"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F8CC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8081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E01021267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ACF3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012B</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B623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Fryerns</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4BD6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2692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4C5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1.44</w:t>
            </w:r>
          </w:p>
        </w:tc>
      </w:tr>
      <w:tr w:rsidR="003831BC" w:rsidRPr="005B36A5" w14:paraId="6E5F0CAA"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033D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175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E01021987</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86D5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 008A</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6B60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Frinton</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2498B"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1DE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420E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1.44</w:t>
            </w:r>
          </w:p>
        </w:tc>
      </w:tr>
      <w:tr w:rsidR="003831BC" w:rsidRPr="005B36A5" w14:paraId="420F9A45"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5D24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1368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E01021891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5A42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 004C</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6136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 North</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31D9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365D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72BF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1.56</w:t>
            </w:r>
          </w:p>
        </w:tc>
      </w:tr>
      <w:tr w:rsidR="003831BC" w:rsidRPr="005B36A5" w14:paraId="1F7B8D2E"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319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1569B"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E01021638</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44FC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 018B</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4519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Berechurch</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BDE3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7FDB"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DBDE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1.67</w:t>
            </w:r>
          </w:p>
        </w:tc>
      </w:tr>
      <w:tr w:rsidR="003831BC" w:rsidRPr="005B36A5" w14:paraId="5167251B"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3E92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4C6B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E01021268</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989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015B</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2128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Fryerns</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7CD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DEA6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5F79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1.67</w:t>
            </w:r>
          </w:p>
        </w:tc>
      </w:tr>
      <w:tr w:rsidR="003831BC" w:rsidRPr="005B36A5" w14:paraId="570157D9"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55D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516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E01021665</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3967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 016D</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0A7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Old Heath and The Hythe</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BFF0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484E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BF42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1.67</w:t>
            </w:r>
          </w:p>
        </w:tc>
      </w:tr>
      <w:tr w:rsidR="003831BC" w:rsidRPr="005B36A5" w14:paraId="74E1B972"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4131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13</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C815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E01021306</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9C9D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013E</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B0B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Pitsea</w:t>
            </w:r>
            <w:proofErr w:type="spellEnd"/>
            <w:r w:rsidRPr="005B36A5">
              <w:rPr>
                <w:rFonts w:ascii="Century Gothic" w:eastAsia="Times New Roman" w:hAnsi="Century Gothic" w:cs="Calibri"/>
                <w:color w:val="000000"/>
                <w:sz w:val="18"/>
                <w:szCs w:val="18"/>
                <w:lang w:eastAsia="en-GB"/>
              </w:rPr>
              <w:t xml:space="preserve"> North West</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48A3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7028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89E6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1.67</w:t>
            </w:r>
          </w:p>
        </w:tc>
      </w:tr>
      <w:tr w:rsidR="003831BC" w:rsidRPr="005B36A5" w14:paraId="7F4A2E83"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72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402C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E01021391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B1D3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Braintree 004C</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15D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Halstead Trinity</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C5FF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Braintree</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F4F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7CC6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1.78</w:t>
            </w:r>
          </w:p>
        </w:tc>
      </w:tr>
      <w:tr w:rsidR="003831BC" w:rsidRPr="005B36A5" w14:paraId="7F6CA4F9"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74B5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2ADF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E01021300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904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022A</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F2CD"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Nethermayne</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6516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CC4D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83455"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1.78</w:t>
            </w:r>
          </w:p>
        </w:tc>
      </w:tr>
      <w:tr w:rsidR="003831BC" w:rsidRPr="005B36A5" w14:paraId="7D95E531"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1EDA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16</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6E9A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E01021894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D5D5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 005B</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1BD2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 South</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402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Maldon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F59B"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9023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1.78</w:t>
            </w:r>
          </w:p>
        </w:tc>
      </w:tr>
      <w:tr w:rsidR="003831BC" w:rsidRPr="005B36A5" w14:paraId="495B66DC"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68F5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7120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E01022026</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047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 016C</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331B9"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Pier</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77BC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Tendring</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0E2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DDD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1.78</w:t>
            </w:r>
          </w:p>
        </w:tc>
      </w:tr>
      <w:tr w:rsidR="003831BC" w:rsidRPr="005B36A5" w14:paraId="3CFD080C"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D306"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18</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637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E01033719</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EE290"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 008G</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6B00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Greenstead</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B4D1E"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Colchester</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2C3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721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1.89</w:t>
            </w:r>
          </w:p>
        </w:tc>
      </w:tr>
      <w:tr w:rsidR="003831BC" w:rsidRPr="005B36A5" w14:paraId="19F6722C"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A86B4"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E992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E01021324</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57CDA"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019C</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38651"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proofErr w:type="spellStart"/>
            <w:r w:rsidRPr="005B36A5">
              <w:rPr>
                <w:rFonts w:ascii="Century Gothic" w:eastAsia="Times New Roman" w:hAnsi="Century Gothic" w:cs="Calibri"/>
                <w:color w:val="000000"/>
                <w:sz w:val="18"/>
                <w:szCs w:val="18"/>
                <w:lang w:eastAsia="en-GB"/>
              </w:rPr>
              <w:t>Vange</w:t>
            </w:r>
            <w:proofErr w:type="spellEnd"/>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CA6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6EBA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B2BA7"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1.89</w:t>
            </w:r>
          </w:p>
        </w:tc>
      </w:tr>
      <w:tr w:rsidR="003831BC" w:rsidRPr="005B36A5" w14:paraId="3B9F3667" w14:textId="77777777" w:rsidTr="00DA302A">
        <w:trPr>
          <w:trHeight w:val="288"/>
        </w:trPr>
        <w:tc>
          <w:tcPr>
            <w:tcW w:w="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D26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20</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CF9F"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E01021290</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6CE52"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 016D</w:t>
            </w:r>
          </w:p>
        </w:tc>
        <w:tc>
          <w:tcPr>
            <w:tcW w:w="1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5E52C"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Lee Chapel North</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5AA78"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Basildon</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97D2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25C63" w14:textId="77777777" w:rsidR="003831BC" w:rsidRPr="005B36A5" w:rsidRDefault="003831BC" w:rsidP="00DA302A">
            <w:pPr>
              <w:spacing w:after="0" w:line="240" w:lineRule="auto"/>
              <w:jc w:val="both"/>
              <w:rPr>
                <w:rFonts w:ascii="Century Gothic" w:eastAsia="Times New Roman" w:hAnsi="Century Gothic" w:cs="Calibri"/>
                <w:color w:val="000000"/>
                <w:sz w:val="18"/>
                <w:szCs w:val="18"/>
                <w:lang w:eastAsia="en-GB"/>
              </w:rPr>
            </w:pPr>
            <w:r w:rsidRPr="005B36A5">
              <w:rPr>
                <w:rFonts w:ascii="Century Gothic" w:eastAsia="Times New Roman" w:hAnsi="Century Gothic" w:cs="Calibri"/>
                <w:color w:val="000000"/>
                <w:sz w:val="18"/>
                <w:szCs w:val="18"/>
                <w:lang w:eastAsia="en-GB"/>
              </w:rPr>
              <w:t>1.89</w:t>
            </w:r>
          </w:p>
        </w:tc>
      </w:tr>
    </w:tbl>
    <w:p w14:paraId="65F6F1BF" w14:textId="77777777" w:rsidR="003831BC" w:rsidRDefault="003831BC" w:rsidP="003831BC">
      <w:pPr>
        <w:jc w:val="both"/>
        <w:rPr>
          <w:rFonts w:ascii="Century Gothic" w:hAnsi="Century Gothic"/>
          <w:b/>
          <w:bCs/>
        </w:rPr>
      </w:pPr>
    </w:p>
    <w:p w14:paraId="4DA50E8B"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map below shows where each LSOA in Essex places nationally in our population decile. </w:t>
      </w:r>
      <w:proofErr w:type="gramStart"/>
      <w:r w:rsidRPr="00435601">
        <w:rPr>
          <w:rFonts w:ascii="Century Gothic" w:hAnsi="Century Gothic"/>
          <w:sz w:val="22"/>
          <w:szCs w:val="22"/>
        </w:rPr>
        <w:t>A number of</w:t>
      </w:r>
      <w:proofErr w:type="gramEnd"/>
      <w:r w:rsidRPr="00435601">
        <w:rPr>
          <w:rFonts w:ascii="Century Gothic" w:hAnsi="Century Gothic"/>
          <w:sz w:val="22"/>
          <w:szCs w:val="22"/>
        </w:rPr>
        <w:t xml:space="preserve"> districts have representation among the lowest scoring areas, specifically Basildon, Braintree, Colchester and Maldon. All districts have LSOAs that fall in deciles 2-4.</w:t>
      </w:r>
    </w:p>
    <w:p w14:paraId="502BC263" w14:textId="77777777" w:rsidR="003831BC" w:rsidRDefault="003831BC" w:rsidP="003831BC">
      <w:pPr>
        <w:jc w:val="center"/>
        <w:rPr>
          <w:rFonts w:ascii="Century Gothic" w:hAnsi="Century Gothic"/>
          <w:b/>
          <w:bCs/>
        </w:rPr>
      </w:pPr>
      <w:r>
        <w:rPr>
          <w:noProof/>
        </w:rPr>
        <w:drawing>
          <wp:inline distT="0" distB="0" distL="0" distR="0" wp14:anchorId="5E8F2A90" wp14:editId="3560BD1D">
            <wp:extent cx="4808220" cy="3388021"/>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09663" cy="3389038"/>
                    </a:xfrm>
                    <a:prstGeom prst="rect">
                      <a:avLst/>
                    </a:prstGeom>
                  </pic:spPr>
                </pic:pic>
              </a:graphicData>
            </a:graphic>
          </wp:inline>
        </w:drawing>
      </w:r>
    </w:p>
    <w:p w14:paraId="39CD2C47"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How population ranks within Essex</w:t>
      </w:r>
    </w:p>
    <w:p w14:paraId="0F28713E"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map below shows each Essex LSOA ranked from 1 to 872 depending on its populations with barriers to activity decile score, with 1 being the lowest population decile score, and 872 the highest. This allows us to see the spread of populations with barriers to activity on an Essex-specific scale.</w:t>
      </w:r>
    </w:p>
    <w:p w14:paraId="1D8D1C03" w14:textId="77777777" w:rsidR="003831BC" w:rsidRPr="005B36A5" w:rsidRDefault="003831BC" w:rsidP="003831BC">
      <w:pPr>
        <w:jc w:val="center"/>
        <w:rPr>
          <w:rFonts w:ascii="Century Gothic" w:hAnsi="Century Gothic"/>
          <w:b/>
          <w:bCs/>
        </w:rPr>
      </w:pPr>
      <w:r>
        <w:rPr>
          <w:noProof/>
        </w:rPr>
        <w:drawing>
          <wp:inline distT="0" distB="0" distL="0" distR="0" wp14:anchorId="5B43E377" wp14:editId="567A3594">
            <wp:extent cx="4912724" cy="345186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2724" cy="3451860"/>
                    </a:xfrm>
                    <a:prstGeom prst="rect">
                      <a:avLst/>
                    </a:prstGeom>
                  </pic:spPr>
                </pic:pic>
              </a:graphicData>
            </a:graphic>
          </wp:inline>
        </w:drawing>
      </w:r>
    </w:p>
    <w:p w14:paraId="49785351" w14:textId="77777777" w:rsidR="003831BC" w:rsidRDefault="003831BC" w:rsidP="003831BC">
      <w:pPr>
        <w:pStyle w:val="Heading2"/>
        <w:numPr>
          <w:ilvl w:val="1"/>
          <w:numId w:val="9"/>
        </w:numPr>
        <w:jc w:val="both"/>
        <w:rPr>
          <w:rFonts w:ascii="Century Gothic" w:hAnsi="Century Gothic"/>
          <w:b/>
          <w:bCs/>
          <w:i/>
          <w:iCs/>
          <w:color w:val="D8117D"/>
        </w:rPr>
      </w:pPr>
      <w:bookmarkStart w:id="26" w:name="_Toc50553608"/>
      <w:r w:rsidRPr="7623FC04">
        <w:rPr>
          <w:rFonts w:ascii="Century Gothic" w:hAnsi="Century Gothic"/>
          <w:b/>
          <w:bCs/>
          <w:i/>
          <w:iCs/>
          <w:color w:val="D8117D"/>
        </w:rPr>
        <w:t>LSOA clusters</w:t>
      </w:r>
      <w:bookmarkEnd w:id="26"/>
    </w:p>
    <w:p w14:paraId="2821150E" w14:textId="77777777" w:rsidR="003831BC" w:rsidRDefault="003831BC" w:rsidP="003831BC">
      <w:pPr>
        <w:jc w:val="both"/>
      </w:pPr>
    </w:p>
    <w:p w14:paraId="183190A2" w14:textId="77777777" w:rsidR="003831BC" w:rsidRPr="000C5548" w:rsidRDefault="003831BC" w:rsidP="003831BC">
      <w:pPr>
        <w:jc w:val="both"/>
        <w:rPr>
          <w:rFonts w:ascii="Century Gothic" w:hAnsi="Century Gothic"/>
          <w:sz w:val="22"/>
          <w:szCs w:val="22"/>
        </w:rPr>
      </w:pPr>
      <w:r w:rsidRPr="1FEAD44F">
        <w:rPr>
          <w:rFonts w:ascii="Century Gothic" w:hAnsi="Century Gothic"/>
          <w:sz w:val="22"/>
          <w:szCs w:val="22"/>
        </w:rPr>
        <w:t>Once the cluster analysis was completed, a definition of each cluster was then produced to describe the estimated levels of physical inactivity and potential barriers driving this according to the 10 themes in the data. These definitions are as following:</w:t>
      </w:r>
    </w:p>
    <w:p w14:paraId="40864276" w14:textId="77777777" w:rsidR="003831BC" w:rsidRDefault="003831BC" w:rsidP="003831BC">
      <w:pPr>
        <w:jc w:val="both"/>
        <w:rPr>
          <w:rFonts w:ascii="Century Gothic" w:hAnsi="Century Gothic"/>
          <w:sz w:val="22"/>
          <w:szCs w:val="22"/>
        </w:rPr>
      </w:pPr>
      <w:r w:rsidRPr="1FEAD44F">
        <w:rPr>
          <w:rFonts w:ascii="Century Gothic" w:hAnsi="Century Gothic"/>
          <w:b/>
          <w:bCs/>
          <w:sz w:val="22"/>
          <w:szCs w:val="22"/>
        </w:rPr>
        <w:t xml:space="preserve">Cluster 1, VERY Challenging </w:t>
      </w:r>
      <w:proofErr w:type="spellStart"/>
      <w:r w:rsidRPr="1FEAD44F">
        <w:rPr>
          <w:rFonts w:ascii="Century Gothic" w:hAnsi="Century Gothic"/>
          <w:b/>
          <w:bCs/>
          <w:sz w:val="22"/>
          <w:szCs w:val="22"/>
        </w:rPr>
        <w:t>Inactives</w:t>
      </w:r>
      <w:proofErr w:type="spellEnd"/>
      <w:r w:rsidRPr="1FEAD44F">
        <w:rPr>
          <w:rFonts w:ascii="Century Gothic" w:hAnsi="Century Gothic"/>
          <w:sz w:val="22"/>
          <w:szCs w:val="22"/>
        </w:rPr>
        <w:t xml:space="preserve">: With an overall weighted average of 5.8, this cluster is estimated to be the most physically inactive.  This cluster also scores low across most of the themes, especially on the themes of Crime, Education and Skills, Population and Vulnerable groups. This indicates that there may be a range of potential barriers to physical activity present across the constituent LSOAs of this cluster. Access and Transport seems to be of least concern within this cluster. </w:t>
      </w:r>
    </w:p>
    <w:p w14:paraId="79B077C3" w14:textId="77777777" w:rsidR="003831BC" w:rsidRDefault="003831BC" w:rsidP="003831BC">
      <w:pPr>
        <w:jc w:val="both"/>
        <w:rPr>
          <w:rFonts w:ascii="Century Gothic" w:hAnsi="Century Gothic"/>
          <w:sz w:val="22"/>
          <w:szCs w:val="22"/>
        </w:rPr>
      </w:pPr>
      <w:r w:rsidRPr="1FEAD44F">
        <w:rPr>
          <w:rFonts w:ascii="Century Gothic" w:hAnsi="Century Gothic"/>
          <w:b/>
          <w:bCs/>
          <w:sz w:val="22"/>
          <w:szCs w:val="22"/>
        </w:rPr>
        <w:t xml:space="preserve">Cluster 2, Challenging </w:t>
      </w:r>
      <w:proofErr w:type="spellStart"/>
      <w:r w:rsidRPr="1FEAD44F">
        <w:rPr>
          <w:rFonts w:ascii="Century Gothic" w:hAnsi="Century Gothic"/>
          <w:b/>
          <w:bCs/>
          <w:sz w:val="22"/>
          <w:szCs w:val="22"/>
        </w:rPr>
        <w:t>Inactives</w:t>
      </w:r>
      <w:proofErr w:type="spellEnd"/>
      <w:r w:rsidRPr="1FEAD44F">
        <w:rPr>
          <w:rFonts w:ascii="Century Gothic" w:hAnsi="Century Gothic"/>
          <w:sz w:val="22"/>
          <w:szCs w:val="22"/>
        </w:rPr>
        <w:t xml:space="preserve">: With an overall weighted average of 6.8, this cluster is estimated to be the second most physically inactive. This cluster also scores low across most of the themes but may need focus on specific issues such as Access and Transport, Communities and Environment, and Population. Crime seems to be of least concern within this cluster. </w:t>
      </w:r>
    </w:p>
    <w:p w14:paraId="01EF7E50" w14:textId="77777777" w:rsidR="003831BC" w:rsidRPr="000C5548" w:rsidRDefault="003831BC" w:rsidP="003831BC">
      <w:pPr>
        <w:jc w:val="both"/>
        <w:rPr>
          <w:rFonts w:ascii="Century Gothic" w:hAnsi="Century Gothic"/>
          <w:b/>
          <w:bCs/>
          <w:sz w:val="22"/>
          <w:szCs w:val="22"/>
        </w:rPr>
      </w:pPr>
      <w:r w:rsidRPr="1FEAD44F">
        <w:rPr>
          <w:rFonts w:ascii="Century Gothic" w:hAnsi="Century Gothic"/>
          <w:b/>
          <w:bCs/>
          <w:sz w:val="22"/>
          <w:szCs w:val="22"/>
        </w:rPr>
        <w:t>Cluster 3, Olympians in training</w:t>
      </w:r>
      <w:r w:rsidRPr="1FEAD44F">
        <w:rPr>
          <w:rFonts w:ascii="Century Gothic" w:hAnsi="Century Gothic"/>
          <w:sz w:val="22"/>
          <w:szCs w:val="22"/>
        </w:rPr>
        <w:t xml:space="preserve">: With an overall weighted average of 7.9, this was the best cluster as it is estimated to be the least physically inactive. There are no major areas for concern across the themes, other than relatively low scores in Access and Transport, and Communities and Environment. </w:t>
      </w:r>
    </w:p>
    <w:p w14:paraId="5BCD69F3" w14:textId="77777777" w:rsidR="003831BC" w:rsidRDefault="003831BC" w:rsidP="003831BC">
      <w:pPr>
        <w:jc w:val="both"/>
        <w:rPr>
          <w:rFonts w:ascii="Century Gothic" w:hAnsi="Century Gothic"/>
          <w:sz w:val="22"/>
          <w:szCs w:val="22"/>
        </w:rPr>
      </w:pPr>
      <w:r w:rsidRPr="1FEAD44F">
        <w:rPr>
          <w:rFonts w:ascii="Century Gothic" w:hAnsi="Century Gothic"/>
          <w:b/>
          <w:bCs/>
          <w:sz w:val="22"/>
          <w:szCs w:val="22"/>
        </w:rPr>
        <w:t>Cluster 4, Olympians in high crime areas</w:t>
      </w:r>
      <w:r w:rsidRPr="1FEAD44F">
        <w:rPr>
          <w:rFonts w:ascii="Century Gothic" w:hAnsi="Century Gothic"/>
          <w:sz w:val="22"/>
          <w:szCs w:val="22"/>
        </w:rPr>
        <w:t xml:space="preserve">: With an overall weighted average of 7.4, this was the second-best cluster as it is estimated to be the second least physically inactive. The only area for concern across the themes is the relatively low score in Crime. </w:t>
      </w:r>
    </w:p>
    <w:p w14:paraId="72667388" w14:textId="77777777" w:rsidR="003831BC" w:rsidRDefault="003831BC" w:rsidP="003831BC">
      <w:pPr>
        <w:jc w:val="both"/>
        <w:rPr>
          <w:rFonts w:ascii="Century Gothic" w:hAnsi="Century Gothic"/>
          <w:sz w:val="22"/>
          <w:szCs w:val="22"/>
        </w:rPr>
      </w:pPr>
      <w:r w:rsidRPr="1FEAD44F">
        <w:rPr>
          <w:rFonts w:ascii="Century Gothic" w:hAnsi="Century Gothic"/>
          <w:sz w:val="22"/>
          <w:szCs w:val="22"/>
        </w:rPr>
        <w:t xml:space="preserve">Descriptive analytics and geospatial mapping </w:t>
      </w:r>
      <w:proofErr w:type="gramStart"/>
      <w:r w:rsidRPr="1FEAD44F">
        <w:rPr>
          <w:rFonts w:ascii="Century Gothic" w:hAnsi="Century Gothic"/>
          <w:sz w:val="22"/>
          <w:szCs w:val="22"/>
        </w:rPr>
        <w:t>was</w:t>
      </w:r>
      <w:proofErr w:type="gramEnd"/>
      <w:r w:rsidRPr="1FEAD44F">
        <w:rPr>
          <w:rFonts w:ascii="Century Gothic" w:hAnsi="Century Gothic"/>
          <w:sz w:val="22"/>
          <w:szCs w:val="22"/>
        </w:rPr>
        <w:t xml:space="preserve"> next conducted to examine how many of the Essex LSOAs are within each cluster and where each of these clusters are located across Essex, including within the ELDP target areas and not. </w:t>
      </w:r>
    </w:p>
    <w:p w14:paraId="5F6B1A98" w14:textId="77777777" w:rsidR="003831BC" w:rsidRPr="006F4AF7" w:rsidRDefault="003831BC" w:rsidP="003831BC">
      <w:pPr>
        <w:jc w:val="both"/>
        <w:rPr>
          <w:rFonts w:ascii="Century Gothic" w:hAnsi="Century Gothic"/>
          <w:sz w:val="22"/>
          <w:szCs w:val="22"/>
        </w:rPr>
      </w:pPr>
      <w:r w:rsidRPr="006F4AF7">
        <w:rPr>
          <w:rFonts w:ascii="Century Gothic" w:hAnsi="Century Gothic"/>
          <w:sz w:val="22"/>
          <w:szCs w:val="22"/>
        </w:rPr>
        <w:t xml:space="preserve">Looking specifically at LSOAs that are located within the three LDP target districts, the largest number of LSOAs are found in cluster 1, the very challenging </w:t>
      </w:r>
      <w:proofErr w:type="spellStart"/>
      <w:r w:rsidRPr="006F4AF7">
        <w:rPr>
          <w:rFonts w:ascii="Century Gothic" w:hAnsi="Century Gothic"/>
          <w:sz w:val="22"/>
          <w:szCs w:val="22"/>
        </w:rPr>
        <w:t>inactives</w:t>
      </w:r>
      <w:proofErr w:type="spellEnd"/>
      <w:r w:rsidRPr="006F4AF7">
        <w:rPr>
          <w:rFonts w:ascii="Century Gothic" w:hAnsi="Century Gothic"/>
          <w:sz w:val="22"/>
          <w:szCs w:val="22"/>
        </w:rPr>
        <w:t xml:space="preserve">. Most LSOAs of focus for the ELDP therefore may have issues in most themes of drivers to physical inactivity.  In fact, 78% of the target LSOAs are in cluster 1 and 16% cluster 2. </w:t>
      </w:r>
    </w:p>
    <w:p w14:paraId="2AE83287" w14:textId="77777777" w:rsidR="003831BC" w:rsidRPr="006F4AF7" w:rsidRDefault="003831BC" w:rsidP="003831BC">
      <w:pPr>
        <w:jc w:val="both"/>
        <w:rPr>
          <w:rFonts w:ascii="Century Gothic" w:hAnsi="Century Gothic"/>
          <w:sz w:val="22"/>
          <w:szCs w:val="22"/>
        </w:rPr>
      </w:pPr>
      <w:r w:rsidRPr="006F4AF7">
        <w:rPr>
          <w:rFonts w:ascii="Century Gothic" w:hAnsi="Century Gothic"/>
          <w:sz w:val="22"/>
          <w:szCs w:val="22"/>
        </w:rPr>
        <w:t xml:space="preserve">However, as also shown in the table below, there is also a large number of LSOAs within cluster 1 and 2 that are outside of the LDP target districts and therefore may warrant focus in the future to address physical inactivity levels at a wider level across the whole of Essex. </w:t>
      </w:r>
    </w:p>
    <w:p w14:paraId="28E741CE" w14:textId="77777777" w:rsidR="003831BC" w:rsidRDefault="003831BC" w:rsidP="003831BC">
      <w:pPr>
        <w:jc w:val="both"/>
        <w:rPr>
          <w:rFonts w:ascii="Century Gothic" w:hAnsi="Century Gothic"/>
        </w:rPr>
      </w:pPr>
    </w:p>
    <w:p w14:paraId="4AD450BB" w14:textId="77777777" w:rsidR="003831BC" w:rsidRDefault="003831BC" w:rsidP="003831BC">
      <w:pPr>
        <w:jc w:val="both"/>
        <w:rPr>
          <w:rFonts w:ascii="Century Gothic" w:hAnsi="Century Gothic"/>
        </w:rPr>
      </w:pPr>
    </w:p>
    <w:p w14:paraId="4E29E80E" w14:textId="77777777" w:rsidR="003831BC" w:rsidRDefault="003831BC" w:rsidP="003831BC">
      <w:pPr>
        <w:jc w:val="both"/>
        <w:rPr>
          <w:rFonts w:ascii="Century Gothic" w:hAnsi="Century Gothic"/>
        </w:rPr>
      </w:pPr>
    </w:p>
    <w:p w14:paraId="38B83DEC" w14:textId="77777777" w:rsidR="003831BC" w:rsidRDefault="003831BC" w:rsidP="003831BC">
      <w:pPr>
        <w:jc w:val="both"/>
        <w:rPr>
          <w:rFonts w:ascii="Century Gothic" w:hAnsi="Century Gothic"/>
        </w:rPr>
      </w:pPr>
    </w:p>
    <w:p w14:paraId="0F2C629A" w14:textId="77777777" w:rsidR="003831BC" w:rsidRDefault="003831BC" w:rsidP="003831BC">
      <w:pPr>
        <w:jc w:val="both"/>
        <w:rPr>
          <w:rFonts w:ascii="Century Gothic" w:hAnsi="Century Gothic"/>
        </w:rPr>
      </w:pPr>
    </w:p>
    <w:p w14:paraId="34CF5595" w14:textId="77777777" w:rsidR="003831BC" w:rsidRPr="00BA313B" w:rsidRDefault="003831BC" w:rsidP="003831BC">
      <w:pPr>
        <w:jc w:val="both"/>
        <w:rPr>
          <w:rFonts w:ascii="Century Gothic" w:hAnsi="Century Gothic"/>
        </w:rPr>
      </w:pPr>
    </w:p>
    <w:tbl>
      <w:tblPr>
        <w:tblW w:w="4132" w:type="dxa"/>
        <w:tblCellMar>
          <w:left w:w="0" w:type="dxa"/>
          <w:right w:w="0" w:type="dxa"/>
        </w:tblCellMar>
        <w:tblLook w:val="04A0" w:firstRow="1" w:lastRow="0" w:firstColumn="1" w:lastColumn="0" w:noHBand="0" w:noVBand="1"/>
      </w:tblPr>
      <w:tblGrid>
        <w:gridCol w:w="1138"/>
        <w:gridCol w:w="16"/>
        <w:gridCol w:w="975"/>
        <w:gridCol w:w="994"/>
        <w:gridCol w:w="1013"/>
      </w:tblGrid>
      <w:tr w:rsidR="003831BC" w:rsidRPr="00BA313B" w14:paraId="0988B364" w14:textId="77777777" w:rsidTr="00DA302A">
        <w:trPr>
          <w:trHeight w:val="98"/>
        </w:trPr>
        <w:tc>
          <w:tcPr>
            <w:tcW w:w="1138" w:type="dxa"/>
            <w:tcBorders>
              <w:bottom w:val="single" w:sz="4" w:space="0" w:color="auto"/>
            </w:tcBorders>
            <w:noWrap/>
            <w:tcMar>
              <w:top w:w="0" w:type="dxa"/>
              <w:left w:w="108" w:type="dxa"/>
              <w:bottom w:w="0" w:type="dxa"/>
              <w:right w:w="108" w:type="dxa"/>
            </w:tcMar>
            <w:vAlign w:val="bottom"/>
            <w:hideMark/>
          </w:tcPr>
          <w:p w14:paraId="11131258"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Clusters</w:t>
            </w:r>
          </w:p>
        </w:tc>
        <w:tc>
          <w:tcPr>
            <w:tcW w:w="12" w:type="dxa"/>
            <w:tcBorders>
              <w:bottom w:val="single" w:sz="4" w:space="0" w:color="auto"/>
            </w:tcBorders>
          </w:tcPr>
          <w:p w14:paraId="23B36BF3"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bottom w:val="single" w:sz="4" w:space="0" w:color="auto"/>
            </w:tcBorders>
            <w:noWrap/>
            <w:tcMar>
              <w:top w:w="0" w:type="dxa"/>
              <w:left w:w="108" w:type="dxa"/>
              <w:bottom w:w="0" w:type="dxa"/>
              <w:right w:w="108" w:type="dxa"/>
            </w:tcMar>
            <w:vAlign w:val="bottom"/>
            <w:hideMark/>
          </w:tcPr>
          <w:p w14:paraId="354102AC"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Non-target area</w:t>
            </w:r>
          </w:p>
        </w:tc>
        <w:tc>
          <w:tcPr>
            <w:tcW w:w="994" w:type="dxa"/>
            <w:tcBorders>
              <w:bottom w:val="single" w:sz="4" w:space="0" w:color="auto"/>
              <w:right w:val="single" w:sz="4" w:space="0" w:color="auto"/>
            </w:tcBorders>
            <w:noWrap/>
            <w:tcMar>
              <w:top w:w="0" w:type="dxa"/>
              <w:left w:w="108" w:type="dxa"/>
              <w:bottom w:w="0" w:type="dxa"/>
              <w:right w:w="108" w:type="dxa"/>
            </w:tcMar>
            <w:vAlign w:val="bottom"/>
            <w:hideMark/>
          </w:tcPr>
          <w:p w14:paraId="1A105F92"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Target area</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12F2AC7"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Grand Total</w:t>
            </w:r>
          </w:p>
        </w:tc>
      </w:tr>
      <w:tr w:rsidR="003831BC" w:rsidRPr="00BA313B" w14:paraId="76E2BBB6" w14:textId="77777777" w:rsidTr="00DA302A">
        <w:trPr>
          <w:trHeight w:val="98"/>
        </w:trPr>
        <w:tc>
          <w:tcPr>
            <w:tcW w:w="11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56C56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w:t>
            </w:r>
          </w:p>
        </w:tc>
        <w:tc>
          <w:tcPr>
            <w:tcW w:w="12" w:type="dxa"/>
            <w:tcBorders>
              <w:top w:val="single" w:sz="4" w:space="0" w:color="auto"/>
              <w:left w:val="single" w:sz="4" w:space="0" w:color="auto"/>
              <w:bottom w:val="single" w:sz="4" w:space="0" w:color="auto"/>
              <w:right w:val="single" w:sz="4" w:space="0" w:color="auto"/>
            </w:tcBorders>
          </w:tcPr>
          <w:p w14:paraId="07E060CB"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EE0F7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77</w:t>
            </w:r>
          </w:p>
        </w:tc>
        <w:tc>
          <w:tcPr>
            <w:tcW w:w="9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8D4C350"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109</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55C7E6"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186</w:t>
            </w:r>
          </w:p>
        </w:tc>
      </w:tr>
      <w:tr w:rsidR="003831BC" w:rsidRPr="00BA313B" w14:paraId="6DB48926" w14:textId="77777777" w:rsidTr="00DA302A">
        <w:trPr>
          <w:trHeight w:val="98"/>
        </w:trPr>
        <w:tc>
          <w:tcPr>
            <w:tcW w:w="11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482A61"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2" w:type="dxa"/>
            <w:tcBorders>
              <w:top w:val="single" w:sz="4" w:space="0" w:color="auto"/>
              <w:left w:val="single" w:sz="4" w:space="0" w:color="auto"/>
              <w:bottom w:val="single" w:sz="4" w:space="0" w:color="auto"/>
              <w:right w:val="single" w:sz="4" w:space="0" w:color="auto"/>
            </w:tcBorders>
          </w:tcPr>
          <w:p w14:paraId="328EAF6B"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EC702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195</w:t>
            </w:r>
          </w:p>
        </w:tc>
        <w:tc>
          <w:tcPr>
            <w:tcW w:w="9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97E25C"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22</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D3BADC"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217</w:t>
            </w:r>
          </w:p>
        </w:tc>
      </w:tr>
      <w:tr w:rsidR="003831BC" w:rsidRPr="00BA313B" w14:paraId="2CAE208C" w14:textId="77777777" w:rsidTr="00DA302A">
        <w:trPr>
          <w:trHeight w:val="98"/>
        </w:trPr>
        <w:tc>
          <w:tcPr>
            <w:tcW w:w="11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FE6121"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w:t>
            </w:r>
          </w:p>
        </w:tc>
        <w:tc>
          <w:tcPr>
            <w:tcW w:w="12" w:type="dxa"/>
            <w:tcBorders>
              <w:top w:val="single" w:sz="4" w:space="0" w:color="auto"/>
              <w:left w:val="single" w:sz="4" w:space="0" w:color="auto"/>
              <w:bottom w:val="single" w:sz="4" w:space="0" w:color="auto"/>
              <w:right w:val="single" w:sz="4" w:space="0" w:color="auto"/>
            </w:tcBorders>
          </w:tcPr>
          <w:p w14:paraId="56E0FF3C"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AC8F3F"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302</w:t>
            </w:r>
          </w:p>
        </w:tc>
        <w:tc>
          <w:tcPr>
            <w:tcW w:w="9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000D52"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0BEDC9"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304</w:t>
            </w:r>
          </w:p>
        </w:tc>
      </w:tr>
      <w:tr w:rsidR="003831BC" w:rsidRPr="00BA313B" w14:paraId="4A84A501" w14:textId="77777777" w:rsidTr="00DA302A">
        <w:trPr>
          <w:trHeight w:val="98"/>
        </w:trPr>
        <w:tc>
          <w:tcPr>
            <w:tcW w:w="11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F235D3F"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c>
          <w:tcPr>
            <w:tcW w:w="12" w:type="dxa"/>
            <w:tcBorders>
              <w:top w:val="single" w:sz="4" w:space="0" w:color="auto"/>
              <w:left w:val="single" w:sz="4" w:space="0" w:color="auto"/>
              <w:bottom w:val="single" w:sz="4" w:space="0" w:color="auto"/>
              <w:right w:val="single" w:sz="4" w:space="0" w:color="auto"/>
            </w:tcBorders>
          </w:tcPr>
          <w:p w14:paraId="7ABD112D"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48DCA4"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158</w:t>
            </w:r>
          </w:p>
        </w:tc>
        <w:tc>
          <w:tcPr>
            <w:tcW w:w="9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454BA2"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7</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734756"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165</w:t>
            </w:r>
          </w:p>
        </w:tc>
      </w:tr>
      <w:tr w:rsidR="003831BC" w:rsidRPr="00BA313B" w14:paraId="3AA08EDC" w14:textId="77777777" w:rsidTr="00DA302A">
        <w:trPr>
          <w:trHeight w:val="98"/>
        </w:trPr>
        <w:tc>
          <w:tcPr>
            <w:tcW w:w="113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DBAFBD7"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Grand Total</w:t>
            </w:r>
          </w:p>
        </w:tc>
        <w:tc>
          <w:tcPr>
            <w:tcW w:w="12" w:type="dxa"/>
            <w:tcBorders>
              <w:top w:val="single" w:sz="4" w:space="0" w:color="auto"/>
              <w:left w:val="single" w:sz="4" w:space="0" w:color="auto"/>
              <w:bottom w:val="single" w:sz="4" w:space="0" w:color="auto"/>
              <w:right w:val="single" w:sz="4" w:space="0" w:color="auto"/>
            </w:tcBorders>
          </w:tcPr>
          <w:p w14:paraId="695C5732" w14:textId="77777777" w:rsidR="003831BC" w:rsidRPr="00BA313B" w:rsidRDefault="003831BC" w:rsidP="00DA302A">
            <w:pPr>
              <w:jc w:val="both"/>
              <w:rPr>
                <w:rFonts w:ascii="Century Gothic" w:hAnsi="Century Gothic"/>
                <w:color w:val="000000"/>
                <w:sz w:val="18"/>
                <w:szCs w:val="18"/>
                <w:lang w:eastAsia="en-GB"/>
              </w:rPr>
            </w:pPr>
          </w:p>
        </w:tc>
        <w:tc>
          <w:tcPr>
            <w:tcW w:w="9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8A0F2E"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732</w:t>
            </w:r>
          </w:p>
        </w:tc>
        <w:tc>
          <w:tcPr>
            <w:tcW w:w="99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9750E69"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140</w:t>
            </w:r>
          </w:p>
        </w:tc>
        <w:tc>
          <w:tcPr>
            <w:tcW w:w="101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AB69C8D"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872</w:t>
            </w:r>
          </w:p>
        </w:tc>
      </w:tr>
    </w:tbl>
    <w:tbl>
      <w:tblPr>
        <w:tblpPr w:leftFromText="180" w:rightFromText="180" w:vertAnchor="text" w:horzAnchor="page" w:tblpX="5977" w:tblpY="-2683"/>
        <w:tblW w:w="1920" w:type="dxa"/>
        <w:tblCellMar>
          <w:left w:w="0" w:type="dxa"/>
          <w:right w:w="0" w:type="dxa"/>
        </w:tblCellMar>
        <w:tblLook w:val="04A0" w:firstRow="1" w:lastRow="0" w:firstColumn="1" w:lastColumn="0" w:noHBand="0" w:noVBand="1"/>
      </w:tblPr>
      <w:tblGrid>
        <w:gridCol w:w="493"/>
        <w:gridCol w:w="1427"/>
      </w:tblGrid>
      <w:tr w:rsidR="003831BC" w:rsidRPr="00BA313B" w14:paraId="4B66EDC0" w14:textId="77777777" w:rsidTr="00DA302A">
        <w:trPr>
          <w:trHeight w:val="288"/>
        </w:trPr>
        <w:tc>
          <w:tcPr>
            <w:tcW w:w="1920" w:type="dxa"/>
            <w:gridSpan w:val="2"/>
            <w:tcBorders>
              <w:bottom w:val="single" w:sz="4" w:space="0" w:color="auto"/>
            </w:tcBorders>
            <w:noWrap/>
            <w:tcMar>
              <w:top w:w="0" w:type="dxa"/>
              <w:left w:w="108" w:type="dxa"/>
              <w:bottom w:w="0" w:type="dxa"/>
              <w:right w:w="108" w:type="dxa"/>
            </w:tcMar>
            <w:vAlign w:val="bottom"/>
            <w:hideMark/>
          </w:tcPr>
          <w:p w14:paraId="3C956C42"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Cluster spread by target area:</w:t>
            </w:r>
          </w:p>
        </w:tc>
      </w:tr>
      <w:tr w:rsidR="003831BC" w:rsidRPr="00BA313B" w14:paraId="629FF409" w14:textId="77777777" w:rsidTr="00DA302A">
        <w:trPr>
          <w:trHeight w:val="288"/>
        </w:trPr>
        <w:tc>
          <w:tcPr>
            <w:tcW w:w="4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BBCD6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w:t>
            </w:r>
          </w:p>
        </w:tc>
        <w:tc>
          <w:tcPr>
            <w:tcW w:w="14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C46693"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78%</w:t>
            </w:r>
          </w:p>
        </w:tc>
      </w:tr>
      <w:tr w:rsidR="003831BC" w:rsidRPr="00BA313B" w14:paraId="216364CA" w14:textId="77777777" w:rsidTr="00DA302A">
        <w:trPr>
          <w:trHeight w:val="288"/>
        </w:trPr>
        <w:tc>
          <w:tcPr>
            <w:tcW w:w="4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D61E6E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4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E4A38F"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16%</w:t>
            </w:r>
          </w:p>
        </w:tc>
      </w:tr>
      <w:tr w:rsidR="003831BC" w:rsidRPr="00BA313B" w14:paraId="3839CF56" w14:textId="77777777" w:rsidTr="00DA302A">
        <w:trPr>
          <w:trHeight w:val="288"/>
        </w:trPr>
        <w:tc>
          <w:tcPr>
            <w:tcW w:w="4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1E69ED"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w:t>
            </w:r>
          </w:p>
        </w:tc>
        <w:tc>
          <w:tcPr>
            <w:tcW w:w="14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D2B36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w:t>
            </w:r>
          </w:p>
        </w:tc>
      </w:tr>
      <w:tr w:rsidR="003831BC" w:rsidRPr="00BA313B" w14:paraId="4DF8B4C8" w14:textId="77777777" w:rsidTr="00DA302A">
        <w:trPr>
          <w:trHeight w:val="288"/>
        </w:trPr>
        <w:tc>
          <w:tcPr>
            <w:tcW w:w="4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CD3EA50"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c>
          <w:tcPr>
            <w:tcW w:w="142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8D0D143"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5%</w:t>
            </w:r>
          </w:p>
        </w:tc>
      </w:tr>
    </w:tbl>
    <w:p w14:paraId="593C3465" w14:textId="77777777" w:rsidR="003831BC" w:rsidRPr="006F4AF7" w:rsidRDefault="003831BC" w:rsidP="003831BC">
      <w:pPr>
        <w:jc w:val="both"/>
        <w:rPr>
          <w:rFonts w:ascii="Century Gothic" w:hAnsi="Century Gothic"/>
          <w:sz w:val="22"/>
          <w:szCs w:val="22"/>
        </w:rPr>
      </w:pPr>
    </w:p>
    <w:p w14:paraId="75B2FB6D" w14:textId="77777777" w:rsidR="003831BC" w:rsidRPr="006F4AF7" w:rsidRDefault="003831BC" w:rsidP="003831BC">
      <w:pPr>
        <w:jc w:val="both"/>
        <w:rPr>
          <w:rFonts w:ascii="Century Gothic" w:hAnsi="Century Gothic"/>
          <w:sz w:val="22"/>
          <w:szCs w:val="22"/>
        </w:rPr>
      </w:pPr>
      <w:r w:rsidRPr="006F4AF7">
        <w:rPr>
          <w:rFonts w:ascii="Century Gothic" w:hAnsi="Century Gothic"/>
          <w:sz w:val="22"/>
          <w:szCs w:val="22"/>
        </w:rPr>
        <w:t xml:space="preserve">Within each of the three ELDP Target Districts, it was found that the following numbers of target LSOAs are within each of the 4 clusters. </w:t>
      </w:r>
    </w:p>
    <w:tbl>
      <w:tblPr>
        <w:tblpPr w:leftFromText="180" w:rightFromText="180" w:vertAnchor="text" w:horzAnchor="margin" w:tblpY="47"/>
        <w:tblW w:w="5655" w:type="dxa"/>
        <w:tblCellMar>
          <w:left w:w="0" w:type="dxa"/>
          <w:right w:w="0" w:type="dxa"/>
        </w:tblCellMar>
        <w:tblLook w:val="04A0" w:firstRow="1" w:lastRow="0" w:firstColumn="1" w:lastColumn="0" w:noHBand="0" w:noVBand="1"/>
      </w:tblPr>
      <w:tblGrid>
        <w:gridCol w:w="930"/>
        <w:gridCol w:w="1035"/>
        <w:gridCol w:w="1245"/>
        <w:gridCol w:w="1095"/>
        <w:gridCol w:w="1350"/>
      </w:tblGrid>
      <w:tr w:rsidR="003831BC" w:rsidRPr="00BA313B" w14:paraId="2B6814A0" w14:textId="77777777" w:rsidTr="00DA302A">
        <w:trPr>
          <w:trHeight w:val="191"/>
        </w:trPr>
        <w:tc>
          <w:tcPr>
            <w:tcW w:w="930" w:type="dxa"/>
            <w:tcBorders>
              <w:bottom w:val="single" w:sz="4" w:space="0" w:color="auto"/>
            </w:tcBorders>
            <w:noWrap/>
            <w:tcMar>
              <w:top w:w="0" w:type="dxa"/>
              <w:left w:w="108" w:type="dxa"/>
              <w:bottom w:w="0" w:type="dxa"/>
              <w:right w:w="108" w:type="dxa"/>
            </w:tcMar>
            <w:vAlign w:val="bottom"/>
            <w:hideMark/>
          </w:tcPr>
          <w:p w14:paraId="6E6484A6"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Cluster</w:t>
            </w:r>
          </w:p>
        </w:tc>
        <w:tc>
          <w:tcPr>
            <w:tcW w:w="1035" w:type="dxa"/>
            <w:tcBorders>
              <w:bottom w:val="single" w:sz="4" w:space="0" w:color="auto"/>
            </w:tcBorders>
            <w:noWrap/>
            <w:tcMar>
              <w:top w:w="0" w:type="dxa"/>
              <w:left w:w="108" w:type="dxa"/>
              <w:bottom w:w="0" w:type="dxa"/>
              <w:right w:w="108" w:type="dxa"/>
            </w:tcMar>
            <w:vAlign w:val="bottom"/>
            <w:hideMark/>
          </w:tcPr>
          <w:p w14:paraId="2141BE7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Basildon</w:t>
            </w:r>
          </w:p>
        </w:tc>
        <w:tc>
          <w:tcPr>
            <w:tcW w:w="1245" w:type="dxa"/>
            <w:tcBorders>
              <w:bottom w:val="single" w:sz="4" w:space="0" w:color="auto"/>
            </w:tcBorders>
            <w:noWrap/>
            <w:tcMar>
              <w:top w:w="0" w:type="dxa"/>
              <w:left w:w="108" w:type="dxa"/>
              <w:bottom w:w="0" w:type="dxa"/>
              <w:right w:w="108" w:type="dxa"/>
            </w:tcMar>
            <w:vAlign w:val="bottom"/>
            <w:hideMark/>
          </w:tcPr>
          <w:p w14:paraId="723536FE"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Colchester</w:t>
            </w:r>
          </w:p>
        </w:tc>
        <w:tc>
          <w:tcPr>
            <w:tcW w:w="1095" w:type="dxa"/>
            <w:tcBorders>
              <w:bottom w:val="single" w:sz="4" w:space="0" w:color="auto"/>
              <w:right w:val="single" w:sz="4" w:space="0" w:color="auto"/>
            </w:tcBorders>
            <w:noWrap/>
            <w:tcMar>
              <w:top w:w="0" w:type="dxa"/>
              <w:left w:w="108" w:type="dxa"/>
              <w:bottom w:w="0" w:type="dxa"/>
              <w:right w:w="108" w:type="dxa"/>
            </w:tcMar>
            <w:vAlign w:val="bottom"/>
            <w:hideMark/>
          </w:tcPr>
          <w:p w14:paraId="7E8BA4F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Tendring</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44406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Grand Total</w:t>
            </w:r>
          </w:p>
        </w:tc>
      </w:tr>
      <w:tr w:rsidR="003831BC" w:rsidRPr="00BA313B" w14:paraId="32832EFB" w14:textId="77777777" w:rsidTr="00DA302A">
        <w:trPr>
          <w:trHeight w:val="191"/>
        </w:trPr>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EC0A1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w:t>
            </w:r>
          </w:p>
        </w:tc>
        <w:tc>
          <w:tcPr>
            <w:tcW w:w="1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4C6854"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49</w:t>
            </w:r>
          </w:p>
        </w:tc>
        <w:tc>
          <w:tcPr>
            <w:tcW w:w="12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4B3309"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17</w:t>
            </w:r>
          </w:p>
        </w:tc>
        <w:tc>
          <w:tcPr>
            <w:tcW w:w="10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F1B5E9"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43</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DC9D16"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109</w:t>
            </w:r>
          </w:p>
        </w:tc>
      </w:tr>
      <w:tr w:rsidR="003831BC" w:rsidRPr="00BA313B" w14:paraId="3AD43B60" w14:textId="77777777" w:rsidTr="00DA302A">
        <w:trPr>
          <w:trHeight w:val="191"/>
        </w:trPr>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AE32C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EDF66E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5</w:t>
            </w:r>
          </w:p>
        </w:tc>
        <w:tc>
          <w:tcPr>
            <w:tcW w:w="12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B7B2E3D"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5</w:t>
            </w:r>
          </w:p>
        </w:tc>
        <w:tc>
          <w:tcPr>
            <w:tcW w:w="10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A9CC33"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12</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00BAC0C"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22</w:t>
            </w:r>
          </w:p>
        </w:tc>
      </w:tr>
      <w:tr w:rsidR="003831BC" w:rsidRPr="00BA313B" w14:paraId="3D5B5354" w14:textId="77777777" w:rsidTr="00DA302A">
        <w:trPr>
          <w:trHeight w:val="191"/>
        </w:trPr>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F6A4BE"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w:t>
            </w:r>
          </w:p>
        </w:tc>
        <w:tc>
          <w:tcPr>
            <w:tcW w:w="1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1B092E" w14:textId="77777777" w:rsidR="003831BC" w:rsidRPr="00BA313B" w:rsidRDefault="003831BC" w:rsidP="00DA302A">
            <w:pPr>
              <w:jc w:val="both"/>
              <w:rPr>
                <w:rFonts w:ascii="Century Gothic" w:hAnsi="Century Gothic"/>
                <w:color w:val="000000"/>
                <w:sz w:val="18"/>
                <w:szCs w:val="18"/>
                <w:lang w:eastAsia="en-GB"/>
              </w:rPr>
            </w:pPr>
            <w:r>
              <w:rPr>
                <w:rFonts w:ascii="Century Gothic" w:hAnsi="Century Gothic"/>
                <w:color w:val="000000"/>
                <w:sz w:val="18"/>
                <w:szCs w:val="18"/>
                <w:lang w:eastAsia="en-GB"/>
              </w:rPr>
              <w:t>0</w:t>
            </w:r>
          </w:p>
        </w:tc>
        <w:tc>
          <w:tcPr>
            <w:tcW w:w="12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F3C02CE" w14:textId="77777777" w:rsidR="003831BC" w:rsidRPr="00BA313B" w:rsidRDefault="003831BC" w:rsidP="00DA302A">
            <w:pPr>
              <w:jc w:val="both"/>
              <w:rPr>
                <w:rFonts w:ascii="Century Gothic" w:eastAsia="Times New Roman" w:hAnsi="Century Gothic" w:cs="Times New Roman"/>
                <w:sz w:val="18"/>
                <w:szCs w:val="18"/>
                <w:lang w:eastAsia="en-GB"/>
              </w:rPr>
            </w:pPr>
            <w:r>
              <w:rPr>
                <w:rFonts w:ascii="Century Gothic" w:eastAsia="Times New Roman" w:hAnsi="Century Gothic" w:cs="Times New Roman"/>
                <w:sz w:val="18"/>
                <w:szCs w:val="18"/>
                <w:lang w:eastAsia="en-GB"/>
              </w:rPr>
              <w:t>0</w:t>
            </w:r>
          </w:p>
        </w:tc>
        <w:tc>
          <w:tcPr>
            <w:tcW w:w="10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C444B30" w14:textId="77777777" w:rsidR="003831BC" w:rsidRPr="00BA313B" w:rsidRDefault="003831BC" w:rsidP="00DA302A">
            <w:pPr>
              <w:jc w:val="both"/>
              <w:rPr>
                <w:rFonts w:ascii="Century Gothic" w:hAnsi="Century Gothic" w:cs="Calibri"/>
                <w:color w:val="000000"/>
                <w:sz w:val="18"/>
                <w:szCs w:val="18"/>
                <w:lang w:eastAsia="en-GB"/>
              </w:rPr>
            </w:pPr>
            <w:r w:rsidRPr="00BA313B">
              <w:rPr>
                <w:rFonts w:ascii="Century Gothic" w:hAnsi="Century Gothic"/>
                <w:color w:val="000000"/>
                <w:sz w:val="18"/>
                <w:szCs w:val="18"/>
                <w:lang w:eastAsia="en-GB"/>
              </w:rPr>
              <w:t>2</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054CAD"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r>
      <w:tr w:rsidR="003831BC" w:rsidRPr="00BA313B" w14:paraId="5FC0CBC5" w14:textId="77777777" w:rsidTr="00DA302A">
        <w:trPr>
          <w:trHeight w:val="191"/>
        </w:trPr>
        <w:tc>
          <w:tcPr>
            <w:tcW w:w="9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398861E"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c>
          <w:tcPr>
            <w:tcW w:w="103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D5E2D7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2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036F78"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5</w:t>
            </w:r>
          </w:p>
        </w:tc>
        <w:tc>
          <w:tcPr>
            <w:tcW w:w="109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D839BD" w14:textId="77777777" w:rsidR="003831BC" w:rsidRPr="00BA313B" w:rsidRDefault="003831BC" w:rsidP="00DA302A">
            <w:pPr>
              <w:jc w:val="both"/>
              <w:rPr>
                <w:rFonts w:ascii="Century Gothic" w:hAnsi="Century Gothic"/>
                <w:color w:val="000000"/>
                <w:sz w:val="18"/>
                <w:szCs w:val="18"/>
                <w:lang w:eastAsia="en-GB"/>
              </w:rPr>
            </w:pPr>
            <w:r>
              <w:rPr>
                <w:rFonts w:ascii="Century Gothic" w:hAnsi="Century Gothic"/>
                <w:color w:val="000000"/>
                <w:sz w:val="18"/>
                <w:szCs w:val="18"/>
                <w:lang w:eastAsia="en-GB"/>
              </w:rPr>
              <w:t>0</w:t>
            </w:r>
          </w:p>
        </w:tc>
        <w:tc>
          <w:tcPr>
            <w:tcW w:w="135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2BFE20" w14:textId="77777777" w:rsidR="003831BC" w:rsidRPr="00BA313B" w:rsidRDefault="003831BC" w:rsidP="00DA302A">
            <w:pPr>
              <w:jc w:val="both"/>
              <w:rPr>
                <w:rFonts w:ascii="Century Gothic" w:hAnsi="Century Gothic" w:cs="Calibri"/>
                <w:color w:val="000000"/>
                <w:sz w:val="18"/>
                <w:szCs w:val="18"/>
                <w:lang w:eastAsia="en-GB"/>
              </w:rPr>
            </w:pPr>
            <w:r w:rsidRPr="00BA313B">
              <w:rPr>
                <w:rFonts w:ascii="Century Gothic" w:hAnsi="Century Gothic"/>
                <w:color w:val="000000"/>
                <w:sz w:val="18"/>
                <w:szCs w:val="18"/>
                <w:lang w:eastAsia="en-GB"/>
              </w:rPr>
              <w:t>7</w:t>
            </w:r>
          </w:p>
        </w:tc>
      </w:tr>
    </w:tbl>
    <w:p w14:paraId="02561C9C" w14:textId="77777777" w:rsidR="003831BC" w:rsidRDefault="003831BC" w:rsidP="003831BC">
      <w:pPr>
        <w:jc w:val="both"/>
        <w:rPr>
          <w:rFonts w:ascii="Century Gothic" w:hAnsi="Century Gothic"/>
        </w:rPr>
      </w:pPr>
    </w:p>
    <w:p w14:paraId="3C94508F" w14:textId="77777777" w:rsidR="003831BC" w:rsidRDefault="003831BC" w:rsidP="003831BC">
      <w:pPr>
        <w:jc w:val="both"/>
        <w:rPr>
          <w:rFonts w:ascii="Century Gothic" w:hAnsi="Century Gothic"/>
        </w:rPr>
      </w:pPr>
    </w:p>
    <w:p w14:paraId="20E34729" w14:textId="77777777" w:rsidR="003831BC" w:rsidRDefault="003831BC" w:rsidP="003831BC">
      <w:pPr>
        <w:jc w:val="both"/>
        <w:rPr>
          <w:rFonts w:ascii="Century Gothic" w:hAnsi="Century Gothic"/>
        </w:rPr>
      </w:pPr>
    </w:p>
    <w:p w14:paraId="4A2DA5C5" w14:textId="77777777" w:rsidR="003831BC" w:rsidRDefault="003831BC" w:rsidP="003831BC">
      <w:pPr>
        <w:jc w:val="both"/>
        <w:rPr>
          <w:rFonts w:ascii="Century Gothic" w:hAnsi="Century Gothic"/>
        </w:rPr>
      </w:pPr>
    </w:p>
    <w:p w14:paraId="543D410B" w14:textId="77777777" w:rsidR="003831BC" w:rsidRDefault="003831BC" w:rsidP="003831BC">
      <w:pPr>
        <w:jc w:val="both"/>
        <w:rPr>
          <w:rFonts w:ascii="Century Gothic" w:hAnsi="Century Gothic"/>
        </w:rPr>
      </w:pPr>
    </w:p>
    <w:tbl>
      <w:tblPr>
        <w:tblpPr w:leftFromText="180" w:rightFromText="180" w:vertAnchor="text" w:horzAnchor="margin" w:tblpY="186"/>
        <w:tblW w:w="4410" w:type="dxa"/>
        <w:tblCellMar>
          <w:left w:w="0" w:type="dxa"/>
          <w:right w:w="0" w:type="dxa"/>
        </w:tblCellMar>
        <w:tblLook w:val="04A0" w:firstRow="1" w:lastRow="0" w:firstColumn="1" w:lastColumn="0" w:noHBand="0" w:noVBand="1"/>
      </w:tblPr>
      <w:tblGrid>
        <w:gridCol w:w="1005"/>
        <w:gridCol w:w="1125"/>
        <w:gridCol w:w="1215"/>
        <w:gridCol w:w="1065"/>
      </w:tblGrid>
      <w:tr w:rsidR="003831BC" w:rsidRPr="00BA313B" w14:paraId="75FB1155" w14:textId="77777777" w:rsidTr="00DA302A">
        <w:trPr>
          <w:trHeight w:val="289"/>
        </w:trPr>
        <w:tc>
          <w:tcPr>
            <w:tcW w:w="1005" w:type="dxa"/>
            <w:tcBorders>
              <w:bottom w:val="single" w:sz="4" w:space="0" w:color="auto"/>
            </w:tcBorders>
            <w:noWrap/>
            <w:tcMar>
              <w:top w:w="0" w:type="dxa"/>
              <w:left w:w="108" w:type="dxa"/>
              <w:bottom w:w="0" w:type="dxa"/>
              <w:right w:w="108" w:type="dxa"/>
            </w:tcMar>
            <w:vAlign w:val="bottom"/>
            <w:hideMark/>
          </w:tcPr>
          <w:p w14:paraId="4CF531F7"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Cluster</w:t>
            </w:r>
          </w:p>
        </w:tc>
        <w:tc>
          <w:tcPr>
            <w:tcW w:w="1125" w:type="dxa"/>
            <w:tcBorders>
              <w:bottom w:val="single" w:sz="4" w:space="0" w:color="auto"/>
            </w:tcBorders>
            <w:noWrap/>
            <w:tcMar>
              <w:top w:w="0" w:type="dxa"/>
              <w:left w:w="108" w:type="dxa"/>
              <w:bottom w:w="0" w:type="dxa"/>
              <w:right w:w="108" w:type="dxa"/>
            </w:tcMar>
            <w:vAlign w:val="bottom"/>
            <w:hideMark/>
          </w:tcPr>
          <w:p w14:paraId="758AAAF1"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Basildon</w:t>
            </w:r>
          </w:p>
        </w:tc>
        <w:tc>
          <w:tcPr>
            <w:tcW w:w="1215" w:type="dxa"/>
            <w:tcBorders>
              <w:bottom w:val="single" w:sz="4" w:space="0" w:color="auto"/>
            </w:tcBorders>
            <w:noWrap/>
            <w:tcMar>
              <w:top w:w="0" w:type="dxa"/>
              <w:left w:w="108" w:type="dxa"/>
              <w:bottom w:w="0" w:type="dxa"/>
              <w:right w:w="108" w:type="dxa"/>
            </w:tcMar>
            <w:vAlign w:val="bottom"/>
            <w:hideMark/>
          </w:tcPr>
          <w:p w14:paraId="63CCD410"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Colchester</w:t>
            </w:r>
          </w:p>
        </w:tc>
        <w:tc>
          <w:tcPr>
            <w:tcW w:w="1065" w:type="dxa"/>
            <w:tcBorders>
              <w:bottom w:val="single" w:sz="4" w:space="0" w:color="auto"/>
            </w:tcBorders>
            <w:noWrap/>
            <w:tcMar>
              <w:top w:w="0" w:type="dxa"/>
              <w:left w:w="108" w:type="dxa"/>
              <w:bottom w:w="0" w:type="dxa"/>
              <w:right w:w="108" w:type="dxa"/>
            </w:tcMar>
            <w:vAlign w:val="bottom"/>
            <w:hideMark/>
          </w:tcPr>
          <w:p w14:paraId="43F05509"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Tendring</w:t>
            </w:r>
          </w:p>
        </w:tc>
      </w:tr>
      <w:tr w:rsidR="003831BC" w:rsidRPr="00BA313B" w14:paraId="4D1EC797" w14:textId="77777777" w:rsidTr="00DA302A">
        <w:trPr>
          <w:trHeight w:val="289"/>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BD4ECA1"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w:t>
            </w:r>
          </w:p>
        </w:tc>
        <w:tc>
          <w:tcPr>
            <w:tcW w:w="11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86B4FA"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88%</w:t>
            </w:r>
          </w:p>
        </w:tc>
        <w:tc>
          <w:tcPr>
            <w:tcW w:w="12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D9C884"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63%</w:t>
            </w:r>
          </w:p>
        </w:tc>
        <w:tc>
          <w:tcPr>
            <w:tcW w:w="1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EE46CC"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75%</w:t>
            </w:r>
          </w:p>
        </w:tc>
      </w:tr>
      <w:tr w:rsidR="003831BC" w:rsidRPr="00BA313B" w14:paraId="774906C2" w14:textId="77777777" w:rsidTr="00DA302A">
        <w:trPr>
          <w:trHeight w:val="289"/>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0DBD0A3"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w:t>
            </w:r>
          </w:p>
        </w:tc>
        <w:tc>
          <w:tcPr>
            <w:tcW w:w="11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DFBC73"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9%</w:t>
            </w:r>
          </w:p>
        </w:tc>
        <w:tc>
          <w:tcPr>
            <w:tcW w:w="12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14D93AB"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19%</w:t>
            </w:r>
          </w:p>
        </w:tc>
        <w:tc>
          <w:tcPr>
            <w:tcW w:w="1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826E5C2"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21%</w:t>
            </w:r>
          </w:p>
        </w:tc>
      </w:tr>
      <w:tr w:rsidR="003831BC" w:rsidRPr="00BA313B" w14:paraId="5EB13A5B" w14:textId="77777777" w:rsidTr="00DA302A">
        <w:trPr>
          <w:trHeight w:val="289"/>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954506"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3</w:t>
            </w:r>
          </w:p>
        </w:tc>
        <w:tc>
          <w:tcPr>
            <w:tcW w:w="11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85DD7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0%</w:t>
            </w:r>
          </w:p>
        </w:tc>
        <w:tc>
          <w:tcPr>
            <w:tcW w:w="12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8DA90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0%</w:t>
            </w:r>
          </w:p>
        </w:tc>
        <w:tc>
          <w:tcPr>
            <w:tcW w:w="1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9A04A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r>
      <w:tr w:rsidR="003831BC" w:rsidRPr="00BA313B" w14:paraId="0DCB21C0" w14:textId="77777777" w:rsidTr="00DA302A">
        <w:trPr>
          <w:trHeight w:val="289"/>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0189E2F"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c>
          <w:tcPr>
            <w:tcW w:w="112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B7944D8"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4%</w:t>
            </w:r>
          </w:p>
        </w:tc>
        <w:tc>
          <w:tcPr>
            <w:tcW w:w="121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652EF27"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19%</w:t>
            </w:r>
          </w:p>
        </w:tc>
        <w:tc>
          <w:tcPr>
            <w:tcW w:w="1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AD9F75" w14:textId="77777777" w:rsidR="003831BC" w:rsidRPr="00BA313B" w:rsidRDefault="003831BC" w:rsidP="00DA302A">
            <w:pPr>
              <w:jc w:val="both"/>
              <w:rPr>
                <w:rFonts w:ascii="Century Gothic" w:hAnsi="Century Gothic"/>
                <w:color w:val="000000"/>
                <w:sz w:val="18"/>
                <w:szCs w:val="18"/>
                <w:lang w:eastAsia="en-GB"/>
              </w:rPr>
            </w:pPr>
            <w:r w:rsidRPr="00BA313B">
              <w:rPr>
                <w:rFonts w:ascii="Century Gothic" w:hAnsi="Century Gothic"/>
                <w:color w:val="000000"/>
                <w:sz w:val="18"/>
                <w:szCs w:val="18"/>
                <w:lang w:eastAsia="en-GB"/>
              </w:rPr>
              <w:t>0%</w:t>
            </w:r>
          </w:p>
        </w:tc>
      </w:tr>
    </w:tbl>
    <w:p w14:paraId="44DA78D9" w14:textId="77777777" w:rsidR="003831BC" w:rsidRDefault="003831BC" w:rsidP="003831BC">
      <w:pPr>
        <w:jc w:val="both"/>
        <w:rPr>
          <w:rFonts w:ascii="Century Gothic" w:hAnsi="Century Gothic"/>
        </w:rPr>
      </w:pPr>
    </w:p>
    <w:p w14:paraId="0C5AFC38" w14:textId="77777777" w:rsidR="003831BC" w:rsidRDefault="003831BC" w:rsidP="003831BC">
      <w:pPr>
        <w:jc w:val="both"/>
        <w:rPr>
          <w:rFonts w:ascii="Century Gothic" w:hAnsi="Century Gothic"/>
        </w:rPr>
      </w:pPr>
    </w:p>
    <w:p w14:paraId="198AAC97" w14:textId="77777777" w:rsidR="003831BC" w:rsidRDefault="003831BC" w:rsidP="003831BC">
      <w:pPr>
        <w:jc w:val="both"/>
        <w:rPr>
          <w:rFonts w:ascii="Century Gothic" w:hAnsi="Century Gothic"/>
        </w:rPr>
      </w:pPr>
    </w:p>
    <w:p w14:paraId="780BD1D4" w14:textId="77777777" w:rsidR="003831BC" w:rsidRDefault="003831BC" w:rsidP="003831BC">
      <w:pPr>
        <w:jc w:val="both"/>
        <w:rPr>
          <w:rFonts w:ascii="Century Gothic" w:hAnsi="Century Gothic"/>
        </w:rPr>
      </w:pPr>
    </w:p>
    <w:p w14:paraId="787D9BF6" w14:textId="77777777" w:rsidR="003831BC" w:rsidRDefault="003831BC" w:rsidP="003831BC">
      <w:pPr>
        <w:jc w:val="both"/>
        <w:rPr>
          <w:rFonts w:ascii="Century Gothic" w:hAnsi="Century Gothic"/>
        </w:rPr>
      </w:pPr>
    </w:p>
    <w:p w14:paraId="05D52694" w14:textId="77777777" w:rsidR="003831BC" w:rsidRDefault="003831BC" w:rsidP="003831BC">
      <w:pPr>
        <w:jc w:val="both"/>
        <w:rPr>
          <w:rFonts w:ascii="Century Gothic" w:hAnsi="Century Gothic"/>
        </w:rPr>
      </w:pPr>
    </w:p>
    <w:p w14:paraId="5D35B921" w14:textId="77777777" w:rsidR="003831BC" w:rsidRPr="006F4AF7" w:rsidRDefault="003831BC" w:rsidP="003831BC">
      <w:pPr>
        <w:jc w:val="both"/>
        <w:rPr>
          <w:rFonts w:ascii="Century Gothic" w:hAnsi="Century Gothic"/>
          <w:sz w:val="22"/>
          <w:szCs w:val="22"/>
        </w:rPr>
      </w:pPr>
      <w:r w:rsidRPr="006F4AF7">
        <w:rPr>
          <w:rFonts w:ascii="Century Gothic" w:hAnsi="Century Gothic"/>
          <w:sz w:val="22"/>
          <w:szCs w:val="22"/>
        </w:rPr>
        <w:t xml:space="preserve">The spread of each cluster within the target districts is not even.  Notably, the highest proportion of LSOAs in cluster 1 was found in Tendring and Basildon Districts, and the highest proportion in cluster 2 in Colchester and Tendring. </w:t>
      </w:r>
    </w:p>
    <w:p w14:paraId="710C1E1F" w14:textId="77777777" w:rsidR="003831BC" w:rsidRPr="006F4AF7" w:rsidRDefault="003831BC" w:rsidP="003831BC">
      <w:pPr>
        <w:tabs>
          <w:tab w:val="left" w:pos="5352"/>
        </w:tabs>
        <w:spacing w:line="257" w:lineRule="auto"/>
        <w:jc w:val="both"/>
        <w:rPr>
          <w:rFonts w:ascii="Century Gothic" w:eastAsia="Century Gothic" w:hAnsi="Century Gothic" w:cs="Century Gothic"/>
          <w:sz w:val="22"/>
          <w:szCs w:val="22"/>
        </w:rPr>
      </w:pPr>
      <w:r w:rsidRPr="006F4AF7">
        <w:rPr>
          <w:rFonts w:ascii="Century Gothic" w:eastAsia="Century Gothic" w:hAnsi="Century Gothic" w:cs="Century Gothic"/>
          <w:sz w:val="22"/>
          <w:szCs w:val="22"/>
        </w:rPr>
        <w:t xml:space="preserve">The tables below show the number and proportion of LSOAs within each cluster by IMD 2019 Decile to examine relationships between cluster type and deprivation. </w:t>
      </w:r>
    </w:p>
    <w:p w14:paraId="78EC841E" w14:textId="77777777" w:rsidR="003831BC" w:rsidRPr="006F4AF7" w:rsidRDefault="003831BC" w:rsidP="003831BC">
      <w:pPr>
        <w:tabs>
          <w:tab w:val="left" w:pos="5352"/>
        </w:tabs>
        <w:spacing w:line="257" w:lineRule="auto"/>
        <w:jc w:val="both"/>
        <w:rPr>
          <w:rFonts w:ascii="Century Gothic" w:eastAsia="Century Gothic" w:hAnsi="Century Gothic" w:cs="Century Gothic"/>
          <w:sz w:val="22"/>
          <w:szCs w:val="22"/>
        </w:rPr>
      </w:pPr>
      <w:r w:rsidRPr="006F4AF7">
        <w:rPr>
          <w:rFonts w:ascii="Century Gothic" w:eastAsia="Century Gothic" w:hAnsi="Century Gothic" w:cs="Century Gothic"/>
          <w:sz w:val="22"/>
          <w:szCs w:val="22"/>
        </w:rPr>
        <w:t xml:space="preserve">There appears to be a socio-economic gradient presented here, whereby the LSOAs deemed most at risk of physical inactivity are LSOAs with relatively high levels of deprivation and LSOAs at least risk are LSOAs with relatively lower levels of deprivation. </w:t>
      </w:r>
    </w:p>
    <w:p w14:paraId="249572A7" w14:textId="77777777" w:rsidR="003831BC" w:rsidRPr="006F4AF7" w:rsidRDefault="003831BC" w:rsidP="003831BC">
      <w:pPr>
        <w:tabs>
          <w:tab w:val="left" w:pos="5352"/>
        </w:tabs>
        <w:spacing w:line="257" w:lineRule="auto"/>
        <w:jc w:val="both"/>
        <w:rPr>
          <w:rFonts w:ascii="Century Gothic" w:eastAsia="Century Gothic" w:hAnsi="Century Gothic" w:cs="Century Gothic"/>
          <w:sz w:val="22"/>
          <w:szCs w:val="22"/>
        </w:rPr>
      </w:pPr>
      <w:r w:rsidRPr="006F4AF7">
        <w:rPr>
          <w:rFonts w:ascii="Century Gothic" w:eastAsia="Century Gothic" w:hAnsi="Century Gothic" w:cs="Century Gothic"/>
          <w:sz w:val="22"/>
          <w:szCs w:val="22"/>
        </w:rPr>
        <w:t xml:space="preserve">Notably, 16% of all LSOAs in the very challenging </w:t>
      </w:r>
      <w:proofErr w:type="spellStart"/>
      <w:r w:rsidRPr="006F4AF7">
        <w:rPr>
          <w:rFonts w:ascii="Century Gothic" w:eastAsia="Century Gothic" w:hAnsi="Century Gothic" w:cs="Century Gothic"/>
          <w:sz w:val="22"/>
          <w:szCs w:val="22"/>
        </w:rPr>
        <w:t>inactives</w:t>
      </w:r>
      <w:proofErr w:type="spellEnd"/>
      <w:r w:rsidRPr="006F4AF7">
        <w:rPr>
          <w:rFonts w:ascii="Century Gothic" w:eastAsia="Century Gothic" w:hAnsi="Century Gothic" w:cs="Century Gothic"/>
          <w:sz w:val="22"/>
          <w:szCs w:val="22"/>
        </w:rPr>
        <w:t xml:space="preserve"> cluster (cluster 1), the cluster deemed most likely inactive, are amongst the top 10% most deprived LSOAs nationally and 22% of LSOAs in this cluster are amongst the top 20% most deprived LSOAs nationally.</w:t>
      </w:r>
    </w:p>
    <w:p w14:paraId="145C3EF9" w14:textId="77777777" w:rsidR="003831BC" w:rsidRPr="006F4AF7" w:rsidRDefault="003831BC" w:rsidP="003831BC">
      <w:pPr>
        <w:tabs>
          <w:tab w:val="left" w:pos="5352"/>
        </w:tabs>
        <w:spacing w:line="257" w:lineRule="auto"/>
        <w:jc w:val="both"/>
        <w:rPr>
          <w:rFonts w:ascii="Century Gothic" w:eastAsia="Century Gothic" w:hAnsi="Century Gothic" w:cs="Century Gothic"/>
          <w:sz w:val="22"/>
          <w:szCs w:val="22"/>
        </w:rPr>
      </w:pPr>
      <w:r w:rsidRPr="006F4AF7">
        <w:rPr>
          <w:rFonts w:ascii="Century Gothic" w:eastAsia="Century Gothic" w:hAnsi="Century Gothic" w:cs="Century Gothic"/>
          <w:sz w:val="22"/>
          <w:szCs w:val="22"/>
        </w:rPr>
        <w:t xml:space="preserve">In contrast, the clusters estimated to be the most physically active (clusters 3 and 4) are mostly all found in LSOAs that are amongst the top 50% to 10% least deprived LSOAs nationally. For example, 32% of all LSOAs in cluster 3 are amongst the top 10% least deprived LSOAs nationally and 27% of LSOAs in this cluster are amongst the top 20% least deprived LSOAs nationally. Very few LSOAs in cluster 3 and 4 have relatively high levels of deprivation. </w:t>
      </w:r>
    </w:p>
    <w:p w14:paraId="31E882D1" w14:textId="77777777" w:rsidR="003831BC" w:rsidRDefault="003831BC" w:rsidP="003831BC">
      <w:pPr>
        <w:tabs>
          <w:tab w:val="left" w:pos="5352"/>
        </w:tabs>
        <w:spacing w:line="257" w:lineRule="auto"/>
        <w:jc w:val="both"/>
      </w:pPr>
      <w:r>
        <w:rPr>
          <w:noProof/>
        </w:rPr>
        <w:drawing>
          <wp:inline distT="0" distB="0" distL="0" distR="0" wp14:anchorId="29665771" wp14:editId="56355A5F">
            <wp:extent cx="2747028" cy="1875217"/>
            <wp:effectExtent l="0" t="0" r="0" b="0"/>
            <wp:docPr id="565957420" name="Picture 56595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747028" cy="1875217"/>
                    </a:xfrm>
                    <a:prstGeom prst="rect">
                      <a:avLst/>
                    </a:prstGeom>
                  </pic:spPr>
                </pic:pic>
              </a:graphicData>
            </a:graphic>
          </wp:inline>
        </w:drawing>
      </w:r>
      <w:r>
        <w:rPr>
          <w:noProof/>
        </w:rPr>
        <w:drawing>
          <wp:inline distT="0" distB="0" distL="0" distR="0" wp14:anchorId="57D8E3EC" wp14:editId="36ACC6C7">
            <wp:extent cx="2629874" cy="1925297"/>
            <wp:effectExtent l="0" t="0" r="0" b="0"/>
            <wp:docPr id="2047922691" name="Picture 20479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629874" cy="1925297"/>
                    </a:xfrm>
                    <a:prstGeom prst="rect">
                      <a:avLst/>
                    </a:prstGeom>
                  </pic:spPr>
                </pic:pic>
              </a:graphicData>
            </a:graphic>
          </wp:inline>
        </w:drawing>
      </w:r>
    </w:p>
    <w:p w14:paraId="3FEF53C8" w14:textId="77777777" w:rsidR="003831BC" w:rsidRDefault="003831BC" w:rsidP="003831BC">
      <w:pPr>
        <w:tabs>
          <w:tab w:val="left" w:pos="5352"/>
        </w:tabs>
        <w:spacing w:line="257" w:lineRule="auto"/>
        <w:jc w:val="both"/>
      </w:pPr>
    </w:p>
    <w:p w14:paraId="5B6E00E9" w14:textId="77777777" w:rsidR="003831BC" w:rsidRPr="00435601" w:rsidRDefault="003831BC" w:rsidP="003831BC">
      <w:pPr>
        <w:jc w:val="both"/>
        <w:rPr>
          <w:sz w:val="22"/>
          <w:szCs w:val="22"/>
        </w:rPr>
      </w:pPr>
      <w:r w:rsidRPr="00435601">
        <w:rPr>
          <w:rFonts w:ascii="Century Gothic" w:hAnsi="Century Gothic"/>
          <w:sz w:val="22"/>
          <w:szCs w:val="22"/>
        </w:rPr>
        <w:t>Overall, Cluster 1 and 2 LSOAs tend to be located nearby to each other, and LSOAs within these clusters are also not very spread out. This map below shows the LSOAs classified by cluster across the whole of Essex, with the ELDP target districts and LSOAs highlighted.</w:t>
      </w:r>
    </w:p>
    <w:p w14:paraId="280520C6" w14:textId="16B0ECC7" w:rsidR="003831BC" w:rsidRDefault="003831BC">
      <w:pPr>
        <w:spacing w:after="160" w:line="259" w:lineRule="auto"/>
      </w:pPr>
      <w:r>
        <w:br w:type="page"/>
      </w:r>
    </w:p>
    <w:p w14:paraId="39DA7E21" w14:textId="77777777" w:rsidR="0051143B" w:rsidRDefault="0051143B">
      <w:pPr>
        <w:spacing w:after="160" w:line="259" w:lineRule="auto"/>
        <w:rPr>
          <w:rFonts w:ascii="Century Gothic" w:hAnsi="Century Gothic"/>
          <w:b/>
          <w:bCs/>
          <w:color w:val="D8117D"/>
        </w:rPr>
        <w:sectPr w:rsidR="0051143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pPr>
    </w:p>
    <w:p w14:paraId="42880F2E" w14:textId="77777777" w:rsidR="0051143B" w:rsidRPr="0051143B" w:rsidRDefault="0051143B" w:rsidP="0051143B">
      <w:pPr>
        <w:rPr>
          <w:rFonts w:ascii="Century Gothic" w:hAnsi="Century Gothic"/>
          <w:b/>
          <w:bCs/>
          <w:i/>
          <w:iCs/>
          <w:noProof/>
          <w:color w:val="D8117D"/>
          <w:sz w:val="28"/>
          <w:szCs w:val="28"/>
        </w:rPr>
      </w:pPr>
      <w:bookmarkStart w:id="27" w:name="_Toc35427944"/>
      <w:bookmarkStart w:id="28" w:name="_Toc50541346"/>
      <w:r w:rsidRPr="0051143B">
        <w:rPr>
          <w:rFonts w:ascii="Century Gothic" w:hAnsi="Century Gothic"/>
          <w:b/>
          <w:bCs/>
          <w:i/>
          <w:iCs/>
          <w:noProof/>
          <w:color w:val="D8117D"/>
          <w:sz w:val="28"/>
          <w:szCs w:val="28"/>
        </w:rPr>
        <w:t>Essex Map of Clusters</w:t>
      </w:r>
      <w:bookmarkEnd w:id="27"/>
      <w:bookmarkEnd w:id="28"/>
    </w:p>
    <w:p w14:paraId="1EED1AFD" w14:textId="4A643F55" w:rsidR="0051143B" w:rsidRDefault="0051143B">
      <w:pPr>
        <w:spacing w:after="160" w:line="259" w:lineRule="auto"/>
        <w:rPr>
          <w:rFonts w:ascii="Century Gothic" w:eastAsiaTheme="majorEastAsia" w:hAnsi="Century Gothic" w:cstheme="majorBidi"/>
          <w:b/>
          <w:bCs/>
          <w:color w:val="D8117D"/>
          <w:sz w:val="32"/>
          <w:szCs w:val="32"/>
        </w:rPr>
      </w:pPr>
      <w:r w:rsidRPr="00BA313B">
        <w:rPr>
          <w:rFonts w:ascii="Century Gothic" w:hAnsi="Century Gothic"/>
          <w:noProof/>
        </w:rPr>
        <w:drawing>
          <wp:inline distT="0" distB="0" distL="0" distR="0" wp14:anchorId="02DE83C3" wp14:editId="52230BC1">
            <wp:extent cx="8863330" cy="529011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994"/>
                    <a:stretch/>
                  </pic:blipFill>
                  <pic:spPr bwMode="auto">
                    <a:xfrm>
                      <a:off x="0" y="0"/>
                      <a:ext cx="8863330" cy="52901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b/>
          <w:bCs/>
          <w:color w:val="D8117D"/>
        </w:rPr>
        <w:br w:type="page"/>
      </w:r>
    </w:p>
    <w:p w14:paraId="608EC09A" w14:textId="77777777" w:rsidR="0051143B" w:rsidRDefault="0051143B" w:rsidP="003831BC">
      <w:pPr>
        <w:pStyle w:val="Heading1"/>
        <w:numPr>
          <w:ilvl w:val="0"/>
          <w:numId w:val="9"/>
        </w:numPr>
        <w:jc w:val="both"/>
        <w:rPr>
          <w:rFonts w:ascii="Century Gothic" w:hAnsi="Century Gothic"/>
          <w:b/>
          <w:bCs/>
          <w:color w:val="D8117D"/>
        </w:rPr>
        <w:sectPr w:rsidR="0051143B" w:rsidSect="0051143B">
          <w:pgSz w:w="16838" w:h="11906" w:orient="landscape"/>
          <w:pgMar w:top="1440" w:right="1440" w:bottom="1440" w:left="1440" w:header="709" w:footer="709" w:gutter="0"/>
          <w:cols w:space="708"/>
          <w:docGrid w:linePitch="360"/>
        </w:sectPr>
      </w:pPr>
    </w:p>
    <w:p w14:paraId="3B63551F" w14:textId="555CB4BE" w:rsidR="003831BC" w:rsidRDefault="003831BC" w:rsidP="003831BC">
      <w:pPr>
        <w:pStyle w:val="Heading1"/>
        <w:numPr>
          <w:ilvl w:val="0"/>
          <w:numId w:val="9"/>
        </w:numPr>
        <w:jc w:val="both"/>
        <w:rPr>
          <w:rFonts w:ascii="Century Gothic" w:hAnsi="Century Gothic"/>
          <w:b/>
          <w:bCs/>
          <w:color w:val="D8117D"/>
        </w:rPr>
      </w:pPr>
      <w:bookmarkStart w:id="29" w:name="_Toc50553609"/>
      <w:r>
        <w:rPr>
          <w:rFonts w:ascii="Century Gothic" w:hAnsi="Century Gothic"/>
          <w:b/>
          <w:bCs/>
          <w:color w:val="D8117D"/>
        </w:rPr>
        <w:t>Conclusions and recommendations</w:t>
      </w:r>
      <w:bookmarkEnd w:id="29"/>
    </w:p>
    <w:p w14:paraId="6CC548CC" w14:textId="77777777" w:rsidR="003831BC" w:rsidRDefault="003831BC" w:rsidP="003831BC">
      <w:pPr>
        <w:jc w:val="both"/>
      </w:pPr>
    </w:p>
    <w:p w14:paraId="67869F56"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This report has provided a brief description of the methodology, and resultant findings, of the work </w:t>
      </w:r>
      <w:proofErr w:type="spellStart"/>
      <w:r w:rsidRPr="00435601">
        <w:rPr>
          <w:rFonts w:ascii="Century Gothic" w:eastAsia="Century Gothic" w:hAnsi="Century Gothic" w:cs="Century Gothic"/>
          <w:sz w:val="22"/>
          <w:szCs w:val="22"/>
        </w:rPr>
        <w:t>ecda</w:t>
      </w:r>
      <w:proofErr w:type="spellEnd"/>
      <w:r w:rsidRPr="00435601">
        <w:rPr>
          <w:rFonts w:ascii="Century Gothic" w:eastAsia="Century Gothic" w:hAnsi="Century Gothic" w:cs="Century Gothic"/>
          <w:sz w:val="22"/>
          <w:szCs w:val="22"/>
        </w:rPr>
        <w:t xml:space="preserve"> has undertaken for the ELDP to estimate inactivity at a local level. While Sport England’s Active Lives Survey provides levels of physical activity at district level, little is known on a more granular level. The work we have done has been an attempt to fill this gap using data available from open data sources.</w:t>
      </w:r>
    </w:p>
    <w:p w14:paraId="329B8F5E"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This final section of report will provide some recommendations for next steps, and for how this analysis and the accompanying dashboard should be used. First, this conclusion will serve to restate the key outcomes of this project:</w:t>
      </w:r>
    </w:p>
    <w:p w14:paraId="14D7DCEC"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The creation of a score to serve as an indicator for inactivity for each LSOA.</w:t>
      </w:r>
    </w:p>
    <w:p w14:paraId="3843000F"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In order to estimate levels of inactivity at LSOA level, we used data provided to us by Sport England to create a risk score which measures the extent of the barriers to physical activity in each area.</w:t>
      </w:r>
    </w:p>
    <w:p w14:paraId="7D660D5F"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We identified ten data themes related to barriers to physical inactivity. In order to create a </w:t>
      </w:r>
      <w:proofErr w:type="gramStart"/>
      <w:r w:rsidRPr="00435601">
        <w:rPr>
          <w:rFonts w:ascii="Century Gothic" w:eastAsia="Century Gothic" w:hAnsi="Century Gothic" w:cs="Century Gothic"/>
          <w:sz w:val="22"/>
          <w:szCs w:val="22"/>
        </w:rPr>
        <w:t>risk</w:t>
      </w:r>
      <w:proofErr w:type="gramEnd"/>
      <w:r w:rsidRPr="00435601">
        <w:rPr>
          <w:rFonts w:ascii="Century Gothic" w:eastAsia="Century Gothic" w:hAnsi="Century Gothic" w:cs="Century Gothic"/>
          <w:sz w:val="22"/>
          <w:szCs w:val="22"/>
        </w:rPr>
        <w:t xml:space="preserve"> score we needed to understand which of these themes had the biggest impact on physical activity so that this data could be weighted accordingly. </w:t>
      </w:r>
    </w:p>
    <w:p w14:paraId="4F1BF21E"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The physical activity score is ultimately is an average of all the average decile scores for each theme, with the themes which are more important for physical activity being weighted higher than those with lesser impact. </w:t>
      </w:r>
    </w:p>
    <w:p w14:paraId="7E24456E"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This score is an abstraction of physical activity levels, an abstraction based on proxy indicators. It should therefore be used a guide for determining the extent of the barriers to physical activity in an area, but it is not a measure of physical activity rates. Instead, it is a measure of the likely presence of drivers to physical activity within each LSOA.</w:t>
      </w:r>
    </w:p>
    <w:p w14:paraId="508899AD"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Health has the biggest impact on physical activity.</w:t>
      </w:r>
    </w:p>
    <w:p w14:paraId="237C607C"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Through the regression analysis undertaken to inform the weighting for the physical activity risk scores, data on health was identified as the biggest likely driver of physical inactivity. This is not necessarily surprising, it follows that LSOAs with poorer health outcomes are also more likely to be inactive.</w:t>
      </w:r>
    </w:p>
    <w:p w14:paraId="758E3854"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However, there is more to physical inactivity than simply poor health. Other factors relating to the area you live in also have an impact on the risk of an LSOA being inactive. In order, these are:</w:t>
      </w:r>
    </w:p>
    <w:p w14:paraId="6C13F310"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The local economy (e.g. worklessness)</w:t>
      </w:r>
    </w:p>
    <w:p w14:paraId="54609317"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The presence of vulnerable groups (e.g. high presence of people with disabilities, carers, older people living alone)</w:t>
      </w:r>
    </w:p>
    <w:p w14:paraId="17F7B0F3"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Active Lives measures (e.g. Sport England’s MSOA modelled estimates of whether an area has high participation in sport)</w:t>
      </w:r>
    </w:p>
    <w:p w14:paraId="144C1AB8"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Crime (e.g. rates of different types of crime per 1,000 population)</w:t>
      </w:r>
    </w:p>
    <w:p w14:paraId="46A9C069"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Access and transport (e.g. from internet infrastructure to travel times to nearest facilities)</w:t>
      </w:r>
    </w:p>
    <w:p w14:paraId="7947657E"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Housing (e.g. housing tenure, condition and affordability)</w:t>
      </w:r>
    </w:p>
    <w:p w14:paraId="430D7B73"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Education and skills (e.g. pupil attainment levels)</w:t>
      </w:r>
    </w:p>
    <w:p w14:paraId="7745BB2C"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Communities and environment (e.g. greenspace coverage, retail environment and sense of ‘belonging’)</w:t>
      </w:r>
    </w:p>
    <w:p w14:paraId="492A835D" w14:textId="77777777" w:rsidR="003831BC" w:rsidRPr="00435601" w:rsidRDefault="003831BC" w:rsidP="003831BC">
      <w:pPr>
        <w:pStyle w:val="ListParagraph"/>
        <w:numPr>
          <w:ilvl w:val="0"/>
          <w:numId w:val="34"/>
        </w:numPr>
        <w:jc w:val="both"/>
        <w:rPr>
          <w:sz w:val="22"/>
          <w:szCs w:val="22"/>
        </w:rPr>
      </w:pPr>
      <w:r w:rsidRPr="00435601">
        <w:rPr>
          <w:rFonts w:ascii="Century Gothic" w:eastAsia="Century Gothic" w:hAnsi="Century Gothic" w:cs="Century Gothic"/>
          <w:sz w:val="22"/>
          <w:szCs w:val="22"/>
        </w:rPr>
        <w:t>Population factors (e.g. presence of population groups at risk of having more barriers to being physically active, such as single parent households)</w:t>
      </w:r>
    </w:p>
    <w:p w14:paraId="7EFE74B4"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All these factors should be acknowledged and assessed to identify likely barriers to activity in each LSOA, with interventions designed with these barriers in mind.</w:t>
      </w:r>
    </w:p>
    <w:p w14:paraId="02D00924"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On average, Essex scores better for physical activity than the national average. Despite this, there are pockets of areas at risk of physical inactivity.</w:t>
      </w:r>
    </w:p>
    <w:p w14:paraId="01FB655A"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We have calculated a physical activity risk score for each LSOA in England, which is available in the datasets we have created for further analysis. As such, this allows us to see how Essex scores in comparison to other areas in England.</w:t>
      </w:r>
    </w:p>
    <w:p w14:paraId="246BD4D0"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In terms of the overall physical activity risk score, Essex, on average, scores better for physical activity than the national average, with Essex scoring 7.07, compared to the national average of 6.79. However, the districts of Tendring, Harlow, Basildon, Castle Point, Braintree and Colchester score lower than the Essex average and should therefore be the focus of the work of the ELDP. </w:t>
      </w:r>
    </w:p>
    <w:p w14:paraId="57CFF2FE"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Physical activity is likely to be lower in deprived areas. Deprived areas also pose significant challenges to physical activity across the ten data themes, although there are some exceptions.</w:t>
      </w:r>
    </w:p>
    <w:p w14:paraId="5FA9DEC0"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Largely, deprived areas score worse in their physical activity risk score when compared with district average figures. On average, deprived LSOAs in Essex score 5.98 in their physical activity risk score, compared with the Essex average of 7.07.</w:t>
      </w:r>
    </w:p>
    <w:p w14:paraId="12D35BD9"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When looking at the ten themes, deprived areas largely score worse, indicating </w:t>
      </w:r>
      <w:proofErr w:type="gramStart"/>
      <w:r w:rsidRPr="00435601">
        <w:rPr>
          <w:rFonts w:ascii="Century Gothic" w:eastAsia="Century Gothic" w:hAnsi="Century Gothic" w:cs="Century Gothic"/>
          <w:sz w:val="22"/>
          <w:szCs w:val="22"/>
        </w:rPr>
        <w:t>a number of</w:t>
      </w:r>
      <w:proofErr w:type="gramEnd"/>
      <w:r w:rsidRPr="00435601">
        <w:rPr>
          <w:rFonts w:ascii="Century Gothic" w:eastAsia="Century Gothic" w:hAnsi="Century Gothic" w:cs="Century Gothic"/>
          <w:sz w:val="22"/>
          <w:szCs w:val="22"/>
        </w:rPr>
        <w:t xml:space="preserve"> challenges to increasing physical activity in each LSOA. Each LSOA is different however, with some deprived areas performing better in some themes than others.</w:t>
      </w:r>
    </w:p>
    <w:p w14:paraId="51773D1E"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The only themes in which the link between deprivation and lower physical activity scores is less clear is in access and transport and communities and environment. </w:t>
      </w:r>
      <w:proofErr w:type="gramStart"/>
      <w:r w:rsidRPr="00435601">
        <w:rPr>
          <w:rFonts w:ascii="Century Gothic" w:eastAsia="Century Gothic" w:hAnsi="Century Gothic" w:cs="Century Gothic"/>
          <w:sz w:val="22"/>
          <w:szCs w:val="22"/>
        </w:rPr>
        <w:t>Both of these</w:t>
      </w:r>
      <w:proofErr w:type="gramEnd"/>
      <w:r w:rsidRPr="00435601">
        <w:rPr>
          <w:rFonts w:ascii="Century Gothic" w:eastAsia="Century Gothic" w:hAnsi="Century Gothic" w:cs="Century Gothic"/>
          <w:sz w:val="22"/>
          <w:szCs w:val="22"/>
        </w:rPr>
        <w:t xml:space="preserve"> themes pertain to accessibility to facilities, transport links, local infrastructure to the local retail offer. In these cases, isolation from central facilities and services is likely to be a bigger factor than deprivation. Housing is also a theme in which the link is less clear, but this could be driven by poorer housing affordability in less deprived areas.</w:t>
      </w:r>
    </w:p>
    <w:p w14:paraId="667084F5"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 xml:space="preserve">The creation of clusters allows us to group areas </w:t>
      </w:r>
      <w:proofErr w:type="gramStart"/>
      <w:r w:rsidRPr="00435601">
        <w:rPr>
          <w:rFonts w:ascii="Century Gothic" w:eastAsia="Century Gothic" w:hAnsi="Century Gothic" w:cs="Century Gothic"/>
          <w:b/>
          <w:bCs/>
          <w:sz w:val="22"/>
          <w:szCs w:val="22"/>
        </w:rPr>
        <w:t>on the basis of</w:t>
      </w:r>
      <w:proofErr w:type="gramEnd"/>
      <w:r w:rsidRPr="00435601">
        <w:rPr>
          <w:rFonts w:ascii="Century Gothic" w:eastAsia="Century Gothic" w:hAnsi="Century Gothic" w:cs="Century Gothic"/>
          <w:b/>
          <w:bCs/>
          <w:sz w:val="22"/>
          <w:szCs w:val="22"/>
        </w:rPr>
        <w:t xml:space="preserve"> having shared barriers to physical activity. Interventions can be designed with groups of LSOAs in mind.</w:t>
      </w:r>
    </w:p>
    <w:p w14:paraId="05A99BC6"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There are 872 LSOAs in the county of Essex, and while interpreting the results of each one may be necessary for some interventions, the creation of clusters allows us to group LSOAs based on their shared characteristics. As part of our analysis, we created four clusters, in which LSOAs were grouped </w:t>
      </w:r>
      <w:proofErr w:type="gramStart"/>
      <w:r w:rsidRPr="00435601">
        <w:rPr>
          <w:rFonts w:ascii="Century Gothic" w:eastAsia="Century Gothic" w:hAnsi="Century Gothic" w:cs="Century Gothic"/>
          <w:sz w:val="22"/>
          <w:szCs w:val="22"/>
        </w:rPr>
        <w:t>on the basis of</w:t>
      </w:r>
      <w:proofErr w:type="gramEnd"/>
      <w:r w:rsidRPr="00435601">
        <w:rPr>
          <w:rFonts w:ascii="Century Gothic" w:eastAsia="Century Gothic" w:hAnsi="Century Gothic" w:cs="Century Gothic"/>
          <w:sz w:val="22"/>
          <w:szCs w:val="22"/>
        </w:rPr>
        <w:t xml:space="preserve"> them having similar decile scores across the ten themes. This allows us to see which areas have similar challenges in order to design interventions intended for wider areas. </w:t>
      </w:r>
    </w:p>
    <w:p w14:paraId="56C9BC91"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Clusters 1 and 2 were LSOAs with lower physical activity scores. </w:t>
      </w:r>
      <w:proofErr w:type="gramStart"/>
      <w:r w:rsidRPr="00435601">
        <w:rPr>
          <w:rFonts w:ascii="Century Gothic" w:eastAsia="Century Gothic" w:hAnsi="Century Gothic" w:cs="Century Gothic"/>
          <w:sz w:val="22"/>
          <w:szCs w:val="22"/>
        </w:rPr>
        <w:t>Both of these</w:t>
      </w:r>
      <w:proofErr w:type="gramEnd"/>
      <w:r w:rsidRPr="00435601">
        <w:rPr>
          <w:rFonts w:ascii="Century Gothic" w:eastAsia="Century Gothic" w:hAnsi="Century Gothic" w:cs="Century Gothic"/>
          <w:sz w:val="22"/>
          <w:szCs w:val="22"/>
        </w:rPr>
        <w:t xml:space="preserve"> clusters experience barriers to physical activity and should be the areas the ELDP focus on when designing interventions. 78% of the deprived LSOAs in the ELDP’s target districts of Basildon, Colchester and Tendring fall within cluster 1, and 16% in cluster 2. </w:t>
      </w:r>
    </w:p>
    <w:p w14:paraId="1453E503"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Cluster 1 is likely to experience challenges relating to crime, education and skills, population groups at risk of inactivity and presence of vulnerable groups. Cluster 2 experiences similar challenges to a slightly lesser </w:t>
      </w:r>
      <w:proofErr w:type="gramStart"/>
      <w:r w:rsidRPr="00435601">
        <w:rPr>
          <w:rFonts w:ascii="Century Gothic" w:eastAsia="Century Gothic" w:hAnsi="Century Gothic" w:cs="Century Gothic"/>
          <w:sz w:val="22"/>
          <w:szCs w:val="22"/>
        </w:rPr>
        <w:t>extent, but</w:t>
      </w:r>
      <w:proofErr w:type="gramEnd"/>
      <w:r w:rsidRPr="00435601">
        <w:rPr>
          <w:rFonts w:ascii="Century Gothic" w:eastAsia="Century Gothic" w:hAnsi="Century Gothic" w:cs="Century Gothic"/>
          <w:sz w:val="22"/>
          <w:szCs w:val="22"/>
        </w:rPr>
        <w:t xml:space="preserve"> score quite well on crime.</w:t>
      </w:r>
    </w:p>
    <w:p w14:paraId="718571DD" w14:textId="77777777" w:rsidR="003831BC" w:rsidRPr="00435601" w:rsidRDefault="003831BC" w:rsidP="003831BC">
      <w:pPr>
        <w:jc w:val="both"/>
        <w:rPr>
          <w:sz w:val="22"/>
          <w:szCs w:val="22"/>
        </w:rPr>
      </w:pPr>
      <w:r w:rsidRPr="00435601">
        <w:rPr>
          <w:rFonts w:ascii="Century Gothic" w:eastAsia="Century Gothic" w:hAnsi="Century Gothic" w:cs="Century Gothic"/>
          <w:b/>
          <w:bCs/>
          <w:sz w:val="22"/>
          <w:szCs w:val="22"/>
        </w:rPr>
        <w:t>The ELDP’s target areas are likely to experience lower rates in physical inactivity, but there are pockets of inactive areas that could be targeted if the scope of the pilot is expanded.</w:t>
      </w:r>
    </w:p>
    <w:p w14:paraId="276E19F5"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 xml:space="preserve">The ELDP’s initial focus was on the most deprived areas of Basildon, Colchester and Tendring. Through our analysis by theme, most of the barriers to inactivity are experienced in the more deprived areas of Essex. As such, the ELDP is correct to focus on these areas to improve physical activity. </w:t>
      </w:r>
    </w:p>
    <w:p w14:paraId="45E68A6B"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However, the districts of Braintree, Castle Point and Harlow could be the next areas to target if pilots go well. All three of these districts score lower than the Essex average, and all have pockets of deprivation. Some interventions trialled in Basildon, Colchester and Tendring could be expanded into these areas next, with the dashboard and data produced as part of this project used to identify similar areas in Braintree, Castle Point and Harlow in which successful interventions could be replicated.</w:t>
      </w:r>
    </w:p>
    <w:p w14:paraId="3859107A" w14:textId="77777777" w:rsidR="003831BC" w:rsidRDefault="003831BC" w:rsidP="003831BC">
      <w:pPr>
        <w:jc w:val="both"/>
      </w:pPr>
    </w:p>
    <w:p w14:paraId="4BD9D77C" w14:textId="77777777" w:rsidR="003831BC" w:rsidRDefault="003831BC" w:rsidP="003831BC">
      <w:pPr>
        <w:pStyle w:val="Heading2"/>
        <w:numPr>
          <w:ilvl w:val="1"/>
          <w:numId w:val="9"/>
        </w:numPr>
        <w:jc w:val="both"/>
        <w:rPr>
          <w:rFonts w:ascii="Century Gothic" w:hAnsi="Century Gothic"/>
          <w:b/>
          <w:bCs/>
          <w:i/>
          <w:iCs/>
          <w:color w:val="D8117D"/>
        </w:rPr>
      </w:pPr>
      <w:bookmarkStart w:id="30" w:name="_Toc50553610"/>
      <w:r w:rsidRPr="63BF0907">
        <w:rPr>
          <w:rFonts w:ascii="Century Gothic" w:hAnsi="Century Gothic"/>
          <w:b/>
          <w:bCs/>
          <w:i/>
          <w:iCs/>
          <w:color w:val="D8117D"/>
        </w:rPr>
        <w:t>Recommendations for further research and analysis</w:t>
      </w:r>
      <w:bookmarkEnd w:id="30"/>
    </w:p>
    <w:p w14:paraId="7F2C8E9A" w14:textId="77777777" w:rsidR="003831BC" w:rsidRDefault="003831BC" w:rsidP="003831BC"/>
    <w:p w14:paraId="6B67B2FD" w14:textId="77777777" w:rsidR="003831BC" w:rsidRPr="00435601" w:rsidRDefault="003831BC" w:rsidP="003831BC">
      <w:pPr>
        <w:jc w:val="both"/>
        <w:rPr>
          <w:sz w:val="22"/>
          <w:szCs w:val="22"/>
        </w:rPr>
      </w:pPr>
      <w:r w:rsidRPr="00435601">
        <w:rPr>
          <w:rFonts w:ascii="Century Gothic" w:eastAsia="Century Gothic" w:hAnsi="Century Gothic" w:cs="Century Gothic"/>
          <w:sz w:val="22"/>
          <w:szCs w:val="22"/>
        </w:rPr>
        <w:t>As stated, our work provides an estimate based on the risk of physical activity by LSOA. This is a starting point for further research and analysis, and our suggested next steps are outlined below:</w:t>
      </w:r>
    </w:p>
    <w:p w14:paraId="044A764C" w14:textId="77777777" w:rsidR="003831BC" w:rsidRPr="00435601" w:rsidRDefault="003831BC" w:rsidP="003831BC">
      <w:pPr>
        <w:pStyle w:val="ListParagraph"/>
        <w:ind w:left="0"/>
        <w:jc w:val="both"/>
        <w:rPr>
          <w:rFonts w:ascii="Century Gothic" w:hAnsi="Century Gothic"/>
          <w:b/>
          <w:bCs/>
          <w:sz w:val="22"/>
          <w:szCs w:val="22"/>
        </w:rPr>
      </w:pPr>
      <w:r w:rsidRPr="00435601">
        <w:rPr>
          <w:rFonts w:ascii="Century Gothic" w:hAnsi="Century Gothic"/>
          <w:b/>
          <w:bCs/>
          <w:sz w:val="22"/>
          <w:szCs w:val="22"/>
        </w:rPr>
        <w:t>Analysis of the impact of the COVID-19 pandemic.</w:t>
      </w:r>
    </w:p>
    <w:p w14:paraId="37A8E1C1"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data collected, and the subsequent analysis during this project, was all undertaken before the COVID-19 pandemic. As such, work may have to be done to analyse and understand the impact of COVID-19 on not only local physical activity levels, but also the drivers and barriers present within communities to partaking in physical activity. It is difficult to anticipate the extent of these impacts and how long this would, in turn, take to be seen in the measures, and this could also depend on the pace of lockdown easing restrictions set by the UK Government. Nonetheless, it would be interesting for further research to examine whether barriers and drivers to physical activity have changed as a result of lockdown and the changing public behaviours. This may need to be an iterative process as the impact of COVID-19 is more fully understood over the coming months and years, and as the dataflows required to examine this at a low-geographical level across such a range of measures becomes available. </w:t>
      </w:r>
    </w:p>
    <w:p w14:paraId="64E98007"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This analysis, and the physical activity dashboard, should be used as the platform for further research and qualitative engagement.</w:t>
      </w:r>
    </w:p>
    <w:p w14:paraId="6CE1815B"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By understanding the extent of different barriers to physical activity in each LSOA, targeted community engagement can be undertaken from an informed position into the likely issues in each area, meaning qualitative surveys and interviews can be focused on issues specific to the community of interest.</w:t>
      </w:r>
    </w:p>
    <w:p w14:paraId="222C60B8" w14:textId="77777777" w:rsidR="003831BC" w:rsidRPr="00435601" w:rsidRDefault="003831BC" w:rsidP="003831BC">
      <w:pPr>
        <w:spacing w:line="257" w:lineRule="auto"/>
        <w:jc w:val="both"/>
        <w:rPr>
          <w:sz w:val="22"/>
          <w:szCs w:val="22"/>
        </w:rPr>
      </w:pPr>
      <w:r w:rsidRPr="00435601">
        <w:rPr>
          <w:rFonts w:ascii="Century Gothic" w:eastAsia="Century Gothic" w:hAnsi="Century Gothic" w:cs="Century Gothic"/>
          <w:b/>
          <w:bCs/>
          <w:sz w:val="22"/>
          <w:szCs w:val="22"/>
        </w:rPr>
        <w:t>More data could be added to the tool to provide even greater levels of actionable insight.</w:t>
      </w:r>
    </w:p>
    <w:p w14:paraId="1B87329C" w14:textId="77777777" w:rsidR="003831BC" w:rsidRPr="00435601" w:rsidRDefault="003831BC" w:rsidP="003831BC">
      <w:pPr>
        <w:spacing w:line="257" w:lineRule="auto"/>
        <w:jc w:val="both"/>
        <w:rPr>
          <w:rFonts w:ascii="Century Gothic" w:eastAsia="Century Gothic" w:hAnsi="Century Gothic" w:cs="Century Gothic"/>
          <w:sz w:val="22"/>
          <w:szCs w:val="22"/>
        </w:rPr>
      </w:pPr>
      <w:r w:rsidRPr="00435601">
        <w:rPr>
          <w:rFonts w:ascii="Century Gothic" w:eastAsia="Century Gothic" w:hAnsi="Century Gothic" w:cs="Century Gothic"/>
          <w:sz w:val="22"/>
          <w:szCs w:val="22"/>
        </w:rPr>
        <w:t xml:space="preserve">The ELDP </w:t>
      </w:r>
      <w:proofErr w:type="spellStart"/>
      <w:r w:rsidRPr="00435601">
        <w:rPr>
          <w:rFonts w:ascii="Century Gothic" w:eastAsia="Century Gothic" w:hAnsi="Century Gothic" w:cs="Century Gothic"/>
          <w:sz w:val="22"/>
          <w:szCs w:val="22"/>
        </w:rPr>
        <w:t>ecda</w:t>
      </w:r>
      <w:proofErr w:type="spellEnd"/>
      <w:r w:rsidRPr="00435601">
        <w:rPr>
          <w:rFonts w:ascii="Century Gothic" w:eastAsia="Century Gothic" w:hAnsi="Century Gothic" w:cs="Century Gothic"/>
          <w:sz w:val="22"/>
          <w:szCs w:val="22"/>
        </w:rPr>
        <w:t xml:space="preserve"> Physical Activity dashboard holds a wide range of data covering every LSOA across Essex, giving insight into the area’s estimated physical inactivity levels and drivers for this spanning 10 themes. However, there are still gaps present in the dataset. For example, there are 41 variables pertaining to levels of crime in an area over time, but we do not know the extent that this could affect the residents in those areas and therefore any further barriers to physical activity, such as the levels of fear of crime. Further gaps in the dataset could be re</w:t>
      </w:r>
      <w:r>
        <w:rPr>
          <w:rFonts w:ascii="Century Gothic" w:eastAsia="Century Gothic" w:hAnsi="Century Gothic" w:cs="Century Gothic"/>
          <w:sz w:val="22"/>
          <w:szCs w:val="22"/>
        </w:rPr>
        <w:t>sourced</w:t>
      </w:r>
      <w:r w:rsidRPr="00435601">
        <w:rPr>
          <w:rFonts w:ascii="Century Gothic" w:eastAsia="Century Gothic" w:hAnsi="Century Gothic" w:cs="Century Gothic"/>
          <w:sz w:val="22"/>
          <w:szCs w:val="22"/>
        </w:rPr>
        <w:t xml:space="preserve"> through the current knowledge held by the ELDP and partners on their local communities and through any further work conducted examining determinants of physical activity.  It is therefore recommended that additional data be sourced and added to the tool where possible in order to provide an even greater level of insight into factors which may need addressing by the ELDP programmes in order to tackle physical activity in Essex in an effective and sustainable way.</w:t>
      </w:r>
    </w:p>
    <w:p w14:paraId="2CAD5441"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Our work provides insight into areas, but more can be done to understand public behaviours.</w:t>
      </w:r>
    </w:p>
    <w:p w14:paraId="10860354"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Our tool gives us an understanding of geographies and places, which provides insight to create interventions appropriate for different areas of Essex. More work could be done to align the measures within this analysis to the COM-B model. This is a model of behaviour which is used to identify what specific elements need to change </w:t>
      </w:r>
      <w:proofErr w:type="gramStart"/>
      <w:r w:rsidRPr="00435601">
        <w:rPr>
          <w:rFonts w:ascii="Century Gothic" w:hAnsi="Century Gothic"/>
          <w:sz w:val="22"/>
          <w:szCs w:val="22"/>
        </w:rPr>
        <w:t>in order for</w:t>
      </w:r>
      <w:proofErr w:type="gramEnd"/>
      <w:r w:rsidRPr="00435601">
        <w:rPr>
          <w:rFonts w:ascii="Century Gothic" w:hAnsi="Century Gothic"/>
          <w:sz w:val="22"/>
          <w:szCs w:val="22"/>
        </w:rPr>
        <w:t xml:space="preserve"> a behaviour change intervention to be successful. In this case, our measures could be aligned to the three factors which influence behaviour change (‘capability’, ‘opportunity’, ‘motivation’). This would provide another dimension to the analysis, offering understanding into the extent of these factors across Essex areas to ensure interventions are pitched to individuals in the most effective way possible, therefore ensuring interventions bring sustainable behaviour change among inactive people. This could be supplemented by further collection of quantitative data on resident behaviours, alongside qualitative insight.</w:t>
      </w:r>
    </w:p>
    <w:p w14:paraId="003A6C76"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Create a dependent variable through data</w:t>
      </w:r>
      <w:r>
        <w:rPr>
          <w:rFonts w:ascii="Century Gothic" w:hAnsi="Century Gothic"/>
          <w:b/>
          <w:bCs/>
          <w:sz w:val="22"/>
          <w:szCs w:val="22"/>
        </w:rPr>
        <w:t xml:space="preserve"> sourced from a robust quantitative survey</w:t>
      </w:r>
      <w:r w:rsidRPr="00435601">
        <w:rPr>
          <w:rFonts w:ascii="Century Gothic" w:hAnsi="Century Gothic"/>
          <w:b/>
          <w:bCs/>
          <w:sz w:val="22"/>
          <w:szCs w:val="22"/>
        </w:rPr>
        <w:t>.</w:t>
      </w:r>
    </w:p>
    <w:p w14:paraId="5C5F8E28"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regression analysis used as the basis of forming weightings to apply to the theme data</w:t>
      </w:r>
      <w:r>
        <w:rPr>
          <w:rFonts w:ascii="Century Gothic" w:hAnsi="Century Gothic"/>
          <w:sz w:val="22"/>
          <w:szCs w:val="22"/>
        </w:rPr>
        <w:t>,</w:t>
      </w:r>
      <w:r w:rsidRPr="00435601">
        <w:rPr>
          <w:rFonts w:ascii="Century Gothic" w:hAnsi="Century Gothic"/>
          <w:sz w:val="22"/>
          <w:szCs w:val="22"/>
        </w:rPr>
        <w:t xml:space="preserve"> whilst creating an overall physical inactivity score</w:t>
      </w:r>
      <w:r>
        <w:rPr>
          <w:rFonts w:ascii="Century Gothic" w:hAnsi="Century Gothic"/>
          <w:sz w:val="22"/>
          <w:szCs w:val="22"/>
        </w:rPr>
        <w:t>,</w:t>
      </w:r>
      <w:r w:rsidRPr="00435601">
        <w:rPr>
          <w:rFonts w:ascii="Century Gothic" w:hAnsi="Century Gothic"/>
          <w:sz w:val="22"/>
          <w:szCs w:val="22"/>
        </w:rPr>
        <w:t xml:space="preserve"> used the modelled MSOA activity figures from Sport England as the dependant variable. This is an estimate </w:t>
      </w:r>
      <w:r>
        <w:rPr>
          <w:rFonts w:ascii="Century Gothic" w:hAnsi="Century Gothic"/>
          <w:sz w:val="22"/>
          <w:szCs w:val="22"/>
        </w:rPr>
        <w:t>at MSOA level</w:t>
      </w:r>
      <w:r w:rsidRPr="00435601">
        <w:rPr>
          <w:rFonts w:ascii="Century Gothic" w:hAnsi="Century Gothic"/>
          <w:sz w:val="22"/>
          <w:szCs w:val="22"/>
        </w:rPr>
        <w:t xml:space="preserve">, </w:t>
      </w:r>
      <w:r>
        <w:rPr>
          <w:rFonts w:ascii="Century Gothic" w:hAnsi="Century Gothic"/>
          <w:sz w:val="22"/>
          <w:szCs w:val="22"/>
        </w:rPr>
        <w:t>however</w:t>
      </w:r>
      <w:r w:rsidRPr="00435601">
        <w:rPr>
          <w:rFonts w:ascii="Century Gothic" w:hAnsi="Century Gothic"/>
          <w:sz w:val="22"/>
          <w:szCs w:val="22"/>
        </w:rPr>
        <w:t xml:space="preserve"> further variances in activity levels may also exist at an LSOA level. As such, a more accurate regression analysis and therefore a better understanding of barriers and drivers to activity levels could be obtained by having LSOA level physical activity estimates. This could be achieved through running a large-scale quantitative survey across Essex</w:t>
      </w:r>
      <w:r>
        <w:rPr>
          <w:rFonts w:ascii="Century Gothic" w:hAnsi="Century Gothic"/>
          <w:sz w:val="22"/>
          <w:szCs w:val="22"/>
        </w:rPr>
        <w:t>, targeted at LSOAs of interest</w:t>
      </w:r>
      <w:r w:rsidRPr="00435601">
        <w:rPr>
          <w:rFonts w:ascii="Century Gothic" w:hAnsi="Century Gothic"/>
          <w:sz w:val="22"/>
          <w:szCs w:val="22"/>
        </w:rPr>
        <w:t xml:space="preserve">. The current analysis could then be replicated with the LSOA results used as the dependent variable in regression analysis, and sense-check the current projects outputs against the findings. </w:t>
      </w:r>
    </w:p>
    <w:p w14:paraId="58DD8393"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 xml:space="preserve">Analysis to examine differences in drivers and barriers to physical activity between areas in Essex. </w:t>
      </w:r>
    </w:p>
    <w:p w14:paraId="450D8DF8"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Information is presented on potential drivers and barriers to physical activity at an LSOA level through the themed data, giving insight into the variance in such factors between areas in Essex. This is presented alongside each LSOA’s decile score on the IMD 2019 to indicate any potential relationships to deprivation levels. However, we do not know whether the impact of drivers and barriers to physical activity differ according to level of relative deprivation, with the regression analysis used to inform weightings and production of the overall physical activity score using nation-wide data. Further work could therefore be conducted to examine this; for example, the current analysis could be replicated split by IMD 2019 decile, with each analysis using only LSOAs with the selected IMD 2019 decile. Outputs could then be examined for differences between the IMD 2019 deciles, to see whether different barriers to physical activity are present along the socio-economic gradient. </w:t>
      </w:r>
    </w:p>
    <w:p w14:paraId="340C4EB1"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 xml:space="preserve">A version of this tool could be produced with individual-level data. </w:t>
      </w:r>
    </w:p>
    <w:p w14:paraId="5733AFD8"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Although the tool does provide a range of data and insight into how likely every LSOA is to be physically active and potential factors driving these levels, this does not mean that this holds true for every resident within these LSOAs. Further work could therefore be done to replicate this project using individual level data, especially for the ELDP Target Districts. This would ensure that the ELDP work is targeting factors important to residents and not just the areas that they live within, improving chances of effectiveness in improving physical activity levels. </w:t>
      </w:r>
    </w:p>
    <w:p w14:paraId="74EDDF9C"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 xml:space="preserve">Analysis to predict cohorts at risk of future physical inactivity. </w:t>
      </w:r>
    </w:p>
    <w:p w14:paraId="64A86452"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data held within this tool provides insight into activity levels and drivers of this using the most current data available. Whilst time-series data is also included in the tool, how the impact of the drivers to inactivity have changed over time has not been examined. We also do not know whether the drivers of activity in an area will remain the same in the long-term, highlighting the need for updating the tool as outlined in recommendations below. Further work could also be undertaken based on the barriers to physical activity present currently to predict cohorts of residents that may be at risk of physical inactivity in the future in absence of intervention, such as through the use of individual child level longitudinal data if available. This would enable the ELDP and partners to prepare for the future and tackle physical activity in a preventative manner. </w:t>
      </w:r>
    </w:p>
    <w:p w14:paraId="2B1D9959"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Decide on an update frequency for the measures in the dashboard.</w:t>
      </w:r>
    </w:p>
    <w:p w14:paraId="2990B2F7"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If the ELDP are interested in updating the data in the dashboard on a regular basis, an update frequency should be decided upon. The data used in the analysis is collated from a range of different data sources, each of which is updated and released at different times of the year.</w:t>
      </w:r>
    </w:p>
    <w:p w14:paraId="2F2E7A15"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appendix to this report, and the metadata set, shows the date of the data used in the analysis and data source for each indicator. We would recommend reviews are undertaken on a six-monthly basis, in which the datasets which are available are updated twice a year.</w:t>
      </w:r>
    </w:p>
    <w:p w14:paraId="250E54FE"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Allow time for any updates to the analysis.</w:t>
      </w:r>
    </w:p>
    <w:p w14:paraId="31DF5430"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The addition of extra data to this analysis and to the dashboard could affect the theme data scores, and as such change the outputs of the regression analysis and therefore the weightings used to calculate the physical activity scores. The clusters could also be affected.</w:t>
      </w:r>
    </w:p>
    <w:p w14:paraId="5FAD8CF4"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This, combined with cleansing and structuring new data to fit in with formats necessary for the analysis and dashboard, means that plenty of time should be allowed for the addition of new data. </w:t>
      </w:r>
    </w:p>
    <w:p w14:paraId="20054C7A"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Additional work could be done to overlay these findings with community assets (e.g. voluntary associations and nearby amenities).</w:t>
      </w:r>
    </w:p>
    <w:p w14:paraId="0653A403"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Mapping of voluntary associations, along with community spaces and facilities that could be used for interventions, could be undertaken and combined with the analysis from this project to assist in designing the shape of interventions with appropriate partners.</w:t>
      </w:r>
    </w:p>
    <w:p w14:paraId="51C7C9B3" w14:textId="77777777" w:rsidR="003831BC" w:rsidRPr="00435601" w:rsidRDefault="003831BC" w:rsidP="003831BC">
      <w:pPr>
        <w:pStyle w:val="ListParagraph"/>
        <w:jc w:val="both"/>
        <w:rPr>
          <w:strike/>
          <w:sz w:val="22"/>
          <w:szCs w:val="22"/>
        </w:rPr>
      </w:pPr>
    </w:p>
    <w:p w14:paraId="7891C438" w14:textId="77777777" w:rsidR="003831BC" w:rsidRPr="00122176" w:rsidRDefault="003831BC" w:rsidP="003831BC">
      <w:pPr>
        <w:pStyle w:val="Heading2"/>
        <w:numPr>
          <w:ilvl w:val="1"/>
          <w:numId w:val="9"/>
        </w:numPr>
        <w:rPr>
          <w:rFonts w:ascii="Century Gothic" w:hAnsi="Century Gothic"/>
          <w:b/>
          <w:bCs/>
          <w:i/>
          <w:iCs/>
          <w:color w:val="D8117D"/>
        </w:rPr>
      </w:pPr>
      <w:bookmarkStart w:id="31" w:name="_Toc50553611"/>
      <w:r w:rsidRPr="00122176">
        <w:rPr>
          <w:rFonts w:ascii="Century Gothic" w:hAnsi="Century Gothic"/>
          <w:b/>
          <w:bCs/>
          <w:i/>
          <w:iCs/>
          <w:color w:val="D8117D"/>
        </w:rPr>
        <w:t>Recommendations for use of the tool</w:t>
      </w:r>
      <w:bookmarkEnd w:id="31"/>
    </w:p>
    <w:p w14:paraId="0B21A3A4" w14:textId="77777777" w:rsidR="003831BC" w:rsidRPr="00435601" w:rsidRDefault="003831BC" w:rsidP="003831BC">
      <w:pPr>
        <w:pStyle w:val="ListParagraph"/>
        <w:ind w:left="828"/>
        <w:rPr>
          <w:sz w:val="22"/>
          <w:szCs w:val="22"/>
        </w:rPr>
      </w:pPr>
    </w:p>
    <w:p w14:paraId="248F7178"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As well as providing a platform for additional research and analysis, in its current state the physical activity dashboard should be used to:</w:t>
      </w:r>
    </w:p>
    <w:p w14:paraId="2E00C67C" w14:textId="77777777" w:rsidR="003831BC" w:rsidRPr="00435601" w:rsidRDefault="003831BC" w:rsidP="003831BC">
      <w:pPr>
        <w:pStyle w:val="ListParagraph"/>
        <w:numPr>
          <w:ilvl w:val="0"/>
          <w:numId w:val="26"/>
        </w:numPr>
        <w:jc w:val="both"/>
        <w:rPr>
          <w:sz w:val="22"/>
          <w:szCs w:val="22"/>
        </w:rPr>
      </w:pPr>
      <w:r w:rsidRPr="00435601">
        <w:rPr>
          <w:rFonts w:ascii="Century Gothic" w:hAnsi="Century Gothic"/>
          <w:sz w:val="22"/>
          <w:szCs w:val="22"/>
        </w:rPr>
        <w:t>Design interventions to tackle physical inactivity, based on the insight into the barriers to physical activity about the chosen locality.</w:t>
      </w:r>
    </w:p>
    <w:p w14:paraId="6ECB5E3B" w14:textId="77777777" w:rsidR="003831BC" w:rsidRPr="00435601" w:rsidRDefault="003831BC" w:rsidP="003831BC">
      <w:pPr>
        <w:pStyle w:val="ListParagraph"/>
        <w:numPr>
          <w:ilvl w:val="0"/>
          <w:numId w:val="26"/>
        </w:numPr>
        <w:jc w:val="both"/>
        <w:rPr>
          <w:sz w:val="22"/>
          <w:szCs w:val="22"/>
        </w:rPr>
      </w:pPr>
      <w:r w:rsidRPr="00435601">
        <w:rPr>
          <w:rFonts w:ascii="Century Gothic" w:hAnsi="Century Gothic"/>
          <w:sz w:val="22"/>
          <w:szCs w:val="22"/>
        </w:rPr>
        <w:t>Sense-check interventions developed by partners and the community to ensure that they are addressing the right issues.</w:t>
      </w:r>
    </w:p>
    <w:p w14:paraId="0AEAFFD0"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With these purposes in mind, it worth remembering the following.</w:t>
      </w:r>
    </w:p>
    <w:p w14:paraId="74648422"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The tool does not present a causal relationship between the drivers and physical activity.</w:t>
      </w:r>
    </w:p>
    <w:p w14:paraId="4F2E07AF"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The driver themes were combined to create an overall physical activity score for each LSOA, and the regression analysis informed how much weighting was applied to each theme in this process. The physical activity scores presented is therefore not a measure of physical activity levels, but instead an abstraction based on proxy indicators to give an indication of the extent of the barriers to physical activity in an area. This means that the tool does not presents a causal relationship in which the actual physical activity levels can be attributed to those factors.  </w:t>
      </w:r>
    </w:p>
    <w:p w14:paraId="33E99DD1" w14:textId="77777777" w:rsidR="003831BC" w:rsidRPr="00435601" w:rsidRDefault="003831BC" w:rsidP="003831BC">
      <w:pPr>
        <w:jc w:val="both"/>
        <w:rPr>
          <w:rFonts w:ascii="Century Gothic" w:hAnsi="Century Gothic"/>
          <w:b/>
          <w:bCs/>
          <w:sz w:val="22"/>
          <w:szCs w:val="22"/>
        </w:rPr>
      </w:pPr>
      <w:r w:rsidRPr="00435601">
        <w:rPr>
          <w:rFonts w:ascii="Century Gothic" w:hAnsi="Century Gothic"/>
          <w:b/>
          <w:bCs/>
          <w:sz w:val="22"/>
          <w:szCs w:val="22"/>
        </w:rPr>
        <w:t>Other sources of information should be used alongside the tool.</w:t>
      </w:r>
    </w:p>
    <w:p w14:paraId="24581B37"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Whilst the tool provides a range of data to develop actionable insight and an evidence base to addressing physical activity across Essex, this tool should not be used on its’ own to do so. Other sources of information may be available that also provide insight into the barriers to physical activity in a local area, such as any previous work conducted by community co-ordinators. Such other sources can be used alongside the tool to sense-check the outputs and any resultant proposed next steps to ensure that the right things are being targeted in the right places. </w:t>
      </w:r>
    </w:p>
    <w:p w14:paraId="6318E0F9" w14:textId="77777777" w:rsidR="003831BC" w:rsidRPr="00435601" w:rsidRDefault="003831BC" w:rsidP="003831BC">
      <w:pPr>
        <w:jc w:val="both"/>
        <w:rPr>
          <w:rFonts w:ascii="Century Gothic" w:hAnsi="Century Gothic"/>
          <w:sz w:val="22"/>
          <w:szCs w:val="22"/>
        </w:rPr>
      </w:pPr>
      <w:r w:rsidRPr="00435601">
        <w:rPr>
          <w:rFonts w:ascii="Century Gothic" w:hAnsi="Century Gothic"/>
          <w:b/>
          <w:bCs/>
          <w:sz w:val="22"/>
          <w:szCs w:val="22"/>
        </w:rPr>
        <w:t>LSOA profiles are good for gaining an understanding about a single specific area, clusters should be used for interventions spread across wider areas.</w:t>
      </w:r>
    </w:p>
    <w:p w14:paraId="4C7BA20C" w14:textId="77777777" w:rsidR="003831BC" w:rsidRPr="00435601" w:rsidRDefault="003831BC" w:rsidP="003831BC">
      <w:pPr>
        <w:jc w:val="both"/>
        <w:rPr>
          <w:rFonts w:ascii="Century Gothic" w:hAnsi="Century Gothic"/>
          <w:sz w:val="22"/>
          <w:szCs w:val="22"/>
        </w:rPr>
      </w:pPr>
      <w:r w:rsidRPr="00435601">
        <w:rPr>
          <w:rFonts w:ascii="Century Gothic" w:hAnsi="Century Gothic"/>
          <w:sz w:val="22"/>
          <w:szCs w:val="22"/>
        </w:rPr>
        <w:t xml:space="preserve">When an intervention is specific to a certain small area, the LSOA profiles in the dashboard provide a good basis for designing interventions for that area. As every LSOA is different, however, if interventions are designed on a broader scale, the clusters provide a good indication for the barriers for different groups of LSOAs. Therefore, large scale interventions spread over a broader area can be informed by the insight offered by the clusters. The cluster outputs presented also re-iterate that some Essex areas may require holistic interventions targeting several barriers to physical activity rather than focus on specific factors. </w:t>
      </w:r>
    </w:p>
    <w:p w14:paraId="1C784CDC" w14:textId="77777777" w:rsidR="00FC558A" w:rsidRDefault="00FC558A"/>
    <w:sectPr w:rsidR="00FC558A" w:rsidSect="0051143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22717" w14:textId="77777777" w:rsidR="003831BC" w:rsidRDefault="003831BC" w:rsidP="003831BC">
      <w:pPr>
        <w:spacing w:after="0" w:line="240" w:lineRule="auto"/>
      </w:pPr>
      <w:r>
        <w:separator/>
      </w:r>
    </w:p>
  </w:endnote>
  <w:endnote w:type="continuationSeparator" w:id="0">
    <w:p w14:paraId="41777C42" w14:textId="77777777" w:rsidR="003831BC" w:rsidRDefault="003831BC" w:rsidP="00383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entury Gothic&quot;,sans-serif">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4411" w14:textId="77777777" w:rsidR="003831BC" w:rsidRDefault="003831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799823"/>
      <w:docPartObj>
        <w:docPartGallery w:val="Page Numbers (Bottom of Page)"/>
        <w:docPartUnique/>
      </w:docPartObj>
    </w:sdtPr>
    <w:sdtContent>
      <w:sdt>
        <w:sdtPr>
          <w:id w:val="-1769616900"/>
          <w:docPartObj>
            <w:docPartGallery w:val="Page Numbers (Top of Page)"/>
            <w:docPartUnique/>
          </w:docPartObj>
        </w:sdtPr>
        <w:sdtContent>
          <w:p w14:paraId="7B65A961" w14:textId="11D1B963" w:rsidR="003831BC" w:rsidRDefault="003831B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70A24D4" w14:textId="77777777" w:rsidR="003831BC" w:rsidRDefault="003831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284D" w14:textId="77777777" w:rsidR="003831BC" w:rsidRDefault="003831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5140D" w14:textId="77777777" w:rsidR="003831BC" w:rsidRDefault="003831BC" w:rsidP="003831BC">
      <w:pPr>
        <w:spacing w:after="0" w:line="240" w:lineRule="auto"/>
      </w:pPr>
      <w:r>
        <w:separator/>
      </w:r>
    </w:p>
  </w:footnote>
  <w:footnote w:type="continuationSeparator" w:id="0">
    <w:p w14:paraId="0745F06C" w14:textId="77777777" w:rsidR="003831BC" w:rsidRDefault="003831BC" w:rsidP="003831BC">
      <w:pPr>
        <w:spacing w:after="0" w:line="240" w:lineRule="auto"/>
      </w:pPr>
      <w:r>
        <w:continuationSeparator/>
      </w:r>
    </w:p>
  </w:footnote>
  <w:footnote w:id="1">
    <w:p w14:paraId="1D52854E" w14:textId="77777777" w:rsidR="003831BC" w:rsidRPr="00F14A94" w:rsidRDefault="003831BC" w:rsidP="003831BC">
      <w:pPr>
        <w:pStyle w:val="FootnoteText"/>
        <w:rPr>
          <w:rFonts w:ascii="Century Gothic" w:hAnsi="Century Gothic"/>
          <w:sz w:val="22"/>
          <w:szCs w:val="22"/>
        </w:rPr>
      </w:pPr>
      <w:r w:rsidRPr="00F14A94">
        <w:rPr>
          <w:rStyle w:val="FootnoteReference"/>
          <w:rFonts w:ascii="Century Gothic" w:hAnsi="Century Gothic"/>
          <w:sz w:val="22"/>
          <w:szCs w:val="22"/>
        </w:rPr>
        <w:footnoteRef/>
      </w:r>
      <w:r w:rsidRPr="00F14A94">
        <w:rPr>
          <w:rFonts w:ascii="Century Gothic" w:hAnsi="Century Gothic"/>
          <w:sz w:val="22"/>
          <w:szCs w:val="22"/>
        </w:rPr>
        <w:t xml:space="preserve"> NUTS3 are an economic geography, usually consisting of two or three districts, or one large district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CA2F" w14:textId="77777777" w:rsidR="003831BC" w:rsidRDefault="003831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BC2B7" w14:textId="77777777" w:rsidR="003831BC" w:rsidRDefault="003831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AD8A" w14:textId="77777777" w:rsidR="003831BC" w:rsidRDefault="00383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DAA"/>
    <w:multiLevelType w:val="hybridMultilevel"/>
    <w:tmpl w:val="780CD028"/>
    <w:lvl w:ilvl="0" w:tplc="CF3A8D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43E0B"/>
    <w:multiLevelType w:val="hybridMultilevel"/>
    <w:tmpl w:val="B34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F0B9D"/>
    <w:multiLevelType w:val="hybridMultilevel"/>
    <w:tmpl w:val="8842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34CBB"/>
    <w:multiLevelType w:val="multilevel"/>
    <w:tmpl w:val="44B68754"/>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 w15:restartNumberingAfterBreak="0">
    <w:nsid w:val="09A47F5D"/>
    <w:multiLevelType w:val="hybridMultilevel"/>
    <w:tmpl w:val="C5AA9DF4"/>
    <w:lvl w:ilvl="0" w:tplc="17E4E48E">
      <w:start w:val="1"/>
      <w:numFmt w:val="bullet"/>
      <w:lvlText w:val=""/>
      <w:lvlJc w:val="left"/>
      <w:pPr>
        <w:ind w:left="720" w:hanging="360"/>
      </w:pPr>
      <w:rPr>
        <w:rFonts w:ascii="Symbol" w:hAnsi="Symbol" w:hint="default"/>
      </w:rPr>
    </w:lvl>
    <w:lvl w:ilvl="1" w:tplc="B220202A">
      <w:start w:val="1"/>
      <w:numFmt w:val="bullet"/>
      <w:lvlText w:val="o"/>
      <w:lvlJc w:val="left"/>
      <w:pPr>
        <w:ind w:left="1440" w:hanging="360"/>
      </w:pPr>
      <w:rPr>
        <w:rFonts w:ascii="Courier New" w:hAnsi="Courier New" w:hint="default"/>
      </w:rPr>
    </w:lvl>
    <w:lvl w:ilvl="2" w:tplc="2F58CAB2">
      <w:start w:val="1"/>
      <w:numFmt w:val="bullet"/>
      <w:lvlText w:val=""/>
      <w:lvlJc w:val="left"/>
      <w:pPr>
        <w:ind w:left="2160" w:hanging="360"/>
      </w:pPr>
      <w:rPr>
        <w:rFonts w:ascii="Wingdings" w:hAnsi="Wingdings" w:hint="default"/>
      </w:rPr>
    </w:lvl>
    <w:lvl w:ilvl="3" w:tplc="8782EF22">
      <w:start w:val="1"/>
      <w:numFmt w:val="bullet"/>
      <w:lvlText w:val=""/>
      <w:lvlJc w:val="left"/>
      <w:pPr>
        <w:ind w:left="2880" w:hanging="360"/>
      </w:pPr>
      <w:rPr>
        <w:rFonts w:ascii="Symbol" w:hAnsi="Symbol" w:hint="default"/>
      </w:rPr>
    </w:lvl>
    <w:lvl w:ilvl="4" w:tplc="A1549D22">
      <w:start w:val="1"/>
      <w:numFmt w:val="bullet"/>
      <w:lvlText w:val="o"/>
      <w:lvlJc w:val="left"/>
      <w:pPr>
        <w:ind w:left="3600" w:hanging="360"/>
      </w:pPr>
      <w:rPr>
        <w:rFonts w:ascii="Courier New" w:hAnsi="Courier New" w:hint="default"/>
      </w:rPr>
    </w:lvl>
    <w:lvl w:ilvl="5" w:tplc="9264A79A">
      <w:start w:val="1"/>
      <w:numFmt w:val="bullet"/>
      <w:lvlText w:val=""/>
      <w:lvlJc w:val="left"/>
      <w:pPr>
        <w:ind w:left="4320" w:hanging="360"/>
      </w:pPr>
      <w:rPr>
        <w:rFonts w:ascii="Wingdings" w:hAnsi="Wingdings" w:hint="default"/>
      </w:rPr>
    </w:lvl>
    <w:lvl w:ilvl="6" w:tplc="3B7EB2EE">
      <w:start w:val="1"/>
      <w:numFmt w:val="bullet"/>
      <w:lvlText w:val=""/>
      <w:lvlJc w:val="left"/>
      <w:pPr>
        <w:ind w:left="5040" w:hanging="360"/>
      </w:pPr>
      <w:rPr>
        <w:rFonts w:ascii="Symbol" w:hAnsi="Symbol" w:hint="default"/>
      </w:rPr>
    </w:lvl>
    <w:lvl w:ilvl="7" w:tplc="0CC06E9A">
      <w:start w:val="1"/>
      <w:numFmt w:val="bullet"/>
      <w:lvlText w:val="o"/>
      <w:lvlJc w:val="left"/>
      <w:pPr>
        <w:ind w:left="5760" w:hanging="360"/>
      </w:pPr>
      <w:rPr>
        <w:rFonts w:ascii="Courier New" w:hAnsi="Courier New" w:hint="default"/>
      </w:rPr>
    </w:lvl>
    <w:lvl w:ilvl="8" w:tplc="9F2E0DB6">
      <w:start w:val="1"/>
      <w:numFmt w:val="bullet"/>
      <w:lvlText w:val=""/>
      <w:lvlJc w:val="left"/>
      <w:pPr>
        <w:ind w:left="6480" w:hanging="360"/>
      </w:pPr>
      <w:rPr>
        <w:rFonts w:ascii="Wingdings" w:hAnsi="Wingdings" w:hint="default"/>
      </w:rPr>
    </w:lvl>
  </w:abstractNum>
  <w:abstractNum w:abstractNumId="5" w15:restartNumberingAfterBreak="0">
    <w:nsid w:val="0B056848"/>
    <w:multiLevelType w:val="hybridMultilevel"/>
    <w:tmpl w:val="9CFAA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42BFF"/>
    <w:multiLevelType w:val="multilevel"/>
    <w:tmpl w:val="2522CAAC"/>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108324FA"/>
    <w:multiLevelType w:val="hybridMultilevel"/>
    <w:tmpl w:val="9A9E066C"/>
    <w:lvl w:ilvl="0" w:tplc="A5A2E270">
      <w:start w:val="1"/>
      <w:numFmt w:val="bullet"/>
      <w:lvlText w:val="·"/>
      <w:lvlJc w:val="left"/>
      <w:pPr>
        <w:ind w:left="720" w:hanging="360"/>
      </w:pPr>
      <w:rPr>
        <w:rFonts w:ascii="&quot;Century Gothic&quot;,sans-serif" w:hAnsi="&quot;Century Gothic&quot;,sans-serif" w:hint="default"/>
      </w:rPr>
    </w:lvl>
    <w:lvl w:ilvl="1" w:tplc="A5AAFC68">
      <w:start w:val="1"/>
      <w:numFmt w:val="bullet"/>
      <w:lvlText w:val="o"/>
      <w:lvlJc w:val="left"/>
      <w:pPr>
        <w:ind w:left="1440" w:hanging="360"/>
      </w:pPr>
      <w:rPr>
        <w:rFonts w:ascii="Courier New" w:hAnsi="Courier New" w:hint="default"/>
      </w:rPr>
    </w:lvl>
    <w:lvl w:ilvl="2" w:tplc="EA1CBF72">
      <w:start w:val="1"/>
      <w:numFmt w:val="bullet"/>
      <w:lvlText w:val=""/>
      <w:lvlJc w:val="left"/>
      <w:pPr>
        <w:ind w:left="2160" w:hanging="360"/>
      </w:pPr>
      <w:rPr>
        <w:rFonts w:ascii="Wingdings" w:hAnsi="Wingdings" w:hint="default"/>
      </w:rPr>
    </w:lvl>
    <w:lvl w:ilvl="3" w:tplc="F11A33BA">
      <w:start w:val="1"/>
      <w:numFmt w:val="bullet"/>
      <w:lvlText w:val=""/>
      <w:lvlJc w:val="left"/>
      <w:pPr>
        <w:ind w:left="2880" w:hanging="360"/>
      </w:pPr>
      <w:rPr>
        <w:rFonts w:ascii="Symbol" w:hAnsi="Symbol" w:hint="default"/>
      </w:rPr>
    </w:lvl>
    <w:lvl w:ilvl="4" w:tplc="DBDE6698">
      <w:start w:val="1"/>
      <w:numFmt w:val="bullet"/>
      <w:lvlText w:val="o"/>
      <w:lvlJc w:val="left"/>
      <w:pPr>
        <w:ind w:left="3600" w:hanging="360"/>
      </w:pPr>
      <w:rPr>
        <w:rFonts w:ascii="Courier New" w:hAnsi="Courier New" w:hint="default"/>
      </w:rPr>
    </w:lvl>
    <w:lvl w:ilvl="5" w:tplc="2DB49AA4">
      <w:start w:val="1"/>
      <w:numFmt w:val="bullet"/>
      <w:lvlText w:val=""/>
      <w:lvlJc w:val="left"/>
      <w:pPr>
        <w:ind w:left="4320" w:hanging="360"/>
      </w:pPr>
      <w:rPr>
        <w:rFonts w:ascii="Wingdings" w:hAnsi="Wingdings" w:hint="default"/>
      </w:rPr>
    </w:lvl>
    <w:lvl w:ilvl="6" w:tplc="1000479A">
      <w:start w:val="1"/>
      <w:numFmt w:val="bullet"/>
      <w:lvlText w:val=""/>
      <w:lvlJc w:val="left"/>
      <w:pPr>
        <w:ind w:left="5040" w:hanging="360"/>
      </w:pPr>
      <w:rPr>
        <w:rFonts w:ascii="Symbol" w:hAnsi="Symbol" w:hint="default"/>
      </w:rPr>
    </w:lvl>
    <w:lvl w:ilvl="7" w:tplc="72C8EFC8">
      <w:start w:val="1"/>
      <w:numFmt w:val="bullet"/>
      <w:lvlText w:val="o"/>
      <w:lvlJc w:val="left"/>
      <w:pPr>
        <w:ind w:left="5760" w:hanging="360"/>
      </w:pPr>
      <w:rPr>
        <w:rFonts w:ascii="Courier New" w:hAnsi="Courier New" w:hint="default"/>
      </w:rPr>
    </w:lvl>
    <w:lvl w:ilvl="8" w:tplc="815C29AA">
      <w:start w:val="1"/>
      <w:numFmt w:val="bullet"/>
      <w:lvlText w:val=""/>
      <w:lvlJc w:val="left"/>
      <w:pPr>
        <w:ind w:left="6480" w:hanging="360"/>
      </w:pPr>
      <w:rPr>
        <w:rFonts w:ascii="Wingdings" w:hAnsi="Wingdings" w:hint="default"/>
      </w:rPr>
    </w:lvl>
  </w:abstractNum>
  <w:abstractNum w:abstractNumId="8" w15:restartNumberingAfterBreak="0">
    <w:nsid w:val="11DD75E0"/>
    <w:multiLevelType w:val="multilevel"/>
    <w:tmpl w:val="824C3536"/>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177A4CE0"/>
    <w:multiLevelType w:val="hybridMultilevel"/>
    <w:tmpl w:val="CD9A1966"/>
    <w:lvl w:ilvl="0" w:tplc="B71C61E0">
      <w:start w:val="1"/>
      <w:numFmt w:val="bullet"/>
      <w:lvlText w:val="·"/>
      <w:lvlJc w:val="left"/>
      <w:pPr>
        <w:ind w:left="720" w:hanging="360"/>
      </w:pPr>
      <w:rPr>
        <w:rFonts w:ascii="&quot;Century Gothic&quot;,sans-serif" w:hAnsi="&quot;Century Gothic&quot;,sans-serif" w:hint="default"/>
      </w:rPr>
    </w:lvl>
    <w:lvl w:ilvl="1" w:tplc="2DA803A8">
      <w:start w:val="1"/>
      <w:numFmt w:val="bullet"/>
      <w:lvlText w:val="o"/>
      <w:lvlJc w:val="left"/>
      <w:pPr>
        <w:ind w:left="1440" w:hanging="360"/>
      </w:pPr>
      <w:rPr>
        <w:rFonts w:ascii="Courier New" w:hAnsi="Courier New" w:hint="default"/>
      </w:rPr>
    </w:lvl>
    <w:lvl w:ilvl="2" w:tplc="BFC0C350">
      <w:start w:val="1"/>
      <w:numFmt w:val="bullet"/>
      <w:lvlText w:val=""/>
      <w:lvlJc w:val="left"/>
      <w:pPr>
        <w:ind w:left="2160" w:hanging="360"/>
      </w:pPr>
      <w:rPr>
        <w:rFonts w:ascii="Wingdings" w:hAnsi="Wingdings" w:hint="default"/>
      </w:rPr>
    </w:lvl>
    <w:lvl w:ilvl="3" w:tplc="744E69A8">
      <w:start w:val="1"/>
      <w:numFmt w:val="bullet"/>
      <w:lvlText w:val=""/>
      <w:lvlJc w:val="left"/>
      <w:pPr>
        <w:ind w:left="2880" w:hanging="360"/>
      </w:pPr>
      <w:rPr>
        <w:rFonts w:ascii="Symbol" w:hAnsi="Symbol" w:hint="default"/>
      </w:rPr>
    </w:lvl>
    <w:lvl w:ilvl="4" w:tplc="C938F346">
      <w:start w:val="1"/>
      <w:numFmt w:val="bullet"/>
      <w:lvlText w:val="o"/>
      <w:lvlJc w:val="left"/>
      <w:pPr>
        <w:ind w:left="3600" w:hanging="360"/>
      </w:pPr>
      <w:rPr>
        <w:rFonts w:ascii="Courier New" w:hAnsi="Courier New" w:hint="default"/>
      </w:rPr>
    </w:lvl>
    <w:lvl w:ilvl="5" w:tplc="442E2722">
      <w:start w:val="1"/>
      <w:numFmt w:val="bullet"/>
      <w:lvlText w:val=""/>
      <w:lvlJc w:val="left"/>
      <w:pPr>
        <w:ind w:left="4320" w:hanging="360"/>
      </w:pPr>
      <w:rPr>
        <w:rFonts w:ascii="Wingdings" w:hAnsi="Wingdings" w:hint="default"/>
      </w:rPr>
    </w:lvl>
    <w:lvl w:ilvl="6" w:tplc="BFE8C8D8">
      <w:start w:val="1"/>
      <w:numFmt w:val="bullet"/>
      <w:lvlText w:val=""/>
      <w:lvlJc w:val="left"/>
      <w:pPr>
        <w:ind w:left="5040" w:hanging="360"/>
      </w:pPr>
      <w:rPr>
        <w:rFonts w:ascii="Symbol" w:hAnsi="Symbol" w:hint="default"/>
      </w:rPr>
    </w:lvl>
    <w:lvl w:ilvl="7" w:tplc="B3100CE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abstractNum w:abstractNumId="10" w15:restartNumberingAfterBreak="0">
    <w:nsid w:val="18245AC0"/>
    <w:multiLevelType w:val="hybridMultilevel"/>
    <w:tmpl w:val="A6B27100"/>
    <w:lvl w:ilvl="0" w:tplc="6EECCC76">
      <w:start w:val="1"/>
      <w:numFmt w:val="bullet"/>
      <w:lvlText w:val=""/>
      <w:lvlJc w:val="left"/>
      <w:pPr>
        <w:ind w:left="720" w:hanging="360"/>
      </w:pPr>
      <w:rPr>
        <w:rFonts w:ascii="Symbol" w:hAnsi="Symbol" w:hint="default"/>
      </w:rPr>
    </w:lvl>
    <w:lvl w:ilvl="1" w:tplc="7486B002">
      <w:start w:val="1"/>
      <w:numFmt w:val="bullet"/>
      <w:lvlText w:val="o"/>
      <w:lvlJc w:val="left"/>
      <w:pPr>
        <w:ind w:left="1440" w:hanging="360"/>
      </w:pPr>
      <w:rPr>
        <w:rFonts w:ascii="Courier New" w:hAnsi="Courier New" w:hint="default"/>
      </w:rPr>
    </w:lvl>
    <w:lvl w:ilvl="2" w:tplc="CECAA4A8">
      <w:start w:val="1"/>
      <w:numFmt w:val="bullet"/>
      <w:lvlText w:val=""/>
      <w:lvlJc w:val="left"/>
      <w:pPr>
        <w:ind w:left="2160" w:hanging="360"/>
      </w:pPr>
      <w:rPr>
        <w:rFonts w:ascii="Wingdings" w:hAnsi="Wingdings" w:hint="default"/>
      </w:rPr>
    </w:lvl>
    <w:lvl w:ilvl="3" w:tplc="47C23840">
      <w:start w:val="1"/>
      <w:numFmt w:val="bullet"/>
      <w:lvlText w:val=""/>
      <w:lvlJc w:val="left"/>
      <w:pPr>
        <w:ind w:left="2880" w:hanging="360"/>
      </w:pPr>
      <w:rPr>
        <w:rFonts w:ascii="Symbol" w:hAnsi="Symbol" w:hint="default"/>
      </w:rPr>
    </w:lvl>
    <w:lvl w:ilvl="4" w:tplc="39C6CD38">
      <w:start w:val="1"/>
      <w:numFmt w:val="bullet"/>
      <w:lvlText w:val="o"/>
      <w:lvlJc w:val="left"/>
      <w:pPr>
        <w:ind w:left="3600" w:hanging="360"/>
      </w:pPr>
      <w:rPr>
        <w:rFonts w:ascii="Courier New" w:hAnsi="Courier New" w:hint="default"/>
      </w:rPr>
    </w:lvl>
    <w:lvl w:ilvl="5" w:tplc="6B0E8F1C">
      <w:start w:val="1"/>
      <w:numFmt w:val="bullet"/>
      <w:lvlText w:val=""/>
      <w:lvlJc w:val="left"/>
      <w:pPr>
        <w:ind w:left="4320" w:hanging="360"/>
      </w:pPr>
      <w:rPr>
        <w:rFonts w:ascii="Wingdings" w:hAnsi="Wingdings" w:hint="default"/>
      </w:rPr>
    </w:lvl>
    <w:lvl w:ilvl="6" w:tplc="C472ECC0">
      <w:start w:val="1"/>
      <w:numFmt w:val="bullet"/>
      <w:lvlText w:val=""/>
      <w:lvlJc w:val="left"/>
      <w:pPr>
        <w:ind w:left="5040" w:hanging="360"/>
      </w:pPr>
      <w:rPr>
        <w:rFonts w:ascii="Symbol" w:hAnsi="Symbol" w:hint="default"/>
      </w:rPr>
    </w:lvl>
    <w:lvl w:ilvl="7" w:tplc="427058F8">
      <w:start w:val="1"/>
      <w:numFmt w:val="bullet"/>
      <w:lvlText w:val="o"/>
      <w:lvlJc w:val="left"/>
      <w:pPr>
        <w:ind w:left="5760" w:hanging="360"/>
      </w:pPr>
      <w:rPr>
        <w:rFonts w:ascii="Courier New" w:hAnsi="Courier New" w:hint="default"/>
      </w:rPr>
    </w:lvl>
    <w:lvl w:ilvl="8" w:tplc="9328D9A0">
      <w:start w:val="1"/>
      <w:numFmt w:val="bullet"/>
      <w:lvlText w:val=""/>
      <w:lvlJc w:val="left"/>
      <w:pPr>
        <w:ind w:left="6480" w:hanging="360"/>
      </w:pPr>
      <w:rPr>
        <w:rFonts w:ascii="Wingdings" w:hAnsi="Wingdings" w:hint="default"/>
      </w:rPr>
    </w:lvl>
  </w:abstractNum>
  <w:abstractNum w:abstractNumId="11" w15:restartNumberingAfterBreak="0">
    <w:nsid w:val="197E2DED"/>
    <w:multiLevelType w:val="hybridMultilevel"/>
    <w:tmpl w:val="1A70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35278"/>
    <w:multiLevelType w:val="multilevel"/>
    <w:tmpl w:val="824C3536"/>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3" w15:restartNumberingAfterBreak="0">
    <w:nsid w:val="1B331A0F"/>
    <w:multiLevelType w:val="multilevel"/>
    <w:tmpl w:val="C1268A7C"/>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4" w15:restartNumberingAfterBreak="0">
    <w:nsid w:val="218235D5"/>
    <w:multiLevelType w:val="hybridMultilevel"/>
    <w:tmpl w:val="B78AD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D50446"/>
    <w:multiLevelType w:val="hybridMultilevel"/>
    <w:tmpl w:val="5E52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0D4DED"/>
    <w:multiLevelType w:val="hybridMultilevel"/>
    <w:tmpl w:val="98F43F16"/>
    <w:lvl w:ilvl="0" w:tplc="08090001">
      <w:start w:val="1"/>
      <w:numFmt w:val="bullet"/>
      <w:lvlText w:val=""/>
      <w:lvlJc w:val="left"/>
      <w:pPr>
        <w:ind w:left="720" w:hanging="360"/>
      </w:pPr>
      <w:rPr>
        <w:rFonts w:ascii="Symbol" w:hAnsi="Symbol" w:hint="default"/>
      </w:rPr>
    </w:lvl>
    <w:lvl w:ilvl="1" w:tplc="A5AAFC68">
      <w:start w:val="1"/>
      <w:numFmt w:val="bullet"/>
      <w:lvlText w:val="o"/>
      <w:lvlJc w:val="left"/>
      <w:pPr>
        <w:ind w:left="1440" w:hanging="360"/>
      </w:pPr>
      <w:rPr>
        <w:rFonts w:ascii="Courier New" w:hAnsi="Courier New" w:hint="default"/>
      </w:rPr>
    </w:lvl>
    <w:lvl w:ilvl="2" w:tplc="EA1CBF72">
      <w:start w:val="1"/>
      <w:numFmt w:val="bullet"/>
      <w:lvlText w:val=""/>
      <w:lvlJc w:val="left"/>
      <w:pPr>
        <w:ind w:left="2160" w:hanging="360"/>
      </w:pPr>
      <w:rPr>
        <w:rFonts w:ascii="Wingdings" w:hAnsi="Wingdings" w:hint="default"/>
      </w:rPr>
    </w:lvl>
    <w:lvl w:ilvl="3" w:tplc="F11A33BA">
      <w:start w:val="1"/>
      <w:numFmt w:val="bullet"/>
      <w:lvlText w:val=""/>
      <w:lvlJc w:val="left"/>
      <w:pPr>
        <w:ind w:left="2880" w:hanging="360"/>
      </w:pPr>
      <w:rPr>
        <w:rFonts w:ascii="Symbol" w:hAnsi="Symbol" w:hint="default"/>
      </w:rPr>
    </w:lvl>
    <w:lvl w:ilvl="4" w:tplc="DBDE6698">
      <w:start w:val="1"/>
      <w:numFmt w:val="bullet"/>
      <w:lvlText w:val="o"/>
      <w:lvlJc w:val="left"/>
      <w:pPr>
        <w:ind w:left="3600" w:hanging="360"/>
      </w:pPr>
      <w:rPr>
        <w:rFonts w:ascii="Courier New" w:hAnsi="Courier New" w:hint="default"/>
      </w:rPr>
    </w:lvl>
    <w:lvl w:ilvl="5" w:tplc="2DB49AA4">
      <w:start w:val="1"/>
      <w:numFmt w:val="bullet"/>
      <w:lvlText w:val=""/>
      <w:lvlJc w:val="left"/>
      <w:pPr>
        <w:ind w:left="4320" w:hanging="360"/>
      </w:pPr>
      <w:rPr>
        <w:rFonts w:ascii="Wingdings" w:hAnsi="Wingdings" w:hint="default"/>
      </w:rPr>
    </w:lvl>
    <w:lvl w:ilvl="6" w:tplc="1000479A">
      <w:start w:val="1"/>
      <w:numFmt w:val="bullet"/>
      <w:lvlText w:val=""/>
      <w:lvlJc w:val="left"/>
      <w:pPr>
        <w:ind w:left="5040" w:hanging="360"/>
      </w:pPr>
      <w:rPr>
        <w:rFonts w:ascii="Symbol" w:hAnsi="Symbol" w:hint="default"/>
      </w:rPr>
    </w:lvl>
    <w:lvl w:ilvl="7" w:tplc="72C8EFC8">
      <w:start w:val="1"/>
      <w:numFmt w:val="bullet"/>
      <w:lvlText w:val="o"/>
      <w:lvlJc w:val="left"/>
      <w:pPr>
        <w:ind w:left="5760" w:hanging="360"/>
      </w:pPr>
      <w:rPr>
        <w:rFonts w:ascii="Courier New" w:hAnsi="Courier New" w:hint="default"/>
      </w:rPr>
    </w:lvl>
    <w:lvl w:ilvl="8" w:tplc="815C29AA">
      <w:start w:val="1"/>
      <w:numFmt w:val="bullet"/>
      <w:lvlText w:val=""/>
      <w:lvlJc w:val="left"/>
      <w:pPr>
        <w:ind w:left="6480" w:hanging="360"/>
      </w:pPr>
      <w:rPr>
        <w:rFonts w:ascii="Wingdings" w:hAnsi="Wingdings" w:hint="default"/>
      </w:rPr>
    </w:lvl>
  </w:abstractNum>
  <w:abstractNum w:abstractNumId="17" w15:restartNumberingAfterBreak="0">
    <w:nsid w:val="3FA30C9F"/>
    <w:multiLevelType w:val="hybridMultilevel"/>
    <w:tmpl w:val="E4728472"/>
    <w:lvl w:ilvl="0" w:tplc="97C85604">
      <w:start w:val="1"/>
      <w:numFmt w:val="bullet"/>
      <w:lvlText w:val=""/>
      <w:lvlJc w:val="left"/>
      <w:pPr>
        <w:ind w:left="720" w:hanging="360"/>
      </w:pPr>
      <w:rPr>
        <w:rFonts w:ascii="Symbol" w:hAnsi="Symbol" w:hint="default"/>
      </w:rPr>
    </w:lvl>
    <w:lvl w:ilvl="1" w:tplc="3BC2F1BC">
      <w:start w:val="1"/>
      <w:numFmt w:val="bullet"/>
      <w:lvlText w:val="o"/>
      <w:lvlJc w:val="left"/>
      <w:pPr>
        <w:ind w:left="1440" w:hanging="360"/>
      </w:pPr>
      <w:rPr>
        <w:rFonts w:ascii="Courier New" w:hAnsi="Courier New" w:hint="default"/>
      </w:rPr>
    </w:lvl>
    <w:lvl w:ilvl="2" w:tplc="63DEC2F6">
      <w:start w:val="1"/>
      <w:numFmt w:val="bullet"/>
      <w:lvlText w:val=""/>
      <w:lvlJc w:val="left"/>
      <w:pPr>
        <w:ind w:left="2160" w:hanging="360"/>
      </w:pPr>
      <w:rPr>
        <w:rFonts w:ascii="Wingdings" w:hAnsi="Wingdings" w:hint="default"/>
      </w:rPr>
    </w:lvl>
    <w:lvl w:ilvl="3" w:tplc="E58A5B12">
      <w:start w:val="1"/>
      <w:numFmt w:val="bullet"/>
      <w:lvlText w:val=""/>
      <w:lvlJc w:val="left"/>
      <w:pPr>
        <w:ind w:left="2880" w:hanging="360"/>
      </w:pPr>
      <w:rPr>
        <w:rFonts w:ascii="Symbol" w:hAnsi="Symbol" w:hint="default"/>
      </w:rPr>
    </w:lvl>
    <w:lvl w:ilvl="4" w:tplc="1FA8E2CC">
      <w:start w:val="1"/>
      <w:numFmt w:val="bullet"/>
      <w:lvlText w:val="o"/>
      <w:lvlJc w:val="left"/>
      <w:pPr>
        <w:ind w:left="3600" w:hanging="360"/>
      </w:pPr>
      <w:rPr>
        <w:rFonts w:ascii="Courier New" w:hAnsi="Courier New" w:hint="default"/>
      </w:rPr>
    </w:lvl>
    <w:lvl w:ilvl="5" w:tplc="2B1AE07A">
      <w:start w:val="1"/>
      <w:numFmt w:val="bullet"/>
      <w:lvlText w:val=""/>
      <w:lvlJc w:val="left"/>
      <w:pPr>
        <w:ind w:left="4320" w:hanging="360"/>
      </w:pPr>
      <w:rPr>
        <w:rFonts w:ascii="Wingdings" w:hAnsi="Wingdings" w:hint="default"/>
      </w:rPr>
    </w:lvl>
    <w:lvl w:ilvl="6" w:tplc="3C4A2F8A">
      <w:start w:val="1"/>
      <w:numFmt w:val="bullet"/>
      <w:lvlText w:val=""/>
      <w:lvlJc w:val="left"/>
      <w:pPr>
        <w:ind w:left="5040" w:hanging="360"/>
      </w:pPr>
      <w:rPr>
        <w:rFonts w:ascii="Symbol" w:hAnsi="Symbol" w:hint="default"/>
      </w:rPr>
    </w:lvl>
    <w:lvl w:ilvl="7" w:tplc="15B6684E">
      <w:start w:val="1"/>
      <w:numFmt w:val="bullet"/>
      <w:lvlText w:val="o"/>
      <w:lvlJc w:val="left"/>
      <w:pPr>
        <w:ind w:left="5760" w:hanging="360"/>
      </w:pPr>
      <w:rPr>
        <w:rFonts w:ascii="Courier New" w:hAnsi="Courier New" w:hint="default"/>
      </w:rPr>
    </w:lvl>
    <w:lvl w:ilvl="8" w:tplc="D0444830">
      <w:start w:val="1"/>
      <w:numFmt w:val="bullet"/>
      <w:lvlText w:val=""/>
      <w:lvlJc w:val="left"/>
      <w:pPr>
        <w:ind w:left="6480" w:hanging="360"/>
      </w:pPr>
      <w:rPr>
        <w:rFonts w:ascii="Wingdings" w:hAnsi="Wingdings" w:hint="default"/>
      </w:rPr>
    </w:lvl>
  </w:abstractNum>
  <w:abstractNum w:abstractNumId="18" w15:restartNumberingAfterBreak="0">
    <w:nsid w:val="3FC11D2E"/>
    <w:multiLevelType w:val="multilevel"/>
    <w:tmpl w:val="5C76840C"/>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9" w15:restartNumberingAfterBreak="0">
    <w:nsid w:val="52473B3C"/>
    <w:multiLevelType w:val="hybridMultilevel"/>
    <w:tmpl w:val="76C00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1A6CA6"/>
    <w:multiLevelType w:val="multilevel"/>
    <w:tmpl w:val="5502C7D4"/>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1" w15:restartNumberingAfterBreak="0">
    <w:nsid w:val="5783745F"/>
    <w:multiLevelType w:val="hybridMultilevel"/>
    <w:tmpl w:val="4F88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F0BB6"/>
    <w:multiLevelType w:val="hybridMultilevel"/>
    <w:tmpl w:val="F65CCFEA"/>
    <w:lvl w:ilvl="0" w:tplc="E60A89AE">
      <w:start w:val="1"/>
      <w:numFmt w:val="bullet"/>
      <w:lvlText w:val=""/>
      <w:lvlJc w:val="left"/>
      <w:pPr>
        <w:ind w:left="720" w:hanging="360"/>
      </w:pPr>
      <w:rPr>
        <w:rFonts w:ascii="Symbol" w:hAnsi="Symbol" w:hint="default"/>
      </w:rPr>
    </w:lvl>
    <w:lvl w:ilvl="1" w:tplc="4142DDDE">
      <w:start w:val="1"/>
      <w:numFmt w:val="bullet"/>
      <w:lvlText w:val="o"/>
      <w:lvlJc w:val="left"/>
      <w:pPr>
        <w:ind w:left="1440" w:hanging="360"/>
      </w:pPr>
      <w:rPr>
        <w:rFonts w:ascii="Courier New" w:hAnsi="Courier New" w:hint="default"/>
      </w:rPr>
    </w:lvl>
    <w:lvl w:ilvl="2" w:tplc="38B870B6">
      <w:start w:val="1"/>
      <w:numFmt w:val="bullet"/>
      <w:lvlText w:val=""/>
      <w:lvlJc w:val="left"/>
      <w:pPr>
        <w:ind w:left="2160" w:hanging="360"/>
      </w:pPr>
      <w:rPr>
        <w:rFonts w:ascii="Wingdings" w:hAnsi="Wingdings" w:hint="default"/>
      </w:rPr>
    </w:lvl>
    <w:lvl w:ilvl="3" w:tplc="76644C6E">
      <w:start w:val="1"/>
      <w:numFmt w:val="bullet"/>
      <w:lvlText w:val=""/>
      <w:lvlJc w:val="left"/>
      <w:pPr>
        <w:ind w:left="2880" w:hanging="360"/>
      </w:pPr>
      <w:rPr>
        <w:rFonts w:ascii="Symbol" w:hAnsi="Symbol" w:hint="default"/>
      </w:rPr>
    </w:lvl>
    <w:lvl w:ilvl="4" w:tplc="776023B8">
      <w:start w:val="1"/>
      <w:numFmt w:val="bullet"/>
      <w:lvlText w:val="o"/>
      <w:lvlJc w:val="left"/>
      <w:pPr>
        <w:ind w:left="3600" w:hanging="360"/>
      </w:pPr>
      <w:rPr>
        <w:rFonts w:ascii="Courier New" w:hAnsi="Courier New" w:hint="default"/>
      </w:rPr>
    </w:lvl>
    <w:lvl w:ilvl="5" w:tplc="9D2661CE">
      <w:start w:val="1"/>
      <w:numFmt w:val="bullet"/>
      <w:lvlText w:val=""/>
      <w:lvlJc w:val="left"/>
      <w:pPr>
        <w:ind w:left="4320" w:hanging="360"/>
      </w:pPr>
      <w:rPr>
        <w:rFonts w:ascii="Wingdings" w:hAnsi="Wingdings" w:hint="default"/>
      </w:rPr>
    </w:lvl>
    <w:lvl w:ilvl="6" w:tplc="85EC11B8">
      <w:start w:val="1"/>
      <w:numFmt w:val="bullet"/>
      <w:lvlText w:val=""/>
      <w:lvlJc w:val="left"/>
      <w:pPr>
        <w:ind w:left="5040" w:hanging="360"/>
      </w:pPr>
      <w:rPr>
        <w:rFonts w:ascii="Symbol" w:hAnsi="Symbol" w:hint="default"/>
      </w:rPr>
    </w:lvl>
    <w:lvl w:ilvl="7" w:tplc="3F3C335E">
      <w:start w:val="1"/>
      <w:numFmt w:val="bullet"/>
      <w:lvlText w:val="o"/>
      <w:lvlJc w:val="left"/>
      <w:pPr>
        <w:ind w:left="5760" w:hanging="360"/>
      </w:pPr>
      <w:rPr>
        <w:rFonts w:ascii="Courier New" w:hAnsi="Courier New" w:hint="default"/>
      </w:rPr>
    </w:lvl>
    <w:lvl w:ilvl="8" w:tplc="E9226DB4">
      <w:start w:val="1"/>
      <w:numFmt w:val="bullet"/>
      <w:lvlText w:val=""/>
      <w:lvlJc w:val="left"/>
      <w:pPr>
        <w:ind w:left="6480" w:hanging="360"/>
      </w:pPr>
      <w:rPr>
        <w:rFonts w:ascii="Wingdings" w:hAnsi="Wingdings" w:hint="default"/>
      </w:rPr>
    </w:lvl>
  </w:abstractNum>
  <w:abstractNum w:abstractNumId="23" w15:restartNumberingAfterBreak="0">
    <w:nsid w:val="5B8C4FAD"/>
    <w:multiLevelType w:val="hybridMultilevel"/>
    <w:tmpl w:val="AF8073BA"/>
    <w:lvl w:ilvl="0" w:tplc="15C2339C">
      <w:start w:val="1"/>
      <w:numFmt w:val="bullet"/>
      <w:lvlText w:val="·"/>
      <w:lvlJc w:val="left"/>
      <w:pPr>
        <w:ind w:left="720" w:hanging="360"/>
      </w:pPr>
      <w:rPr>
        <w:rFonts w:ascii="&quot;Century Gothic&quot;,sans-serif" w:hAnsi="&quot;Century Gothic&quot;,sans-serif" w:hint="default"/>
      </w:rPr>
    </w:lvl>
    <w:lvl w:ilvl="1" w:tplc="688A1794">
      <w:start w:val="1"/>
      <w:numFmt w:val="bullet"/>
      <w:lvlText w:val="o"/>
      <w:lvlJc w:val="left"/>
      <w:pPr>
        <w:ind w:left="1440" w:hanging="360"/>
      </w:pPr>
      <w:rPr>
        <w:rFonts w:ascii="Courier New" w:hAnsi="Courier New" w:hint="default"/>
      </w:rPr>
    </w:lvl>
    <w:lvl w:ilvl="2" w:tplc="0F42AA22">
      <w:start w:val="1"/>
      <w:numFmt w:val="bullet"/>
      <w:lvlText w:val=""/>
      <w:lvlJc w:val="left"/>
      <w:pPr>
        <w:ind w:left="2160" w:hanging="360"/>
      </w:pPr>
      <w:rPr>
        <w:rFonts w:ascii="Wingdings" w:hAnsi="Wingdings" w:hint="default"/>
      </w:rPr>
    </w:lvl>
    <w:lvl w:ilvl="3" w:tplc="5114D6B8">
      <w:start w:val="1"/>
      <w:numFmt w:val="bullet"/>
      <w:lvlText w:val=""/>
      <w:lvlJc w:val="left"/>
      <w:pPr>
        <w:ind w:left="2880" w:hanging="360"/>
      </w:pPr>
      <w:rPr>
        <w:rFonts w:ascii="Symbol" w:hAnsi="Symbol" w:hint="default"/>
      </w:rPr>
    </w:lvl>
    <w:lvl w:ilvl="4" w:tplc="DD64C9F2">
      <w:start w:val="1"/>
      <w:numFmt w:val="bullet"/>
      <w:lvlText w:val="o"/>
      <w:lvlJc w:val="left"/>
      <w:pPr>
        <w:ind w:left="3600" w:hanging="360"/>
      </w:pPr>
      <w:rPr>
        <w:rFonts w:ascii="Courier New" w:hAnsi="Courier New" w:hint="default"/>
      </w:rPr>
    </w:lvl>
    <w:lvl w:ilvl="5" w:tplc="F87A134E">
      <w:start w:val="1"/>
      <w:numFmt w:val="bullet"/>
      <w:lvlText w:val=""/>
      <w:lvlJc w:val="left"/>
      <w:pPr>
        <w:ind w:left="4320" w:hanging="360"/>
      </w:pPr>
      <w:rPr>
        <w:rFonts w:ascii="Wingdings" w:hAnsi="Wingdings" w:hint="default"/>
      </w:rPr>
    </w:lvl>
    <w:lvl w:ilvl="6" w:tplc="E0F23B04">
      <w:start w:val="1"/>
      <w:numFmt w:val="bullet"/>
      <w:lvlText w:val=""/>
      <w:lvlJc w:val="left"/>
      <w:pPr>
        <w:ind w:left="5040" w:hanging="360"/>
      </w:pPr>
      <w:rPr>
        <w:rFonts w:ascii="Symbol" w:hAnsi="Symbol" w:hint="default"/>
      </w:rPr>
    </w:lvl>
    <w:lvl w:ilvl="7" w:tplc="6E263ABA">
      <w:start w:val="1"/>
      <w:numFmt w:val="bullet"/>
      <w:lvlText w:val="o"/>
      <w:lvlJc w:val="left"/>
      <w:pPr>
        <w:ind w:left="5760" w:hanging="360"/>
      </w:pPr>
      <w:rPr>
        <w:rFonts w:ascii="Courier New" w:hAnsi="Courier New" w:hint="default"/>
      </w:rPr>
    </w:lvl>
    <w:lvl w:ilvl="8" w:tplc="3BB87072">
      <w:start w:val="1"/>
      <w:numFmt w:val="bullet"/>
      <w:lvlText w:val=""/>
      <w:lvlJc w:val="left"/>
      <w:pPr>
        <w:ind w:left="6480" w:hanging="360"/>
      </w:pPr>
      <w:rPr>
        <w:rFonts w:ascii="Wingdings" w:hAnsi="Wingdings" w:hint="default"/>
      </w:rPr>
    </w:lvl>
  </w:abstractNum>
  <w:abstractNum w:abstractNumId="24" w15:restartNumberingAfterBreak="0">
    <w:nsid w:val="5E2B64A4"/>
    <w:multiLevelType w:val="multilevel"/>
    <w:tmpl w:val="88B2BDD6"/>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5" w15:restartNumberingAfterBreak="0">
    <w:nsid w:val="5EAE0989"/>
    <w:multiLevelType w:val="hybridMultilevel"/>
    <w:tmpl w:val="ECAC0BDE"/>
    <w:lvl w:ilvl="0" w:tplc="B854F8A4">
      <w:start w:val="1"/>
      <w:numFmt w:val="bullet"/>
      <w:lvlText w:val=""/>
      <w:lvlJc w:val="left"/>
      <w:pPr>
        <w:ind w:left="720" w:hanging="360"/>
      </w:pPr>
      <w:rPr>
        <w:rFonts w:ascii="Symbol" w:hAnsi="Symbol" w:hint="default"/>
      </w:rPr>
    </w:lvl>
    <w:lvl w:ilvl="1" w:tplc="2E68C964">
      <w:start w:val="1"/>
      <w:numFmt w:val="bullet"/>
      <w:lvlText w:val="o"/>
      <w:lvlJc w:val="left"/>
      <w:pPr>
        <w:ind w:left="1440" w:hanging="360"/>
      </w:pPr>
      <w:rPr>
        <w:rFonts w:ascii="Courier New" w:hAnsi="Courier New" w:hint="default"/>
      </w:rPr>
    </w:lvl>
    <w:lvl w:ilvl="2" w:tplc="97AAE410">
      <w:start w:val="1"/>
      <w:numFmt w:val="bullet"/>
      <w:lvlText w:val=""/>
      <w:lvlJc w:val="left"/>
      <w:pPr>
        <w:ind w:left="2160" w:hanging="360"/>
      </w:pPr>
      <w:rPr>
        <w:rFonts w:ascii="Wingdings" w:hAnsi="Wingdings" w:hint="default"/>
      </w:rPr>
    </w:lvl>
    <w:lvl w:ilvl="3" w:tplc="C9BA9B64">
      <w:start w:val="1"/>
      <w:numFmt w:val="bullet"/>
      <w:lvlText w:val=""/>
      <w:lvlJc w:val="left"/>
      <w:pPr>
        <w:ind w:left="2880" w:hanging="360"/>
      </w:pPr>
      <w:rPr>
        <w:rFonts w:ascii="Symbol" w:hAnsi="Symbol" w:hint="default"/>
      </w:rPr>
    </w:lvl>
    <w:lvl w:ilvl="4" w:tplc="BED81F7A">
      <w:start w:val="1"/>
      <w:numFmt w:val="bullet"/>
      <w:lvlText w:val="o"/>
      <w:lvlJc w:val="left"/>
      <w:pPr>
        <w:ind w:left="3600" w:hanging="360"/>
      </w:pPr>
      <w:rPr>
        <w:rFonts w:ascii="Courier New" w:hAnsi="Courier New" w:hint="default"/>
      </w:rPr>
    </w:lvl>
    <w:lvl w:ilvl="5" w:tplc="D0ACF704">
      <w:start w:val="1"/>
      <w:numFmt w:val="bullet"/>
      <w:lvlText w:val=""/>
      <w:lvlJc w:val="left"/>
      <w:pPr>
        <w:ind w:left="4320" w:hanging="360"/>
      </w:pPr>
      <w:rPr>
        <w:rFonts w:ascii="Wingdings" w:hAnsi="Wingdings" w:hint="default"/>
      </w:rPr>
    </w:lvl>
    <w:lvl w:ilvl="6" w:tplc="F9D87310">
      <w:start w:val="1"/>
      <w:numFmt w:val="bullet"/>
      <w:lvlText w:val=""/>
      <w:lvlJc w:val="left"/>
      <w:pPr>
        <w:ind w:left="5040" w:hanging="360"/>
      </w:pPr>
      <w:rPr>
        <w:rFonts w:ascii="Symbol" w:hAnsi="Symbol" w:hint="default"/>
      </w:rPr>
    </w:lvl>
    <w:lvl w:ilvl="7" w:tplc="8E06278C">
      <w:start w:val="1"/>
      <w:numFmt w:val="bullet"/>
      <w:lvlText w:val="o"/>
      <w:lvlJc w:val="left"/>
      <w:pPr>
        <w:ind w:left="5760" w:hanging="360"/>
      </w:pPr>
      <w:rPr>
        <w:rFonts w:ascii="Courier New" w:hAnsi="Courier New" w:hint="default"/>
      </w:rPr>
    </w:lvl>
    <w:lvl w:ilvl="8" w:tplc="7D28DB1A">
      <w:start w:val="1"/>
      <w:numFmt w:val="bullet"/>
      <w:lvlText w:val=""/>
      <w:lvlJc w:val="left"/>
      <w:pPr>
        <w:ind w:left="6480" w:hanging="360"/>
      </w:pPr>
      <w:rPr>
        <w:rFonts w:ascii="Wingdings" w:hAnsi="Wingdings" w:hint="default"/>
      </w:rPr>
    </w:lvl>
  </w:abstractNum>
  <w:abstractNum w:abstractNumId="26" w15:restartNumberingAfterBreak="0">
    <w:nsid w:val="6AA767E4"/>
    <w:multiLevelType w:val="multilevel"/>
    <w:tmpl w:val="824C3536"/>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7" w15:restartNumberingAfterBreak="0">
    <w:nsid w:val="6DDD0B3A"/>
    <w:multiLevelType w:val="multilevel"/>
    <w:tmpl w:val="2522CAAC"/>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6E102302"/>
    <w:multiLevelType w:val="hybridMultilevel"/>
    <w:tmpl w:val="6D28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257A4"/>
    <w:multiLevelType w:val="hybridMultilevel"/>
    <w:tmpl w:val="0968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25C60"/>
    <w:multiLevelType w:val="multilevel"/>
    <w:tmpl w:val="57CEFBA0"/>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6EFB7336"/>
    <w:multiLevelType w:val="multilevel"/>
    <w:tmpl w:val="AD505BD6"/>
    <w:lvl w:ilvl="0">
      <w:start w:val="1"/>
      <w:numFmt w:val="decimal"/>
      <w:lvlText w:val="%1."/>
      <w:lvlJc w:val="left"/>
      <w:pPr>
        <w:ind w:left="720" w:hanging="360"/>
      </w:pPr>
      <w:rPr>
        <w:rFonts w:hint="default"/>
      </w:rPr>
    </w:lvl>
    <w:lvl w:ilvl="1">
      <w:start w:val="1"/>
      <w:numFmt w:val="decimal"/>
      <w:lvlText w:val="%1.%2"/>
      <w:lvlJc w:val="left"/>
      <w:pPr>
        <w:ind w:left="828" w:hanging="468"/>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2" w15:restartNumberingAfterBreak="0">
    <w:nsid w:val="70164209"/>
    <w:multiLevelType w:val="hybridMultilevel"/>
    <w:tmpl w:val="33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5439F7"/>
    <w:multiLevelType w:val="hybridMultilevel"/>
    <w:tmpl w:val="0F84ACCA"/>
    <w:lvl w:ilvl="0" w:tplc="08090001">
      <w:start w:val="1"/>
      <w:numFmt w:val="bullet"/>
      <w:lvlText w:val=""/>
      <w:lvlJc w:val="left"/>
      <w:pPr>
        <w:ind w:left="720" w:hanging="360"/>
      </w:pPr>
      <w:rPr>
        <w:rFonts w:ascii="Symbol" w:hAnsi="Symbol" w:hint="default"/>
      </w:rPr>
    </w:lvl>
    <w:lvl w:ilvl="1" w:tplc="2DA803A8">
      <w:start w:val="1"/>
      <w:numFmt w:val="bullet"/>
      <w:lvlText w:val="o"/>
      <w:lvlJc w:val="left"/>
      <w:pPr>
        <w:ind w:left="1440" w:hanging="360"/>
      </w:pPr>
      <w:rPr>
        <w:rFonts w:ascii="Courier New" w:hAnsi="Courier New" w:hint="default"/>
      </w:rPr>
    </w:lvl>
    <w:lvl w:ilvl="2" w:tplc="BFC0C350">
      <w:start w:val="1"/>
      <w:numFmt w:val="bullet"/>
      <w:lvlText w:val=""/>
      <w:lvlJc w:val="left"/>
      <w:pPr>
        <w:ind w:left="2160" w:hanging="360"/>
      </w:pPr>
      <w:rPr>
        <w:rFonts w:ascii="Wingdings" w:hAnsi="Wingdings" w:hint="default"/>
      </w:rPr>
    </w:lvl>
    <w:lvl w:ilvl="3" w:tplc="744E69A8">
      <w:start w:val="1"/>
      <w:numFmt w:val="bullet"/>
      <w:lvlText w:val=""/>
      <w:lvlJc w:val="left"/>
      <w:pPr>
        <w:ind w:left="2880" w:hanging="360"/>
      </w:pPr>
      <w:rPr>
        <w:rFonts w:ascii="Symbol" w:hAnsi="Symbol" w:hint="default"/>
      </w:rPr>
    </w:lvl>
    <w:lvl w:ilvl="4" w:tplc="C938F346">
      <w:start w:val="1"/>
      <w:numFmt w:val="bullet"/>
      <w:lvlText w:val="o"/>
      <w:lvlJc w:val="left"/>
      <w:pPr>
        <w:ind w:left="3600" w:hanging="360"/>
      </w:pPr>
      <w:rPr>
        <w:rFonts w:ascii="Courier New" w:hAnsi="Courier New" w:hint="default"/>
      </w:rPr>
    </w:lvl>
    <w:lvl w:ilvl="5" w:tplc="442E2722">
      <w:start w:val="1"/>
      <w:numFmt w:val="bullet"/>
      <w:lvlText w:val=""/>
      <w:lvlJc w:val="left"/>
      <w:pPr>
        <w:ind w:left="4320" w:hanging="360"/>
      </w:pPr>
      <w:rPr>
        <w:rFonts w:ascii="Wingdings" w:hAnsi="Wingdings" w:hint="default"/>
      </w:rPr>
    </w:lvl>
    <w:lvl w:ilvl="6" w:tplc="BFE8C8D8">
      <w:start w:val="1"/>
      <w:numFmt w:val="bullet"/>
      <w:lvlText w:val=""/>
      <w:lvlJc w:val="left"/>
      <w:pPr>
        <w:ind w:left="5040" w:hanging="360"/>
      </w:pPr>
      <w:rPr>
        <w:rFonts w:ascii="Symbol" w:hAnsi="Symbol" w:hint="default"/>
      </w:rPr>
    </w:lvl>
    <w:lvl w:ilvl="7" w:tplc="B3100CEA">
      <w:start w:val="1"/>
      <w:numFmt w:val="bullet"/>
      <w:lvlText w:val="o"/>
      <w:lvlJc w:val="left"/>
      <w:pPr>
        <w:ind w:left="5760" w:hanging="360"/>
      </w:pPr>
      <w:rPr>
        <w:rFonts w:ascii="Courier New" w:hAnsi="Courier New" w:hint="default"/>
      </w:rPr>
    </w:lvl>
    <w:lvl w:ilvl="8" w:tplc="B1187B3C">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7"/>
  </w:num>
  <w:num w:numId="4">
    <w:abstractNumId w:val="25"/>
  </w:num>
  <w:num w:numId="5">
    <w:abstractNumId w:val="9"/>
  </w:num>
  <w:num w:numId="6">
    <w:abstractNumId w:val="7"/>
  </w:num>
  <w:num w:numId="7">
    <w:abstractNumId w:val="23"/>
  </w:num>
  <w:num w:numId="8">
    <w:abstractNumId w:val="10"/>
  </w:num>
  <w:num w:numId="9">
    <w:abstractNumId w:val="6"/>
  </w:num>
  <w:num w:numId="10">
    <w:abstractNumId w:val="12"/>
  </w:num>
  <w:num w:numId="11">
    <w:abstractNumId w:val="24"/>
  </w:num>
  <w:num w:numId="12">
    <w:abstractNumId w:val="13"/>
  </w:num>
  <w:num w:numId="13">
    <w:abstractNumId w:val="18"/>
  </w:num>
  <w:num w:numId="14">
    <w:abstractNumId w:val="30"/>
  </w:num>
  <w:num w:numId="15">
    <w:abstractNumId w:val="20"/>
  </w:num>
  <w:num w:numId="16">
    <w:abstractNumId w:val="8"/>
  </w:num>
  <w:num w:numId="17">
    <w:abstractNumId w:val="26"/>
  </w:num>
  <w:num w:numId="18">
    <w:abstractNumId w:val="31"/>
  </w:num>
  <w:num w:numId="19">
    <w:abstractNumId w:val="3"/>
  </w:num>
  <w:num w:numId="20">
    <w:abstractNumId w:val="0"/>
  </w:num>
  <w:num w:numId="21">
    <w:abstractNumId w:val="29"/>
  </w:num>
  <w:num w:numId="22">
    <w:abstractNumId w:val="32"/>
  </w:num>
  <w:num w:numId="23">
    <w:abstractNumId w:val="19"/>
  </w:num>
  <w:num w:numId="24">
    <w:abstractNumId w:val="14"/>
  </w:num>
  <w:num w:numId="25">
    <w:abstractNumId w:val="2"/>
  </w:num>
  <w:num w:numId="26">
    <w:abstractNumId w:val="1"/>
  </w:num>
  <w:num w:numId="27">
    <w:abstractNumId w:val="21"/>
  </w:num>
  <w:num w:numId="28">
    <w:abstractNumId w:val="28"/>
  </w:num>
  <w:num w:numId="29">
    <w:abstractNumId w:val="5"/>
  </w:num>
  <w:num w:numId="30">
    <w:abstractNumId w:val="27"/>
  </w:num>
  <w:num w:numId="31">
    <w:abstractNumId w:val="11"/>
  </w:num>
  <w:num w:numId="32">
    <w:abstractNumId w:val="15"/>
  </w:num>
  <w:num w:numId="33">
    <w:abstractNumId w:val="3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1BC"/>
    <w:rsid w:val="003831BC"/>
    <w:rsid w:val="0051143B"/>
    <w:rsid w:val="00FC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A5C5B"/>
  <w15:chartTrackingRefBased/>
  <w15:docId w15:val="{66AAB183-2055-4A48-AD5E-0017C2AE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1BC"/>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3831B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31B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3831B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3831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3831B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3831B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3831B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3831B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3831B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1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31B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3831B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3831BC"/>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3831BC"/>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3831B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3831B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3831BC"/>
    <w:rPr>
      <w:rFonts w:asciiTheme="majorHAnsi" w:eastAsiaTheme="majorEastAsia" w:hAnsiTheme="majorHAnsi" w:cstheme="majorBidi"/>
      <w:b/>
      <w:bCs/>
      <w:color w:val="44546A" w:themeColor="text2"/>
      <w:sz w:val="20"/>
      <w:szCs w:val="20"/>
    </w:rPr>
  </w:style>
  <w:style w:type="character" w:customStyle="1" w:styleId="Heading9Char">
    <w:name w:val="Heading 9 Char"/>
    <w:basedOn w:val="DefaultParagraphFont"/>
    <w:link w:val="Heading9"/>
    <w:uiPriority w:val="9"/>
    <w:semiHidden/>
    <w:rsid w:val="003831BC"/>
    <w:rPr>
      <w:rFonts w:asciiTheme="majorHAnsi" w:eastAsiaTheme="majorEastAsia" w:hAnsiTheme="majorHAnsi" w:cstheme="majorBidi"/>
      <w:b/>
      <w:bCs/>
      <w:i/>
      <w:iCs/>
      <w:color w:val="44546A" w:themeColor="text2"/>
      <w:sz w:val="20"/>
      <w:szCs w:val="20"/>
    </w:rPr>
  </w:style>
  <w:style w:type="table" w:styleId="TableGrid">
    <w:name w:val="Table Grid"/>
    <w:basedOn w:val="TableNormal"/>
    <w:uiPriority w:val="39"/>
    <w:rsid w:val="003831BC"/>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1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1BC"/>
    <w:rPr>
      <w:rFonts w:eastAsiaTheme="minorEastAsia"/>
      <w:sz w:val="20"/>
      <w:szCs w:val="20"/>
    </w:rPr>
  </w:style>
  <w:style w:type="paragraph" w:styleId="Footer">
    <w:name w:val="footer"/>
    <w:basedOn w:val="Normal"/>
    <w:link w:val="FooterChar"/>
    <w:uiPriority w:val="99"/>
    <w:unhideWhenUsed/>
    <w:rsid w:val="003831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1BC"/>
    <w:rPr>
      <w:rFonts w:eastAsiaTheme="minorEastAsia"/>
      <w:sz w:val="20"/>
      <w:szCs w:val="20"/>
    </w:rPr>
  </w:style>
  <w:style w:type="paragraph" w:styleId="Caption">
    <w:name w:val="caption"/>
    <w:basedOn w:val="Normal"/>
    <w:next w:val="Normal"/>
    <w:uiPriority w:val="35"/>
    <w:semiHidden/>
    <w:unhideWhenUsed/>
    <w:qFormat/>
    <w:rsid w:val="003831B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831B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3831B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3831B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31BC"/>
    <w:rPr>
      <w:rFonts w:asciiTheme="majorHAnsi" w:eastAsiaTheme="majorEastAsia" w:hAnsiTheme="majorHAnsi" w:cstheme="majorBidi"/>
      <w:sz w:val="24"/>
      <w:szCs w:val="24"/>
    </w:rPr>
  </w:style>
  <w:style w:type="character" w:styleId="Strong">
    <w:name w:val="Strong"/>
    <w:basedOn w:val="DefaultParagraphFont"/>
    <w:uiPriority w:val="22"/>
    <w:qFormat/>
    <w:rsid w:val="003831BC"/>
    <w:rPr>
      <w:b/>
      <w:bCs/>
    </w:rPr>
  </w:style>
  <w:style w:type="character" w:styleId="Emphasis">
    <w:name w:val="Emphasis"/>
    <w:basedOn w:val="DefaultParagraphFont"/>
    <w:uiPriority w:val="20"/>
    <w:qFormat/>
    <w:rsid w:val="003831BC"/>
    <w:rPr>
      <w:i/>
      <w:iCs/>
    </w:rPr>
  </w:style>
  <w:style w:type="paragraph" w:styleId="NoSpacing">
    <w:name w:val="No Spacing"/>
    <w:uiPriority w:val="1"/>
    <w:qFormat/>
    <w:rsid w:val="003831BC"/>
    <w:pPr>
      <w:spacing w:after="0" w:line="240" w:lineRule="auto"/>
    </w:pPr>
    <w:rPr>
      <w:rFonts w:eastAsiaTheme="minorEastAsia"/>
      <w:sz w:val="20"/>
      <w:szCs w:val="20"/>
    </w:rPr>
  </w:style>
  <w:style w:type="paragraph" w:styleId="Quote">
    <w:name w:val="Quote"/>
    <w:basedOn w:val="Normal"/>
    <w:next w:val="Normal"/>
    <w:link w:val="QuoteChar"/>
    <w:uiPriority w:val="29"/>
    <w:qFormat/>
    <w:rsid w:val="003831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31BC"/>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3831B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3831B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3831BC"/>
    <w:rPr>
      <w:i/>
      <w:iCs/>
      <w:color w:val="404040" w:themeColor="text1" w:themeTint="BF"/>
    </w:rPr>
  </w:style>
  <w:style w:type="character" w:styleId="IntenseEmphasis">
    <w:name w:val="Intense Emphasis"/>
    <w:basedOn w:val="DefaultParagraphFont"/>
    <w:uiPriority w:val="21"/>
    <w:qFormat/>
    <w:rsid w:val="003831BC"/>
    <w:rPr>
      <w:b/>
      <w:bCs/>
      <w:i/>
      <w:iCs/>
    </w:rPr>
  </w:style>
  <w:style w:type="character" w:styleId="SubtleReference">
    <w:name w:val="Subtle Reference"/>
    <w:basedOn w:val="DefaultParagraphFont"/>
    <w:uiPriority w:val="31"/>
    <w:qFormat/>
    <w:rsid w:val="003831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31BC"/>
    <w:rPr>
      <w:b/>
      <w:bCs/>
      <w:smallCaps/>
      <w:spacing w:val="5"/>
      <w:u w:val="single"/>
    </w:rPr>
  </w:style>
  <w:style w:type="character" w:styleId="BookTitle">
    <w:name w:val="Book Title"/>
    <w:basedOn w:val="DefaultParagraphFont"/>
    <w:uiPriority w:val="33"/>
    <w:qFormat/>
    <w:rsid w:val="003831BC"/>
    <w:rPr>
      <w:b/>
      <w:bCs/>
      <w:smallCaps/>
    </w:rPr>
  </w:style>
  <w:style w:type="paragraph" w:styleId="TOCHeading">
    <w:name w:val="TOC Heading"/>
    <w:basedOn w:val="Heading1"/>
    <w:next w:val="Normal"/>
    <w:uiPriority w:val="39"/>
    <w:unhideWhenUsed/>
    <w:qFormat/>
    <w:rsid w:val="003831BC"/>
    <w:pPr>
      <w:outlineLvl w:val="9"/>
    </w:pPr>
  </w:style>
  <w:style w:type="paragraph" w:styleId="TOC1">
    <w:name w:val="toc 1"/>
    <w:basedOn w:val="Normal"/>
    <w:next w:val="Normal"/>
    <w:autoRedefine/>
    <w:uiPriority w:val="39"/>
    <w:unhideWhenUsed/>
    <w:rsid w:val="003831BC"/>
    <w:pPr>
      <w:spacing w:after="100"/>
    </w:pPr>
  </w:style>
  <w:style w:type="paragraph" w:styleId="TOC2">
    <w:name w:val="toc 2"/>
    <w:basedOn w:val="Normal"/>
    <w:next w:val="Normal"/>
    <w:autoRedefine/>
    <w:uiPriority w:val="39"/>
    <w:unhideWhenUsed/>
    <w:rsid w:val="003831BC"/>
    <w:pPr>
      <w:spacing w:after="100"/>
      <w:ind w:left="200"/>
    </w:pPr>
  </w:style>
  <w:style w:type="character" w:styleId="Hyperlink">
    <w:name w:val="Hyperlink"/>
    <w:basedOn w:val="DefaultParagraphFont"/>
    <w:uiPriority w:val="99"/>
    <w:unhideWhenUsed/>
    <w:rsid w:val="003831BC"/>
    <w:rPr>
      <w:color w:val="0563C1" w:themeColor="hyperlink"/>
      <w:u w:val="single"/>
    </w:rPr>
  </w:style>
  <w:style w:type="paragraph" w:styleId="ListParagraph">
    <w:name w:val="List Paragraph"/>
    <w:basedOn w:val="Normal"/>
    <w:uiPriority w:val="34"/>
    <w:qFormat/>
    <w:rsid w:val="003831BC"/>
    <w:pPr>
      <w:ind w:left="720"/>
      <w:contextualSpacing/>
    </w:pPr>
  </w:style>
  <w:style w:type="character" w:styleId="FollowedHyperlink">
    <w:name w:val="FollowedHyperlink"/>
    <w:basedOn w:val="DefaultParagraphFont"/>
    <w:uiPriority w:val="99"/>
    <w:semiHidden/>
    <w:unhideWhenUsed/>
    <w:rsid w:val="003831BC"/>
    <w:rPr>
      <w:color w:val="954F72"/>
      <w:u w:val="single"/>
    </w:rPr>
  </w:style>
  <w:style w:type="paragraph" w:customStyle="1" w:styleId="msonormal0">
    <w:name w:val="msonormal"/>
    <w:basedOn w:val="Normal"/>
    <w:rsid w:val="003831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83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BC"/>
    <w:rPr>
      <w:rFonts w:ascii="Segoe UI" w:eastAsiaTheme="minorEastAsia" w:hAnsi="Segoe UI" w:cs="Segoe UI"/>
      <w:sz w:val="18"/>
      <w:szCs w:val="18"/>
    </w:rPr>
  </w:style>
  <w:style w:type="paragraph" w:styleId="FootnoteText">
    <w:name w:val="footnote text"/>
    <w:basedOn w:val="Normal"/>
    <w:link w:val="FootnoteTextChar"/>
    <w:uiPriority w:val="99"/>
    <w:semiHidden/>
    <w:unhideWhenUsed/>
    <w:rsid w:val="003831BC"/>
    <w:pPr>
      <w:spacing w:after="0" w:line="240" w:lineRule="auto"/>
    </w:pPr>
  </w:style>
  <w:style w:type="character" w:customStyle="1" w:styleId="FootnoteTextChar">
    <w:name w:val="Footnote Text Char"/>
    <w:basedOn w:val="DefaultParagraphFont"/>
    <w:link w:val="FootnoteText"/>
    <w:uiPriority w:val="99"/>
    <w:semiHidden/>
    <w:rsid w:val="003831BC"/>
    <w:rPr>
      <w:rFonts w:eastAsiaTheme="minorEastAsia"/>
      <w:sz w:val="20"/>
      <w:szCs w:val="20"/>
    </w:rPr>
  </w:style>
  <w:style w:type="character" w:styleId="FootnoteReference">
    <w:name w:val="footnote reference"/>
    <w:basedOn w:val="DefaultParagraphFont"/>
    <w:uiPriority w:val="99"/>
    <w:semiHidden/>
    <w:unhideWhenUsed/>
    <w:rsid w:val="003831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essex.gov.uk/dataset/emkw5/eldp-physical-activity-dashboard"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10" Type="http://schemas.openxmlformats.org/officeDocument/2006/relationships/hyperlink" Target="https://sportengland.communityinsight.or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58</Pages>
  <Words>15561</Words>
  <Characters>88702</Characters>
  <Application>Microsoft Office Word</Application>
  <DocSecurity>0</DocSecurity>
  <Lines>739</Lines>
  <Paragraphs>208</Paragraphs>
  <ScaleCrop>false</ScaleCrop>
  <Company>Essex County Council</Company>
  <LinksUpToDate>false</LinksUpToDate>
  <CharactersWithSpaces>104055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Jevon Harper - Senior Analyst</dc:creator>
  <cp:keywords/>
  <dc:description/>
  <cp:lastModifiedBy>Jevon Harper - Senior Analyst</cp:lastModifiedBy>
  <cp:revision>2</cp:revision>
  <dcterms:created xsi:type="dcterms:W3CDTF">2020-09-09T13:11:00Z</dcterms:created>
  <dcterms:modified xsi:type="dcterms:W3CDTF">2020-09-09T13:19:00Z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2020-09-09T13:15:14Z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31e0f4e6-bb66-407e-b149-0000b5b7b227</vt:lpwstr>
  </property>
  <property fmtid="{D5CDD505-2E9C-101B-9397-08002B2CF9AE}" pid="8" name="MSIP_Label_39d8be9e-c8d9-4b9c-bd40-2c27cc7ea2e6_ContentBits">
    <vt:lpwstr>0</vt:lpwstr>
  </property>
</Properties>
</file>