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FA85B" w14:textId="77777777" w:rsidR="006467C7" w:rsidRDefault="006467C7" w:rsidP="006467C7">
      <w:pPr>
        <w:pStyle w:val="Heading1"/>
        <w:spacing w:before="0" w:line="240" w:lineRule="auto"/>
        <w:contextualSpacing/>
      </w:pPr>
      <w:r>
        <w:t>Appendix B</w:t>
      </w:r>
      <w:r w:rsidRPr="000C6DC6">
        <w:t xml:space="preserve"> </w:t>
      </w:r>
      <w:r>
        <w:t xml:space="preserve">                                                                          Essex HWB PNA</w:t>
      </w:r>
      <w:r w:rsidRPr="000C6DC6">
        <w:t xml:space="preserve"> </w:t>
      </w:r>
      <w:r>
        <w:t xml:space="preserve">                                        </w:t>
      </w:r>
    </w:p>
    <w:p w14:paraId="745A754F" w14:textId="6E3B2396" w:rsidR="006467C7" w:rsidRDefault="006467C7" w:rsidP="006467C7">
      <w:pPr>
        <w:pStyle w:val="Heading1"/>
        <w:spacing w:line="240" w:lineRule="auto"/>
      </w:pPr>
      <w:r>
        <w:t xml:space="preserve">Essex Health and Wellbeing Board Pharmaceutical Needs Assessment (PNA) Formal Consultation </w:t>
      </w:r>
      <w:r w:rsidR="00343984">
        <w:t>2025</w:t>
      </w:r>
    </w:p>
    <w:p w14:paraId="4D535820" w14:textId="77777777" w:rsidR="006467C7" w:rsidRDefault="006467C7" w:rsidP="006467C7">
      <w:pPr>
        <w:spacing w:line="240" w:lineRule="auto"/>
      </w:pPr>
    </w:p>
    <w:p w14:paraId="1168AA5B" w14:textId="0AC639D6" w:rsidR="006467C7" w:rsidRDefault="006467C7" w:rsidP="006467C7">
      <w:pPr>
        <w:spacing w:line="240" w:lineRule="auto"/>
      </w:pPr>
      <w:r>
        <w:t>Under the NHS Pharmaceutical Services Regulations 2013 regulations, all Health and Wellbeing Boards (HWB's) are required to publish a PNA by 1 October 202</w:t>
      </w:r>
      <w:r w:rsidR="00842770">
        <w:t>5</w:t>
      </w:r>
      <w:r>
        <w:t xml:space="preserve">. </w:t>
      </w:r>
    </w:p>
    <w:p w14:paraId="775C19A8" w14:textId="77777777" w:rsidR="006467C7" w:rsidRDefault="006467C7" w:rsidP="006467C7">
      <w:pPr>
        <w:spacing w:line="240" w:lineRule="auto"/>
      </w:pPr>
      <w:r>
        <w:t>The purpose of the PNA is to assess and set out how the provision of pharmaceutical services can meet the current and future health needs of the HWB's population for a period of up to three years.</w:t>
      </w:r>
    </w:p>
    <w:p w14:paraId="23512F81" w14:textId="72904E91" w:rsidR="006467C7" w:rsidRDefault="006467C7" w:rsidP="006467C7">
      <w:pPr>
        <w:spacing w:line="240" w:lineRule="auto"/>
      </w:pPr>
      <w:r>
        <w:t xml:space="preserve">The document is then used by NHS England as the basis for determining market entry to a pharmaceutical list including the opening of additional pharmacies, relocations and consolidations of premises and amendments to opening hours or pharmaceutical services. It is also used by local commissioning </w:t>
      </w:r>
      <w:r w:rsidR="00C94657">
        <w:t>organi</w:t>
      </w:r>
      <w:r w:rsidR="0081368E">
        <w:t>s</w:t>
      </w:r>
      <w:r w:rsidR="00C94657">
        <w:t>ations</w:t>
      </w:r>
      <w:r>
        <w:t xml:space="preserve"> to commission pharmaceutical services.</w:t>
      </w:r>
    </w:p>
    <w:p w14:paraId="7C9829DF" w14:textId="631EF553" w:rsidR="006467C7" w:rsidRDefault="006467C7" w:rsidP="006467C7">
      <w:pPr>
        <w:spacing w:line="240" w:lineRule="auto"/>
      </w:pPr>
      <w:r>
        <w:t xml:space="preserve">As part of the NHS Pharmaceutical Services Regulations 2013, the HWB is required to consult a specified range of relevant </w:t>
      </w:r>
      <w:r w:rsidR="00C94657">
        <w:t>organi</w:t>
      </w:r>
      <w:r w:rsidR="00020A4C">
        <w:t>s</w:t>
      </w:r>
      <w:r w:rsidR="00C94657">
        <w:t>ations</w:t>
      </w:r>
      <w:r>
        <w:t xml:space="preserve">* on a draft of the PNA at least once during the process of developing the document. </w:t>
      </w:r>
    </w:p>
    <w:p w14:paraId="748B512F" w14:textId="322A8D1D" w:rsidR="006467C7" w:rsidRDefault="006467C7" w:rsidP="006467C7">
      <w:pPr>
        <w:spacing w:after="0"/>
      </w:pPr>
      <w:r>
        <w:t xml:space="preserve">*The following </w:t>
      </w:r>
      <w:r w:rsidR="00C94657">
        <w:t>organi</w:t>
      </w:r>
      <w:r w:rsidR="00020A4C">
        <w:t>s</w:t>
      </w:r>
      <w:r w:rsidR="00C94657">
        <w:t>ations</w:t>
      </w:r>
      <w:r>
        <w:t xml:space="preserve"> must be consulted:</w:t>
      </w:r>
    </w:p>
    <w:p w14:paraId="1FB67DF9" w14:textId="77777777" w:rsidR="006467C7" w:rsidRDefault="006467C7" w:rsidP="006467C7">
      <w:pPr>
        <w:spacing w:after="0"/>
      </w:pPr>
      <w:r>
        <w:t>• the local pharmaceutical committee (LPC)</w:t>
      </w:r>
    </w:p>
    <w:p w14:paraId="370B83B6" w14:textId="77777777" w:rsidR="006467C7" w:rsidRDefault="006467C7" w:rsidP="006467C7">
      <w:pPr>
        <w:spacing w:after="0"/>
      </w:pPr>
      <w:r>
        <w:t>• the local medical committee (LMC)</w:t>
      </w:r>
    </w:p>
    <w:p w14:paraId="4FC8B72E" w14:textId="77777777" w:rsidR="006467C7" w:rsidRDefault="006467C7" w:rsidP="006467C7">
      <w:pPr>
        <w:spacing w:after="0"/>
      </w:pPr>
      <w:r>
        <w:t>• pharmacy and dispensing appliance contractors included in the pharmaceutical list for    the area of the Essex HWB,</w:t>
      </w:r>
    </w:p>
    <w:p w14:paraId="62284649" w14:textId="77777777" w:rsidR="006467C7" w:rsidRDefault="006467C7" w:rsidP="006467C7">
      <w:pPr>
        <w:spacing w:after="0"/>
      </w:pPr>
      <w:r>
        <w:t>• dispensing doctors included in the dispensing doctor list for the area of the HWB</w:t>
      </w:r>
    </w:p>
    <w:p w14:paraId="3E1D51E9" w14:textId="77777777" w:rsidR="006467C7" w:rsidRDefault="006467C7" w:rsidP="006467C7">
      <w:pPr>
        <w:spacing w:after="0"/>
      </w:pPr>
      <w:r>
        <w:t>• any pharmacy contractor that holds a local pharmaceutical services contract with premises that are in the HWB's area</w:t>
      </w:r>
    </w:p>
    <w:p w14:paraId="05DC26FF" w14:textId="77777777" w:rsidR="006467C7" w:rsidRDefault="006467C7" w:rsidP="006467C7">
      <w:pPr>
        <w:spacing w:after="0"/>
      </w:pPr>
      <w:r>
        <w:t>• Healthwatch, and any other patient, consumer, or community group in the area which the HWB believes has an interest in the provision of pharmaceutical services</w:t>
      </w:r>
    </w:p>
    <w:p w14:paraId="69D0C5D2" w14:textId="77777777" w:rsidR="006467C7" w:rsidRDefault="006467C7" w:rsidP="006467C7">
      <w:pPr>
        <w:spacing w:after="0"/>
      </w:pPr>
      <w:r>
        <w:t>• any NHS trust or NHS foundation trust in the HWB’s area</w:t>
      </w:r>
    </w:p>
    <w:p w14:paraId="09420A8B" w14:textId="77777777" w:rsidR="006467C7" w:rsidRDefault="006467C7" w:rsidP="006467C7">
      <w:pPr>
        <w:spacing w:after="0"/>
      </w:pPr>
      <w:r>
        <w:t>• NHS England and NHS Improvement (NHSE)</w:t>
      </w:r>
    </w:p>
    <w:p w14:paraId="459B36A2" w14:textId="33351934" w:rsidR="006467C7" w:rsidRDefault="006467C7" w:rsidP="006467C7">
      <w:pPr>
        <w:spacing w:after="0"/>
      </w:pPr>
      <w:r>
        <w:t xml:space="preserve">• any </w:t>
      </w:r>
      <w:r w:rsidR="00C94657">
        <w:t>neighbo</w:t>
      </w:r>
      <w:r w:rsidR="006B0284">
        <w:t>u</w:t>
      </w:r>
      <w:r w:rsidR="00C94657">
        <w:t>ring</w:t>
      </w:r>
      <w:r>
        <w:t xml:space="preserve"> HWB, and</w:t>
      </w:r>
    </w:p>
    <w:p w14:paraId="6E8BD145" w14:textId="77777777" w:rsidR="006467C7" w:rsidRDefault="006467C7" w:rsidP="006467C7">
      <w:pPr>
        <w:spacing w:after="0"/>
      </w:pPr>
      <w:r>
        <w:t>• Integrated Care Boards and Integrated Care Systems for the HWB area.</w:t>
      </w:r>
    </w:p>
    <w:p w14:paraId="04E83DE7" w14:textId="77777777" w:rsidR="006467C7" w:rsidRDefault="006467C7" w:rsidP="006467C7"/>
    <w:p w14:paraId="5C9B87E1" w14:textId="539122CA" w:rsidR="006467C7" w:rsidRDefault="006467C7" w:rsidP="006467C7">
      <w:r>
        <w:t xml:space="preserve">The consultation was open on Citizen Space, Essex County Council’s consultation portal, from </w:t>
      </w:r>
      <w:r w:rsidR="00304FF6">
        <w:t>1</w:t>
      </w:r>
      <w:r>
        <w:t>3</w:t>
      </w:r>
      <w:r w:rsidR="00304FF6" w:rsidRPr="00304FF6">
        <w:rPr>
          <w:vertAlign w:val="superscript"/>
        </w:rPr>
        <w:t>th</w:t>
      </w:r>
      <w:r>
        <w:t xml:space="preserve"> </w:t>
      </w:r>
      <w:r w:rsidR="001602C0">
        <w:t>June</w:t>
      </w:r>
      <w:r>
        <w:t xml:space="preserve"> 202</w:t>
      </w:r>
      <w:r w:rsidR="001602C0">
        <w:t>5</w:t>
      </w:r>
      <w:r>
        <w:t xml:space="preserve"> to </w:t>
      </w:r>
      <w:r w:rsidR="00304FF6">
        <w:t>13</w:t>
      </w:r>
      <w:r w:rsidR="00304FF6" w:rsidRPr="00304FF6">
        <w:rPr>
          <w:vertAlign w:val="superscript"/>
        </w:rPr>
        <w:t>th</w:t>
      </w:r>
      <w:r>
        <w:t xml:space="preserve"> August 202</w:t>
      </w:r>
      <w:r w:rsidR="00304FF6">
        <w:t>5</w:t>
      </w:r>
      <w:r>
        <w:t>.</w:t>
      </w:r>
    </w:p>
    <w:p w14:paraId="55B8AF15" w14:textId="787C3096" w:rsidR="006467C7" w:rsidRDefault="006467C7" w:rsidP="006467C7">
      <w:pPr>
        <w:rPr>
          <w:b/>
        </w:rPr>
      </w:pPr>
      <w:r w:rsidRPr="00677B39">
        <w:t xml:space="preserve">There were </w:t>
      </w:r>
      <w:r w:rsidR="00304FF6" w:rsidRPr="00677B39">
        <w:t>9</w:t>
      </w:r>
      <w:r w:rsidRPr="00677B39">
        <w:t xml:space="preserve"> responses to the consultation on the portal. Not all responders answered all </w:t>
      </w:r>
      <w:r w:rsidR="00C94657" w:rsidRPr="00677B39">
        <w:t>questions,</w:t>
      </w:r>
      <w:r w:rsidRPr="00677B39">
        <w:t xml:space="preserve"> and some questions were only directed at certain </w:t>
      </w:r>
      <w:r w:rsidR="00C94657" w:rsidRPr="00677B39">
        <w:t>organi</w:t>
      </w:r>
      <w:r w:rsidR="00020A4C" w:rsidRPr="00677B39">
        <w:t>s</w:t>
      </w:r>
      <w:r w:rsidR="00C94657" w:rsidRPr="00677B39">
        <w:t>ations</w:t>
      </w:r>
      <w:r w:rsidRPr="00677B39">
        <w:t xml:space="preserve">. Other </w:t>
      </w:r>
      <w:r w:rsidR="00C94657" w:rsidRPr="00677B39">
        <w:t>organi</w:t>
      </w:r>
      <w:r w:rsidR="00020A4C" w:rsidRPr="00677B39">
        <w:t>s</w:t>
      </w:r>
      <w:r w:rsidR="00C94657" w:rsidRPr="00677B39">
        <w:t>ations</w:t>
      </w:r>
      <w:r w:rsidRPr="00677B39">
        <w:t xml:space="preserve"> who </w:t>
      </w:r>
      <w:r w:rsidR="0083344C">
        <w:t>were consulted</w:t>
      </w:r>
      <w:r w:rsidRPr="00677B39">
        <w:t xml:space="preserve"> are Essex LPC, Essex LMC, NHSE, </w:t>
      </w:r>
      <w:r w:rsidR="00C94657" w:rsidRPr="00677B39">
        <w:t>neighbo</w:t>
      </w:r>
      <w:r w:rsidR="006B0284" w:rsidRPr="00677B39">
        <w:t>u</w:t>
      </w:r>
      <w:r w:rsidR="00C94657" w:rsidRPr="00677B39">
        <w:t>ring</w:t>
      </w:r>
      <w:r w:rsidRPr="00677B39">
        <w:t xml:space="preserve"> HWBs and individual contractors.</w:t>
      </w:r>
    </w:p>
    <w:p w14:paraId="2921AB7F" w14:textId="607508D5" w:rsidR="006467C7" w:rsidRPr="00C17445" w:rsidRDefault="00C94657" w:rsidP="006467C7">
      <w:pPr>
        <w:rPr>
          <w:bCs/>
        </w:rPr>
      </w:pPr>
      <w:r w:rsidRPr="00C17445">
        <w:rPr>
          <w:bCs/>
        </w:rPr>
        <w:lastRenderedPageBreak/>
        <w:t>Additional</w:t>
      </w:r>
      <w:r>
        <w:rPr>
          <w:bCs/>
        </w:rPr>
        <w:t>ly,</w:t>
      </w:r>
      <w:r w:rsidR="006467C7">
        <w:rPr>
          <w:bCs/>
        </w:rPr>
        <w:t xml:space="preserve"> </w:t>
      </w:r>
      <w:r w:rsidR="00AA7521">
        <w:rPr>
          <w:bCs/>
        </w:rPr>
        <w:t>1</w:t>
      </w:r>
      <w:r w:rsidR="006467C7" w:rsidRPr="00C17445">
        <w:rPr>
          <w:bCs/>
        </w:rPr>
        <w:t xml:space="preserve"> email and </w:t>
      </w:r>
      <w:r w:rsidR="006467C7">
        <w:rPr>
          <w:bCs/>
        </w:rPr>
        <w:t xml:space="preserve">various </w:t>
      </w:r>
      <w:r w:rsidR="006467C7" w:rsidRPr="00C17445">
        <w:rPr>
          <w:bCs/>
        </w:rPr>
        <w:t xml:space="preserve">documents were received as part of the consultation process. The themes from these responses have been collated and </w:t>
      </w:r>
      <w:r w:rsidR="00570C76" w:rsidRPr="00C17445">
        <w:rPr>
          <w:bCs/>
        </w:rPr>
        <w:t>analyzed</w:t>
      </w:r>
      <w:r w:rsidR="006467C7">
        <w:rPr>
          <w:bCs/>
        </w:rPr>
        <w:t xml:space="preserve"> and are i</w:t>
      </w:r>
      <w:r w:rsidR="006467C7" w:rsidRPr="00C17445">
        <w:rPr>
          <w:bCs/>
        </w:rPr>
        <w:t>ncluded in this report.</w:t>
      </w:r>
    </w:p>
    <w:p w14:paraId="25EE0306" w14:textId="32693EFD" w:rsidR="00CB22B8" w:rsidRDefault="006467C7">
      <w:r>
        <w:rPr>
          <w:b/>
        </w:rPr>
        <w:t>A further section is provided at the end of this report as a FAQ to support understanding of the scope of the PNA.</w:t>
      </w:r>
    </w:p>
    <w:p w14:paraId="0D75CDA0" w14:textId="77777777" w:rsidR="00343984" w:rsidRDefault="00343984"/>
    <w:p w14:paraId="36F6BFA4" w14:textId="70486765" w:rsidR="00CB22B8" w:rsidRDefault="00600CC3">
      <w:pPr>
        <w:pStyle w:val="Heading2"/>
      </w:pPr>
      <w:r>
        <w:t xml:space="preserve">1: Name of </w:t>
      </w:r>
      <w:r w:rsidR="00163308">
        <w:t>organi</w:t>
      </w:r>
      <w:r w:rsidR="00020A4C">
        <w:t>s</w:t>
      </w:r>
      <w:r w:rsidR="00163308">
        <w:t>ation</w:t>
      </w:r>
      <w:r>
        <w:t xml:space="preserve"> responding (optional):</w:t>
      </w:r>
    </w:p>
    <w:p w14:paraId="5A4C02E9" w14:textId="77777777" w:rsidR="00CB22B8" w:rsidRDefault="00600CC3">
      <w:r>
        <w:t>There were 5 responses to this part of the question.</w:t>
      </w:r>
    </w:p>
    <w:p w14:paraId="31189770" w14:textId="77777777" w:rsidR="00CB22B8" w:rsidRDefault="00CB22B8"/>
    <w:p w14:paraId="338D25D3" w14:textId="182E9EF9" w:rsidR="00CB22B8" w:rsidRDefault="00600CC3" w:rsidP="00715EC3">
      <w:pPr>
        <w:pStyle w:val="Heading2"/>
      </w:pPr>
      <w:r>
        <w:t>2: This document sets out the draft results of the PNA for the Essex HWB – does it achieve this?</w:t>
      </w:r>
    </w:p>
    <w:p w14:paraId="48F0E78B" w14:textId="643EB07B" w:rsidR="00CB22B8" w:rsidRDefault="00600CC3">
      <w:r>
        <w:t>There were 9 responses to this part of the question</w:t>
      </w:r>
      <w:r w:rsidR="006E6C89">
        <w:t>, of which the following responded ‘yes’ or ‘no’:</w:t>
      </w:r>
    </w:p>
    <w:p w14:paraId="5B4DAA28" w14:textId="532A41BD" w:rsidR="00B524E1" w:rsidRDefault="00B524E1">
      <w:r>
        <w:rPr>
          <w:noProof/>
        </w:rPr>
        <w:drawing>
          <wp:inline distT="0" distB="0" distL="0" distR="0" wp14:anchorId="229FE362" wp14:editId="253090A8">
            <wp:extent cx="5414010" cy="1450975"/>
            <wp:effectExtent l="0" t="0" r="0" b="0"/>
            <wp:docPr id="2072641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4010" cy="145097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27239AE7"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3925A5" w14:textId="77777777" w:rsidR="00CB22B8" w:rsidRDefault="00600CC3">
            <w:r>
              <w:t>Option</w:t>
            </w:r>
          </w:p>
        </w:tc>
        <w:tc>
          <w:tcPr>
            <w:tcW w:w="1134" w:type="dxa"/>
          </w:tcPr>
          <w:p w14:paraId="7E6615C9"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2D5EC11F"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7E67C004"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BFA6530" w14:textId="77777777" w:rsidR="00CB22B8" w:rsidRDefault="00600CC3">
            <w:r>
              <w:t>Yes</w:t>
            </w:r>
          </w:p>
        </w:tc>
        <w:tc>
          <w:tcPr>
            <w:tcW w:w="1134" w:type="dxa"/>
          </w:tcPr>
          <w:p w14:paraId="7008B109" w14:textId="77777777" w:rsidR="00CB22B8" w:rsidRDefault="00600CC3">
            <w:pPr>
              <w:cnfStyle w:val="000000100000" w:firstRow="0" w:lastRow="0" w:firstColumn="0" w:lastColumn="0" w:oddVBand="0" w:evenVBand="0" w:oddHBand="1" w:evenHBand="0" w:firstRowFirstColumn="0" w:firstRowLastColumn="0" w:lastRowFirstColumn="0" w:lastRowLastColumn="0"/>
            </w:pPr>
            <w:r>
              <w:t>8</w:t>
            </w:r>
          </w:p>
        </w:tc>
        <w:tc>
          <w:tcPr>
            <w:tcW w:w="1134" w:type="dxa"/>
          </w:tcPr>
          <w:p w14:paraId="187C94DE" w14:textId="77777777" w:rsidR="00CB22B8" w:rsidRDefault="00600CC3">
            <w:pPr>
              <w:cnfStyle w:val="000000100000" w:firstRow="0" w:lastRow="0" w:firstColumn="0" w:lastColumn="0" w:oddVBand="0" w:evenVBand="0" w:oddHBand="1" w:evenHBand="0" w:firstRowFirstColumn="0" w:firstRowLastColumn="0" w:lastRowFirstColumn="0" w:lastRowLastColumn="0"/>
            </w:pPr>
            <w:r>
              <w:t>88.89%</w:t>
            </w:r>
          </w:p>
        </w:tc>
      </w:tr>
      <w:tr w:rsidR="00CB22B8" w14:paraId="58F137A9"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D3E6292" w14:textId="77777777" w:rsidR="00CB22B8" w:rsidRDefault="00600CC3">
            <w:r>
              <w:t>No</w:t>
            </w:r>
          </w:p>
        </w:tc>
        <w:tc>
          <w:tcPr>
            <w:tcW w:w="1134" w:type="dxa"/>
          </w:tcPr>
          <w:p w14:paraId="0D586477" w14:textId="77777777" w:rsidR="00CB22B8" w:rsidRDefault="00600CC3">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1312F297" w14:textId="77777777" w:rsidR="00CB22B8" w:rsidRDefault="00600CC3">
            <w:pPr>
              <w:cnfStyle w:val="000000010000" w:firstRow="0" w:lastRow="0" w:firstColumn="0" w:lastColumn="0" w:oddVBand="0" w:evenVBand="0" w:oddHBand="0" w:evenHBand="1" w:firstRowFirstColumn="0" w:firstRowLastColumn="0" w:lastRowFirstColumn="0" w:lastRowLastColumn="0"/>
            </w:pPr>
            <w:r>
              <w:t>11.11%</w:t>
            </w:r>
          </w:p>
        </w:tc>
      </w:tr>
      <w:tr w:rsidR="00CB22B8" w14:paraId="6C918540"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8F14010" w14:textId="77777777" w:rsidR="00CB22B8" w:rsidRDefault="00600CC3">
            <w:r>
              <w:t>Not Answered</w:t>
            </w:r>
          </w:p>
        </w:tc>
        <w:tc>
          <w:tcPr>
            <w:tcW w:w="1134" w:type="dxa"/>
          </w:tcPr>
          <w:p w14:paraId="1A336E59"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421CF937"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bl>
    <w:p w14:paraId="57955C13" w14:textId="77777777" w:rsidR="007F42F9" w:rsidRDefault="00600CC3" w:rsidP="007F42F9">
      <w:r>
        <w:br/>
      </w:r>
      <w:r w:rsidR="007F42F9">
        <w:rPr>
          <w:b/>
        </w:rPr>
        <w:t>This document sets out the draft results of the PNA for the Essex HWB – does it achieve this? Comments</w:t>
      </w:r>
    </w:p>
    <w:p w14:paraId="4276FDF3" w14:textId="083ED3B3" w:rsidR="00E00A0F" w:rsidRDefault="00E00A0F">
      <w:r>
        <w:t>There w</w:t>
      </w:r>
      <w:r w:rsidR="001A3AB6">
        <w:t xml:space="preserve">as </w:t>
      </w:r>
      <w:r w:rsidR="007F42F9">
        <w:t>1</w:t>
      </w:r>
      <w:r w:rsidR="001A3AB6">
        <w:t xml:space="preserve"> response to this part of the question, </w:t>
      </w:r>
      <w:r w:rsidR="00976DCE">
        <w:t xml:space="preserve">comments received </w:t>
      </w:r>
      <w:r w:rsidR="006D0C09">
        <w:t xml:space="preserve">are presented </w:t>
      </w:r>
      <w:r w:rsidR="00976DCE">
        <w:t xml:space="preserve">below. </w:t>
      </w:r>
    </w:p>
    <w:tbl>
      <w:tblPr>
        <w:tblStyle w:val="TableGrid"/>
        <w:tblW w:w="0" w:type="auto"/>
        <w:tblLook w:val="04A0" w:firstRow="1" w:lastRow="0" w:firstColumn="1" w:lastColumn="0" w:noHBand="0" w:noVBand="1"/>
      </w:tblPr>
      <w:tblGrid>
        <w:gridCol w:w="4428"/>
        <w:gridCol w:w="4428"/>
      </w:tblGrid>
      <w:tr w:rsidR="005B79F1" w14:paraId="4A97E9C8" w14:textId="77777777" w:rsidTr="005B79F1">
        <w:tc>
          <w:tcPr>
            <w:tcW w:w="4428" w:type="dxa"/>
          </w:tcPr>
          <w:p w14:paraId="13E13F72" w14:textId="0CA71856" w:rsidR="005B79F1" w:rsidRDefault="005B79F1">
            <w:r>
              <w:t>Theme</w:t>
            </w:r>
          </w:p>
        </w:tc>
        <w:tc>
          <w:tcPr>
            <w:tcW w:w="4428" w:type="dxa"/>
          </w:tcPr>
          <w:p w14:paraId="434BB628" w14:textId="5A994B2B" w:rsidR="005B79F1" w:rsidRDefault="005B79F1">
            <w:r>
              <w:t>Response</w:t>
            </w:r>
          </w:p>
        </w:tc>
      </w:tr>
      <w:tr w:rsidR="005B79F1" w14:paraId="5DD7A164" w14:textId="77777777" w:rsidTr="005B79F1">
        <w:tc>
          <w:tcPr>
            <w:tcW w:w="4428" w:type="dxa"/>
          </w:tcPr>
          <w:p w14:paraId="40F081E9" w14:textId="40481747" w:rsidR="005B79F1" w:rsidRPr="003D2966" w:rsidRDefault="00E11610">
            <w:pPr>
              <w:rPr>
                <w:rFonts w:ascii="Calibri" w:hAnsi="Calibri" w:cs="Calibri"/>
              </w:rPr>
            </w:pPr>
            <w:r>
              <w:rPr>
                <w:rFonts w:ascii="Calibri" w:hAnsi="Calibri" w:cs="Calibri"/>
              </w:rPr>
              <w:t xml:space="preserve">Clarification and </w:t>
            </w:r>
            <w:r w:rsidR="00273D84">
              <w:rPr>
                <w:rFonts w:ascii="Calibri" w:hAnsi="Calibri" w:cs="Calibri"/>
              </w:rPr>
              <w:t>standardization</w:t>
            </w:r>
            <w:r>
              <w:rPr>
                <w:rFonts w:ascii="Calibri" w:hAnsi="Calibri" w:cs="Calibri"/>
              </w:rPr>
              <w:t xml:space="preserve"> of terminology</w:t>
            </w:r>
            <w:r w:rsidR="001716D6">
              <w:rPr>
                <w:rFonts w:ascii="Calibri" w:hAnsi="Calibri" w:cs="Calibri"/>
              </w:rPr>
              <w:t xml:space="preserve">, e.g., updating abbreviations and </w:t>
            </w:r>
            <w:r w:rsidR="00273D84">
              <w:rPr>
                <w:rFonts w:ascii="Calibri" w:hAnsi="Calibri" w:cs="Calibri"/>
              </w:rPr>
              <w:t>program</w:t>
            </w:r>
            <w:r w:rsidR="001716D6">
              <w:rPr>
                <w:rFonts w:ascii="Calibri" w:hAnsi="Calibri" w:cs="Calibri"/>
              </w:rPr>
              <w:t xml:space="preserve"> names </w:t>
            </w:r>
          </w:p>
        </w:tc>
        <w:tc>
          <w:tcPr>
            <w:tcW w:w="4428" w:type="dxa"/>
          </w:tcPr>
          <w:p w14:paraId="65B4A2D5" w14:textId="78D16FA6" w:rsidR="005B79F1" w:rsidRPr="00570881" w:rsidRDefault="003945E0">
            <w:pPr>
              <w:rPr>
                <w:rFonts w:asciiTheme="majorHAnsi" w:hAnsiTheme="majorHAnsi" w:cstheme="majorHAnsi"/>
              </w:rPr>
            </w:pPr>
            <w:r w:rsidRPr="00570881">
              <w:rPr>
                <w:rFonts w:asciiTheme="majorHAnsi" w:hAnsiTheme="majorHAnsi" w:cstheme="majorHAnsi"/>
              </w:rPr>
              <w:t>Noted</w:t>
            </w:r>
            <w:r w:rsidR="00855486" w:rsidRPr="00570881">
              <w:rPr>
                <w:rFonts w:asciiTheme="majorHAnsi" w:hAnsiTheme="majorHAnsi" w:cstheme="majorHAnsi"/>
              </w:rPr>
              <w:t xml:space="preserve"> and clarified in the final PNA document</w:t>
            </w:r>
            <w:r w:rsidR="001976A5" w:rsidRPr="00570881">
              <w:rPr>
                <w:rFonts w:asciiTheme="majorHAnsi" w:hAnsiTheme="majorHAnsi" w:cstheme="majorHAnsi"/>
              </w:rPr>
              <w:t>.</w:t>
            </w:r>
          </w:p>
        </w:tc>
      </w:tr>
    </w:tbl>
    <w:p w14:paraId="56E235C4" w14:textId="77777777" w:rsidR="00CB22B8" w:rsidRDefault="00CB22B8"/>
    <w:p w14:paraId="3F357612" w14:textId="77777777" w:rsidR="00CB22B8" w:rsidRDefault="00600CC3">
      <w:pPr>
        <w:pStyle w:val="Heading2"/>
      </w:pPr>
      <w:r>
        <w:lastRenderedPageBreak/>
        <w:t>3: Do you feel that the purpose of the PNA has been explained sufficiently?</w:t>
      </w:r>
    </w:p>
    <w:p w14:paraId="628C924E" w14:textId="4F5B083F" w:rsidR="00CB22B8" w:rsidRDefault="00600CC3">
      <w:r>
        <w:t>There were 9 responses to this part of the question</w:t>
      </w:r>
      <w:r w:rsidR="000E6A0B">
        <w:t xml:space="preserve">, of which the following responded ‘yes’ or ‘no’: </w:t>
      </w:r>
    </w:p>
    <w:p w14:paraId="45D59B12" w14:textId="7617E7B8" w:rsidR="00CB22B8" w:rsidRDefault="00D20682">
      <w:r>
        <w:rPr>
          <w:noProof/>
        </w:rPr>
        <w:drawing>
          <wp:inline distT="0" distB="0" distL="0" distR="0" wp14:anchorId="47E08AA9" wp14:editId="4EF708C2">
            <wp:extent cx="5414010" cy="1091565"/>
            <wp:effectExtent l="0" t="0" r="0" b="0"/>
            <wp:docPr id="10725149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4010" cy="109156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40D9B768"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EAAD396" w14:textId="77777777" w:rsidR="00CB22B8" w:rsidRDefault="00600CC3">
            <w:r>
              <w:t>Option</w:t>
            </w:r>
          </w:p>
        </w:tc>
        <w:tc>
          <w:tcPr>
            <w:tcW w:w="1134" w:type="dxa"/>
          </w:tcPr>
          <w:p w14:paraId="6A83F75C"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63B56467"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22CE9B1B"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B5DF183" w14:textId="77777777" w:rsidR="00CB22B8" w:rsidRDefault="00600CC3">
            <w:r>
              <w:t>Yes</w:t>
            </w:r>
          </w:p>
        </w:tc>
        <w:tc>
          <w:tcPr>
            <w:tcW w:w="1134" w:type="dxa"/>
          </w:tcPr>
          <w:p w14:paraId="5E071B89" w14:textId="77777777" w:rsidR="00CB22B8" w:rsidRDefault="00600CC3">
            <w:pPr>
              <w:cnfStyle w:val="000000100000" w:firstRow="0" w:lastRow="0" w:firstColumn="0" w:lastColumn="0" w:oddVBand="0" w:evenVBand="0" w:oddHBand="1" w:evenHBand="0" w:firstRowFirstColumn="0" w:firstRowLastColumn="0" w:lastRowFirstColumn="0" w:lastRowLastColumn="0"/>
            </w:pPr>
            <w:r>
              <w:t>9</w:t>
            </w:r>
          </w:p>
        </w:tc>
        <w:tc>
          <w:tcPr>
            <w:tcW w:w="1134" w:type="dxa"/>
          </w:tcPr>
          <w:p w14:paraId="51B834CE" w14:textId="77777777" w:rsidR="00CB22B8" w:rsidRDefault="00600CC3">
            <w:pPr>
              <w:cnfStyle w:val="000000100000" w:firstRow="0" w:lastRow="0" w:firstColumn="0" w:lastColumn="0" w:oddVBand="0" w:evenVBand="0" w:oddHBand="1" w:evenHBand="0" w:firstRowFirstColumn="0" w:firstRowLastColumn="0" w:lastRowFirstColumn="0" w:lastRowLastColumn="0"/>
            </w:pPr>
            <w:r>
              <w:t>100.00%</w:t>
            </w:r>
          </w:p>
        </w:tc>
      </w:tr>
      <w:tr w:rsidR="00CB22B8" w14:paraId="44FA2843"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B210D3C" w14:textId="77777777" w:rsidR="00CB22B8" w:rsidRDefault="00600CC3">
            <w:r>
              <w:t>No</w:t>
            </w:r>
          </w:p>
        </w:tc>
        <w:tc>
          <w:tcPr>
            <w:tcW w:w="1134" w:type="dxa"/>
          </w:tcPr>
          <w:p w14:paraId="6E059A00" w14:textId="77777777" w:rsidR="00CB22B8" w:rsidRDefault="00600CC3">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67F1DEB8" w14:textId="77777777" w:rsidR="00CB22B8" w:rsidRDefault="00600CC3">
            <w:pPr>
              <w:cnfStyle w:val="000000010000" w:firstRow="0" w:lastRow="0" w:firstColumn="0" w:lastColumn="0" w:oddVBand="0" w:evenVBand="0" w:oddHBand="0" w:evenHBand="1" w:firstRowFirstColumn="0" w:firstRowLastColumn="0" w:lastRowFirstColumn="0" w:lastRowLastColumn="0"/>
            </w:pPr>
            <w:r>
              <w:t>0.00%</w:t>
            </w:r>
          </w:p>
        </w:tc>
      </w:tr>
      <w:tr w:rsidR="00CB22B8" w14:paraId="185442D8"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BE77000" w14:textId="77777777" w:rsidR="00CB22B8" w:rsidRDefault="00600CC3">
            <w:r>
              <w:t>Not Answered</w:t>
            </w:r>
          </w:p>
        </w:tc>
        <w:tc>
          <w:tcPr>
            <w:tcW w:w="1134" w:type="dxa"/>
          </w:tcPr>
          <w:p w14:paraId="08C08BCA"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5DBF8B6A"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bl>
    <w:p w14:paraId="37B037D2" w14:textId="77777777" w:rsidR="00CB22B8" w:rsidRDefault="00600CC3">
      <w:r>
        <w:br/>
      </w:r>
      <w:r>
        <w:rPr>
          <w:b/>
        </w:rPr>
        <w:t>Do you feel that the purpose of the PNA has been explained sufficiently? Comments</w:t>
      </w:r>
    </w:p>
    <w:p w14:paraId="7E5A40B0" w14:textId="77777777" w:rsidR="00CB22B8" w:rsidRDefault="00600CC3">
      <w:r>
        <w:t>There were 0 responses to this part of the question.</w:t>
      </w:r>
    </w:p>
    <w:p w14:paraId="64A2CEEF" w14:textId="166C4A9C" w:rsidR="00CB22B8" w:rsidRDefault="00600CC3">
      <w:pPr>
        <w:pStyle w:val="Heading2"/>
      </w:pPr>
      <w:r>
        <w:t>4: Do you feel the information contained within the PNA adequately reflects the current community pharmaceutical services provision within the Essex HWB?</w:t>
      </w:r>
    </w:p>
    <w:p w14:paraId="1D69E663" w14:textId="138A754A" w:rsidR="00CB22B8" w:rsidRDefault="00600CC3">
      <w:r>
        <w:t>There were 8 responses to this part of the question</w:t>
      </w:r>
      <w:r w:rsidR="000D4543">
        <w:t xml:space="preserve">, (with N=1 </w:t>
      </w:r>
      <w:r w:rsidR="007D4199">
        <w:t>‘not answered), of which the following responded ‘yes’ or ‘no’:</w:t>
      </w:r>
    </w:p>
    <w:p w14:paraId="02B83617" w14:textId="6C4A5A2A" w:rsidR="00CB22B8" w:rsidRDefault="00D20682">
      <w:r>
        <w:rPr>
          <w:noProof/>
        </w:rPr>
        <w:drawing>
          <wp:inline distT="0" distB="0" distL="0" distR="0" wp14:anchorId="105F04A2" wp14:editId="76F691F5">
            <wp:extent cx="5414010" cy="2030095"/>
            <wp:effectExtent l="0" t="0" r="0" b="8255"/>
            <wp:docPr id="50828373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203009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431B570A"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FFC6D3" w14:textId="77777777" w:rsidR="00CB22B8" w:rsidRDefault="00600CC3">
            <w:r>
              <w:t>Option</w:t>
            </w:r>
          </w:p>
        </w:tc>
        <w:tc>
          <w:tcPr>
            <w:tcW w:w="1134" w:type="dxa"/>
          </w:tcPr>
          <w:p w14:paraId="427B8EE1"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192532D2"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54557CFC"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AE6EFAE" w14:textId="77777777" w:rsidR="00CB22B8" w:rsidRDefault="00600CC3">
            <w:r>
              <w:t>Yes</w:t>
            </w:r>
          </w:p>
        </w:tc>
        <w:tc>
          <w:tcPr>
            <w:tcW w:w="1134" w:type="dxa"/>
          </w:tcPr>
          <w:p w14:paraId="58859FE8" w14:textId="77777777" w:rsidR="00CB22B8" w:rsidRDefault="00600CC3">
            <w:pPr>
              <w:cnfStyle w:val="000000100000" w:firstRow="0" w:lastRow="0" w:firstColumn="0" w:lastColumn="0" w:oddVBand="0" w:evenVBand="0" w:oddHBand="1" w:evenHBand="0" w:firstRowFirstColumn="0" w:firstRowLastColumn="0" w:lastRowFirstColumn="0" w:lastRowLastColumn="0"/>
            </w:pPr>
            <w:r>
              <w:t>7</w:t>
            </w:r>
          </w:p>
        </w:tc>
        <w:tc>
          <w:tcPr>
            <w:tcW w:w="1134" w:type="dxa"/>
          </w:tcPr>
          <w:p w14:paraId="19545BE1" w14:textId="77777777" w:rsidR="00CB22B8" w:rsidRDefault="00600CC3">
            <w:pPr>
              <w:cnfStyle w:val="000000100000" w:firstRow="0" w:lastRow="0" w:firstColumn="0" w:lastColumn="0" w:oddVBand="0" w:evenVBand="0" w:oddHBand="1" w:evenHBand="0" w:firstRowFirstColumn="0" w:firstRowLastColumn="0" w:lastRowFirstColumn="0" w:lastRowLastColumn="0"/>
            </w:pPr>
            <w:r>
              <w:t>77.78%</w:t>
            </w:r>
          </w:p>
        </w:tc>
      </w:tr>
      <w:tr w:rsidR="00CB22B8" w14:paraId="5DEE16FE"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EA8BCDD" w14:textId="77777777" w:rsidR="00CB22B8" w:rsidRDefault="00600CC3">
            <w:r>
              <w:t>No</w:t>
            </w:r>
          </w:p>
        </w:tc>
        <w:tc>
          <w:tcPr>
            <w:tcW w:w="1134" w:type="dxa"/>
          </w:tcPr>
          <w:p w14:paraId="5A626B03" w14:textId="77777777" w:rsidR="00CB22B8" w:rsidRDefault="00600CC3">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0CB02E54" w14:textId="77777777" w:rsidR="00CB22B8" w:rsidRDefault="00600CC3">
            <w:pPr>
              <w:cnfStyle w:val="000000010000" w:firstRow="0" w:lastRow="0" w:firstColumn="0" w:lastColumn="0" w:oddVBand="0" w:evenVBand="0" w:oddHBand="0" w:evenHBand="1" w:firstRowFirstColumn="0" w:firstRowLastColumn="0" w:lastRowFirstColumn="0" w:lastRowLastColumn="0"/>
            </w:pPr>
            <w:r>
              <w:t>11.11%</w:t>
            </w:r>
          </w:p>
        </w:tc>
      </w:tr>
      <w:tr w:rsidR="00CB22B8" w14:paraId="5343C56C"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1F4FD3F" w14:textId="77777777" w:rsidR="00CB22B8" w:rsidRDefault="00600CC3">
            <w:r>
              <w:t>Not Answered</w:t>
            </w:r>
          </w:p>
        </w:tc>
        <w:tc>
          <w:tcPr>
            <w:tcW w:w="1134" w:type="dxa"/>
          </w:tcPr>
          <w:p w14:paraId="7EA40DBC" w14:textId="77777777" w:rsidR="00CB22B8" w:rsidRDefault="00600CC3">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76AFD9CF" w14:textId="77777777" w:rsidR="00CB22B8" w:rsidRDefault="00600CC3">
            <w:pPr>
              <w:cnfStyle w:val="000000100000" w:firstRow="0" w:lastRow="0" w:firstColumn="0" w:lastColumn="0" w:oddVBand="0" w:evenVBand="0" w:oddHBand="1" w:evenHBand="0" w:firstRowFirstColumn="0" w:firstRowLastColumn="0" w:lastRowFirstColumn="0" w:lastRowLastColumn="0"/>
            </w:pPr>
            <w:r>
              <w:t>11.11%</w:t>
            </w:r>
          </w:p>
        </w:tc>
      </w:tr>
    </w:tbl>
    <w:p w14:paraId="2731213B" w14:textId="1A42E8FD" w:rsidR="00CB22B8" w:rsidRDefault="00600CC3">
      <w:r>
        <w:lastRenderedPageBreak/>
        <w:br/>
      </w:r>
      <w:r>
        <w:rPr>
          <w:b/>
        </w:rPr>
        <w:t>Do you feel the information contained within the PNA adequately reflects the current community pharmaceutical services provision within the Essex HWB? Comments</w:t>
      </w:r>
    </w:p>
    <w:p w14:paraId="22D4A8BB" w14:textId="4AB18B2E" w:rsidR="00CB22B8" w:rsidRDefault="00600CC3">
      <w:r>
        <w:t>There was 1 response to this part of the question</w:t>
      </w:r>
      <w:r w:rsidR="00065D59">
        <w:t>, comments received are presented below.</w:t>
      </w:r>
    </w:p>
    <w:tbl>
      <w:tblPr>
        <w:tblStyle w:val="TableGrid"/>
        <w:tblW w:w="0" w:type="auto"/>
        <w:tblLook w:val="04A0" w:firstRow="1" w:lastRow="0" w:firstColumn="1" w:lastColumn="0" w:noHBand="0" w:noVBand="1"/>
      </w:tblPr>
      <w:tblGrid>
        <w:gridCol w:w="4428"/>
        <w:gridCol w:w="4428"/>
      </w:tblGrid>
      <w:tr w:rsidR="007D4199" w14:paraId="3722D1E1" w14:textId="77777777" w:rsidTr="56D220F9">
        <w:tc>
          <w:tcPr>
            <w:tcW w:w="4428" w:type="dxa"/>
          </w:tcPr>
          <w:p w14:paraId="7DA7890D" w14:textId="358427CB" w:rsidR="007D4199" w:rsidRDefault="007D4199">
            <w:r>
              <w:t>Theme</w:t>
            </w:r>
          </w:p>
        </w:tc>
        <w:tc>
          <w:tcPr>
            <w:tcW w:w="4428" w:type="dxa"/>
          </w:tcPr>
          <w:p w14:paraId="1F41B754" w14:textId="4AF5693F" w:rsidR="007D4199" w:rsidRDefault="007D4199">
            <w:r>
              <w:t>Response</w:t>
            </w:r>
          </w:p>
        </w:tc>
      </w:tr>
      <w:tr w:rsidR="007D4199" w14:paraId="10616771" w14:textId="77777777" w:rsidTr="56D220F9">
        <w:tc>
          <w:tcPr>
            <w:tcW w:w="4428" w:type="dxa"/>
          </w:tcPr>
          <w:p w14:paraId="4DDA7FB3" w14:textId="38853648" w:rsidR="007D4199" w:rsidRPr="00BD7F66" w:rsidRDefault="00AA1260" w:rsidP="00AA1260">
            <w:pPr>
              <w:rPr>
                <w:rFonts w:cs="Arial"/>
              </w:rPr>
            </w:pPr>
            <w:r w:rsidRPr="00BD7F66">
              <w:rPr>
                <w:rFonts w:cs="Arial"/>
              </w:rPr>
              <w:t xml:space="preserve">Concerns about the </w:t>
            </w:r>
            <w:r w:rsidR="00CB6B95" w:rsidRPr="00BD7F66">
              <w:rPr>
                <w:rFonts w:cs="Arial"/>
              </w:rPr>
              <w:t>operational and financial pressures on pharmacy capacity and staff wellbeing</w:t>
            </w:r>
            <w:r w:rsidR="008854B9" w:rsidRPr="00BD7F66">
              <w:rPr>
                <w:rFonts w:cs="Arial"/>
              </w:rPr>
              <w:t xml:space="preserve"> resulting to likely </w:t>
            </w:r>
            <w:r w:rsidR="00C25FD6" w:rsidRPr="00BD7F66">
              <w:rPr>
                <w:rFonts w:cs="Arial"/>
              </w:rPr>
              <w:t>closing</w:t>
            </w:r>
            <w:r w:rsidR="008854B9" w:rsidRPr="00BD7F66">
              <w:rPr>
                <w:rFonts w:cs="Arial"/>
              </w:rPr>
              <w:t xml:space="preserve"> soon</w:t>
            </w:r>
            <w:r w:rsidR="00CB6B95" w:rsidRPr="00BD7F66">
              <w:rPr>
                <w:rFonts w:cs="Arial"/>
              </w:rPr>
              <w:t xml:space="preserve">. </w:t>
            </w:r>
          </w:p>
        </w:tc>
        <w:tc>
          <w:tcPr>
            <w:tcW w:w="4428" w:type="dxa"/>
          </w:tcPr>
          <w:p w14:paraId="5261E37F" w14:textId="35DDB953" w:rsidR="007D4199" w:rsidRPr="00BD7F66" w:rsidRDefault="00C25FD6" w:rsidP="56D220F9">
            <w:pPr>
              <w:rPr>
                <w:rFonts w:cs="Arial"/>
              </w:rPr>
            </w:pPr>
            <w:r w:rsidRPr="00BD7F66">
              <w:rPr>
                <w:rFonts w:cs="Arial"/>
              </w:rPr>
              <w:t xml:space="preserve">Supplementary statements are provided </w:t>
            </w:r>
            <w:r w:rsidR="00113C8C" w:rsidRPr="00BD7F66">
              <w:rPr>
                <w:rFonts w:cs="Arial"/>
              </w:rPr>
              <w:t>annually</w:t>
            </w:r>
            <w:r w:rsidR="00C0008E" w:rsidRPr="00BD7F66">
              <w:rPr>
                <w:rFonts w:cs="Arial"/>
              </w:rPr>
              <w:t>,</w:t>
            </w:r>
            <w:r w:rsidRPr="00BD7F66">
              <w:rPr>
                <w:rFonts w:cs="Arial"/>
              </w:rPr>
              <w:t xml:space="preserve"> </w:t>
            </w:r>
            <w:r w:rsidR="00D56D19" w:rsidRPr="00BD7F66">
              <w:rPr>
                <w:rFonts w:cs="Arial"/>
              </w:rPr>
              <w:t>and this would address such concerns, this PNA only evaluates the status quo as of 1</w:t>
            </w:r>
            <w:r w:rsidR="00D56D19" w:rsidRPr="00BD7F66">
              <w:rPr>
                <w:rFonts w:cs="Arial"/>
                <w:vertAlign w:val="superscript"/>
              </w:rPr>
              <w:t>st</w:t>
            </w:r>
            <w:r w:rsidR="00D56D19" w:rsidRPr="00BD7F66">
              <w:rPr>
                <w:rFonts w:cs="Arial"/>
              </w:rPr>
              <w:t xml:space="preserve"> of January 2025</w:t>
            </w:r>
            <w:r w:rsidR="00BD7F66">
              <w:rPr>
                <w:rFonts w:cs="Arial"/>
              </w:rPr>
              <w:t>.</w:t>
            </w:r>
          </w:p>
        </w:tc>
      </w:tr>
    </w:tbl>
    <w:p w14:paraId="66D080CC" w14:textId="77777777" w:rsidR="007D4199" w:rsidRDefault="007D4199"/>
    <w:p w14:paraId="5359CEAC" w14:textId="77777777" w:rsidR="00CB22B8" w:rsidRDefault="00CB22B8"/>
    <w:p w14:paraId="375A73ED" w14:textId="77777777" w:rsidR="00CB22B8" w:rsidRDefault="00600CC3">
      <w:pPr>
        <w:pStyle w:val="Heading2"/>
      </w:pPr>
      <w:r>
        <w:t xml:space="preserve">5: Are there any pharmaceutical services currently </w:t>
      </w:r>
      <w:proofErr w:type="gramStart"/>
      <w:r>
        <w:t>provided that</w:t>
      </w:r>
      <w:proofErr w:type="gramEnd"/>
      <w:r>
        <w:t xml:space="preserve"> you are aware of that are not included within the PNA?</w:t>
      </w:r>
    </w:p>
    <w:p w14:paraId="33567E8B" w14:textId="3FD31F56" w:rsidR="00CB22B8" w:rsidRDefault="00600CC3">
      <w:r>
        <w:t>There were 9 responses to this part of the question</w:t>
      </w:r>
      <w:r w:rsidR="006013F8">
        <w:t>, of which the following responded ‘yes’ or ‘no’:</w:t>
      </w:r>
    </w:p>
    <w:p w14:paraId="18415CBC" w14:textId="47CC6443" w:rsidR="00CB22B8" w:rsidRDefault="00D20682">
      <w:r>
        <w:rPr>
          <w:noProof/>
        </w:rPr>
        <w:drawing>
          <wp:inline distT="0" distB="0" distL="0" distR="0" wp14:anchorId="66CD18FF" wp14:editId="20DFE121">
            <wp:extent cx="5414010" cy="1450975"/>
            <wp:effectExtent l="0" t="0" r="0" b="0"/>
            <wp:docPr id="19783573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4010" cy="145097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6169E1C0"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E8F61A7" w14:textId="77777777" w:rsidR="00CB22B8" w:rsidRDefault="00600CC3">
            <w:r>
              <w:t>Option</w:t>
            </w:r>
          </w:p>
        </w:tc>
        <w:tc>
          <w:tcPr>
            <w:tcW w:w="1134" w:type="dxa"/>
          </w:tcPr>
          <w:p w14:paraId="7DA216D6"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4E530168"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51959390"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6065CF7" w14:textId="77777777" w:rsidR="00CB22B8" w:rsidRDefault="00600CC3">
            <w:r>
              <w:t>Yes</w:t>
            </w:r>
          </w:p>
        </w:tc>
        <w:tc>
          <w:tcPr>
            <w:tcW w:w="1134" w:type="dxa"/>
          </w:tcPr>
          <w:p w14:paraId="2D293DE2" w14:textId="77777777" w:rsidR="00CB22B8" w:rsidRDefault="00600CC3">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2237CBE3" w14:textId="77777777" w:rsidR="00CB22B8" w:rsidRDefault="00600CC3">
            <w:pPr>
              <w:cnfStyle w:val="000000100000" w:firstRow="0" w:lastRow="0" w:firstColumn="0" w:lastColumn="0" w:oddVBand="0" w:evenVBand="0" w:oddHBand="1" w:evenHBand="0" w:firstRowFirstColumn="0" w:firstRowLastColumn="0" w:lastRowFirstColumn="0" w:lastRowLastColumn="0"/>
            </w:pPr>
            <w:r>
              <w:t>11.11%</w:t>
            </w:r>
          </w:p>
        </w:tc>
      </w:tr>
      <w:tr w:rsidR="00CB22B8" w14:paraId="30D99F48"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24ADBD1" w14:textId="77777777" w:rsidR="00CB22B8" w:rsidRDefault="00600CC3">
            <w:r>
              <w:t>No</w:t>
            </w:r>
          </w:p>
        </w:tc>
        <w:tc>
          <w:tcPr>
            <w:tcW w:w="1134" w:type="dxa"/>
          </w:tcPr>
          <w:p w14:paraId="3CDFDF55" w14:textId="77777777" w:rsidR="00CB22B8" w:rsidRDefault="00600CC3">
            <w:pPr>
              <w:cnfStyle w:val="000000010000" w:firstRow="0" w:lastRow="0" w:firstColumn="0" w:lastColumn="0" w:oddVBand="0" w:evenVBand="0" w:oddHBand="0" w:evenHBand="1" w:firstRowFirstColumn="0" w:firstRowLastColumn="0" w:lastRowFirstColumn="0" w:lastRowLastColumn="0"/>
            </w:pPr>
            <w:r>
              <w:t>8</w:t>
            </w:r>
          </w:p>
        </w:tc>
        <w:tc>
          <w:tcPr>
            <w:tcW w:w="1134" w:type="dxa"/>
          </w:tcPr>
          <w:p w14:paraId="738783D6" w14:textId="77777777" w:rsidR="00CB22B8" w:rsidRDefault="00600CC3">
            <w:pPr>
              <w:cnfStyle w:val="000000010000" w:firstRow="0" w:lastRow="0" w:firstColumn="0" w:lastColumn="0" w:oddVBand="0" w:evenVBand="0" w:oddHBand="0" w:evenHBand="1" w:firstRowFirstColumn="0" w:firstRowLastColumn="0" w:lastRowFirstColumn="0" w:lastRowLastColumn="0"/>
            </w:pPr>
            <w:r>
              <w:t>88.89%</w:t>
            </w:r>
          </w:p>
        </w:tc>
      </w:tr>
      <w:tr w:rsidR="00CB22B8" w14:paraId="0BCCB414"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7C04E6C" w14:textId="77777777" w:rsidR="00CB22B8" w:rsidRDefault="00600CC3">
            <w:r>
              <w:t>Not Answered</w:t>
            </w:r>
          </w:p>
        </w:tc>
        <w:tc>
          <w:tcPr>
            <w:tcW w:w="1134" w:type="dxa"/>
          </w:tcPr>
          <w:p w14:paraId="178D40BB"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20F901F4"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bl>
    <w:p w14:paraId="736AD9C3" w14:textId="6999C1F2" w:rsidR="00CB22B8" w:rsidRDefault="00600CC3">
      <w:r>
        <w:br/>
      </w:r>
      <w:r>
        <w:rPr>
          <w:b/>
        </w:rPr>
        <w:t xml:space="preserve">Are there any pharmaceutical services currently </w:t>
      </w:r>
      <w:proofErr w:type="gramStart"/>
      <w:r>
        <w:rPr>
          <w:b/>
        </w:rPr>
        <w:t>provided that</w:t>
      </w:r>
      <w:proofErr w:type="gramEnd"/>
      <w:r>
        <w:rPr>
          <w:b/>
        </w:rPr>
        <w:t xml:space="preserve"> you are aware of that are not included within the PNA? Comments</w:t>
      </w:r>
    </w:p>
    <w:p w14:paraId="6531147C" w14:textId="75463906" w:rsidR="00CB22B8" w:rsidRPr="007770D5" w:rsidRDefault="00600CC3">
      <w:pPr>
        <w:rPr>
          <w:highlight w:val="yellow"/>
        </w:rPr>
      </w:pPr>
      <w:r>
        <w:t>There were 2 responses to this part of the question</w:t>
      </w:r>
      <w:r w:rsidR="003F6E8F">
        <w:t xml:space="preserve">, comments received are presented </w:t>
      </w:r>
      <w:r w:rsidR="003F6E8F" w:rsidRPr="007770D5">
        <w:t xml:space="preserve">below. </w:t>
      </w:r>
    </w:p>
    <w:tbl>
      <w:tblPr>
        <w:tblStyle w:val="TableGrid"/>
        <w:tblW w:w="0" w:type="auto"/>
        <w:tblLook w:val="04A0" w:firstRow="1" w:lastRow="0" w:firstColumn="1" w:lastColumn="0" w:noHBand="0" w:noVBand="1"/>
      </w:tblPr>
      <w:tblGrid>
        <w:gridCol w:w="4428"/>
        <w:gridCol w:w="4428"/>
      </w:tblGrid>
      <w:tr w:rsidR="003F6E8F" w:rsidRPr="0083366A" w14:paraId="71FC36DF" w14:textId="77777777" w:rsidTr="003F6E8F">
        <w:tc>
          <w:tcPr>
            <w:tcW w:w="4428" w:type="dxa"/>
          </w:tcPr>
          <w:p w14:paraId="254BFFB1" w14:textId="268CCCB3" w:rsidR="003F6E8F" w:rsidRPr="0083366A" w:rsidRDefault="003F6E8F">
            <w:r w:rsidRPr="0083366A">
              <w:t>Theme</w:t>
            </w:r>
          </w:p>
        </w:tc>
        <w:tc>
          <w:tcPr>
            <w:tcW w:w="4428" w:type="dxa"/>
          </w:tcPr>
          <w:p w14:paraId="6F9CEB4F" w14:textId="4F4C5C34" w:rsidR="003F6E8F" w:rsidRPr="0083366A" w:rsidRDefault="003F6E8F">
            <w:r w:rsidRPr="0083366A">
              <w:t>Response</w:t>
            </w:r>
          </w:p>
        </w:tc>
      </w:tr>
      <w:tr w:rsidR="003F6E8F" w14:paraId="067EB3B2" w14:textId="77777777" w:rsidTr="00FB1A45">
        <w:tc>
          <w:tcPr>
            <w:tcW w:w="4428" w:type="dxa"/>
          </w:tcPr>
          <w:p w14:paraId="1AD14909" w14:textId="21029A82" w:rsidR="005750D2" w:rsidRPr="00D61420" w:rsidRDefault="00FB1A45" w:rsidP="005750D2">
            <w:pPr>
              <w:rPr>
                <w:rFonts w:cs="Arial"/>
              </w:rPr>
            </w:pPr>
            <w:r w:rsidRPr="00D61420">
              <w:rPr>
                <w:rFonts w:cs="Arial"/>
              </w:rPr>
              <w:t>Awareness of additional pharmaceutical services not currently included in the PNA e.g. IP pharmacist prescribers</w:t>
            </w:r>
            <w:r w:rsidR="00D61420" w:rsidRPr="00D61420">
              <w:rPr>
                <w:rFonts w:cs="Arial"/>
              </w:rPr>
              <w:t>.</w:t>
            </w:r>
          </w:p>
          <w:p w14:paraId="73D20EE8" w14:textId="77777777" w:rsidR="003F6E8F" w:rsidRPr="0083366A" w:rsidRDefault="003F6E8F"/>
        </w:tc>
        <w:tc>
          <w:tcPr>
            <w:tcW w:w="4428" w:type="dxa"/>
          </w:tcPr>
          <w:p w14:paraId="5C92CAE6" w14:textId="7BEE20EC" w:rsidR="003F6E8F" w:rsidRPr="00D61420" w:rsidRDefault="0030329F">
            <w:pPr>
              <w:rPr>
                <w:rFonts w:cs="Arial"/>
              </w:rPr>
            </w:pPr>
            <w:r w:rsidRPr="00D61420">
              <w:rPr>
                <w:rFonts w:cs="Arial"/>
              </w:rPr>
              <w:t>Noted and amended</w:t>
            </w:r>
            <w:r w:rsidR="00D61420" w:rsidRPr="00D61420">
              <w:rPr>
                <w:rFonts w:cs="Arial"/>
              </w:rPr>
              <w:t>.</w:t>
            </w:r>
          </w:p>
        </w:tc>
      </w:tr>
    </w:tbl>
    <w:p w14:paraId="26EBC29F" w14:textId="77777777" w:rsidR="00CB22B8" w:rsidRDefault="00CB22B8"/>
    <w:p w14:paraId="3D9624FB" w14:textId="77777777" w:rsidR="00CB22B8" w:rsidRDefault="00600CC3">
      <w:pPr>
        <w:pStyle w:val="Heading2"/>
      </w:pPr>
      <w:r>
        <w:t>6: With reference to Essential, Advanced and Locally Enhanced Services, are there any gaps or commissioning recommendations incorrectly identified?</w:t>
      </w:r>
    </w:p>
    <w:p w14:paraId="063BDC9E" w14:textId="6E5290DA" w:rsidR="00CB22B8" w:rsidRDefault="00600CC3">
      <w:r>
        <w:t>There were 8 responses to this part of the question</w:t>
      </w:r>
      <w:r w:rsidR="004501B2">
        <w:t xml:space="preserve"> (with N=1 ‘not answered’), of which the following responded ‘yes’ or ‘no’:</w:t>
      </w:r>
    </w:p>
    <w:p w14:paraId="418B5A83" w14:textId="45CFE624" w:rsidR="00CB22B8" w:rsidRDefault="00D20682">
      <w:r>
        <w:rPr>
          <w:noProof/>
        </w:rPr>
        <w:drawing>
          <wp:inline distT="0" distB="0" distL="0" distR="0" wp14:anchorId="70747298" wp14:editId="09C0D59F">
            <wp:extent cx="5414010" cy="1450975"/>
            <wp:effectExtent l="0" t="0" r="0" b="0"/>
            <wp:docPr id="128404136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14010" cy="145097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71554EBA"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A1C2783" w14:textId="77777777" w:rsidR="00CB22B8" w:rsidRDefault="00600CC3">
            <w:r>
              <w:t>Option</w:t>
            </w:r>
          </w:p>
        </w:tc>
        <w:tc>
          <w:tcPr>
            <w:tcW w:w="1134" w:type="dxa"/>
          </w:tcPr>
          <w:p w14:paraId="452490D9"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26D5C0E1"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5B715C60"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0BA3159" w14:textId="77777777" w:rsidR="00CB22B8" w:rsidRDefault="00600CC3">
            <w:r>
              <w:t>Yes</w:t>
            </w:r>
          </w:p>
        </w:tc>
        <w:tc>
          <w:tcPr>
            <w:tcW w:w="1134" w:type="dxa"/>
          </w:tcPr>
          <w:p w14:paraId="3204263C"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643B8BDC"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r w:rsidR="00CB22B8" w14:paraId="24981918"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6F1A678" w14:textId="77777777" w:rsidR="00CB22B8" w:rsidRDefault="00600CC3">
            <w:r>
              <w:t>No</w:t>
            </w:r>
          </w:p>
        </w:tc>
        <w:tc>
          <w:tcPr>
            <w:tcW w:w="1134" w:type="dxa"/>
          </w:tcPr>
          <w:p w14:paraId="1F8C0A09" w14:textId="77777777" w:rsidR="00CB22B8" w:rsidRDefault="00600CC3">
            <w:pPr>
              <w:cnfStyle w:val="000000010000" w:firstRow="0" w:lastRow="0" w:firstColumn="0" w:lastColumn="0" w:oddVBand="0" w:evenVBand="0" w:oddHBand="0" w:evenHBand="1" w:firstRowFirstColumn="0" w:firstRowLastColumn="0" w:lastRowFirstColumn="0" w:lastRowLastColumn="0"/>
            </w:pPr>
            <w:r>
              <w:t>8</w:t>
            </w:r>
          </w:p>
        </w:tc>
        <w:tc>
          <w:tcPr>
            <w:tcW w:w="1134" w:type="dxa"/>
          </w:tcPr>
          <w:p w14:paraId="5A69B6D6" w14:textId="77777777" w:rsidR="00CB22B8" w:rsidRDefault="00600CC3">
            <w:pPr>
              <w:cnfStyle w:val="000000010000" w:firstRow="0" w:lastRow="0" w:firstColumn="0" w:lastColumn="0" w:oddVBand="0" w:evenVBand="0" w:oddHBand="0" w:evenHBand="1" w:firstRowFirstColumn="0" w:firstRowLastColumn="0" w:lastRowFirstColumn="0" w:lastRowLastColumn="0"/>
            </w:pPr>
            <w:r>
              <w:t>88.89%</w:t>
            </w:r>
          </w:p>
        </w:tc>
      </w:tr>
      <w:tr w:rsidR="00CB22B8" w14:paraId="7D7D39B9"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A077007" w14:textId="77777777" w:rsidR="00CB22B8" w:rsidRDefault="00600CC3">
            <w:r>
              <w:t>Not Answered</w:t>
            </w:r>
          </w:p>
        </w:tc>
        <w:tc>
          <w:tcPr>
            <w:tcW w:w="1134" w:type="dxa"/>
          </w:tcPr>
          <w:p w14:paraId="0A61B33C" w14:textId="77777777" w:rsidR="00CB22B8" w:rsidRDefault="00600CC3">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6125AD7B" w14:textId="77777777" w:rsidR="00CB22B8" w:rsidRDefault="00600CC3">
            <w:pPr>
              <w:cnfStyle w:val="000000100000" w:firstRow="0" w:lastRow="0" w:firstColumn="0" w:lastColumn="0" w:oddVBand="0" w:evenVBand="0" w:oddHBand="1" w:evenHBand="0" w:firstRowFirstColumn="0" w:firstRowLastColumn="0" w:lastRowFirstColumn="0" w:lastRowLastColumn="0"/>
            </w:pPr>
            <w:r>
              <w:t>11.11%</w:t>
            </w:r>
          </w:p>
        </w:tc>
      </w:tr>
    </w:tbl>
    <w:p w14:paraId="1460ACBF" w14:textId="77777777" w:rsidR="00BB7642" w:rsidRDefault="00BB7642">
      <w:pPr>
        <w:rPr>
          <w:b/>
        </w:rPr>
      </w:pPr>
    </w:p>
    <w:p w14:paraId="02A567D9" w14:textId="389CB242" w:rsidR="00CB22B8" w:rsidRDefault="00600CC3">
      <w:r>
        <w:rPr>
          <w:b/>
        </w:rPr>
        <w:t>With reference to Essential, Advanced and Locally Enhanced Services, are there any gaps and commissioning recommendations incorrectly identified? Comments</w:t>
      </w:r>
    </w:p>
    <w:p w14:paraId="1E8DA495" w14:textId="4D579EA9" w:rsidR="00CB22B8" w:rsidRDefault="00600CC3">
      <w:r>
        <w:t>There w</w:t>
      </w:r>
      <w:r w:rsidR="00D061C8">
        <w:t>as</w:t>
      </w:r>
      <w:r>
        <w:t xml:space="preserve"> </w:t>
      </w:r>
      <w:r w:rsidR="00D061C8">
        <w:t>1</w:t>
      </w:r>
      <w:r>
        <w:t xml:space="preserve"> response to this part of the question</w:t>
      </w:r>
      <w:r w:rsidR="004501B2">
        <w:t>, comments received have been presented below.</w:t>
      </w:r>
    </w:p>
    <w:tbl>
      <w:tblPr>
        <w:tblStyle w:val="TableGrid"/>
        <w:tblW w:w="0" w:type="auto"/>
        <w:tblLook w:val="04A0" w:firstRow="1" w:lastRow="0" w:firstColumn="1" w:lastColumn="0" w:noHBand="0" w:noVBand="1"/>
      </w:tblPr>
      <w:tblGrid>
        <w:gridCol w:w="4428"/>
        <w:gridCol w:w="4428"/>
      </w:tblGrid>
      <w:tr w:rsidR="004501B2" w14:paraId="6BAC5157" w14:textId="77777777" w:rsidTr="004501B2">
        <w:tc>
          <w:tcPr>
            <w:tcW w:w="4428" w:type="dxa"/>
          </w:tcPr>
          <w:p w14:paraId="48D83763" w14:textId="4812E882" w:rsidR="004501B2" w:rsidRDefault="004501B2">
            <w:r>
              <w:t>Theme</w:t>
            </w:r>
          </w:p>
        </w:tc>
        <w:tc>
          <w:tcPr>
            <w:tcW w:w="4428" w:type="dxa"/>
          </w:tcPr>
          <w:p w14:paraId="29D1AB7B" w14:textId="0EB28459" w:rsidR="004501B2" w:rsidRDefault="004501B2">
            <w:r>
              <w:t>Response</w:t>
            </w:r>
          </w:p>
        </w:tc>
      </w:tr>
      <w:tr w:rsidR="004501B2" w14:paraId="6CA6F4F0" w14:textId="77777777" w:rsidTr="004501B2">
        <w:tc>
          <w:tcPr>
            <w:tcW w:w="4428" w:type="dxa"/>
          </w:tcPr>
          <w:p w14:paraId="69D8B639" w14:textId="04630DF0" w:rsidR="009A0EEB" w:rsidRPr="00D95E20" w:rsidRDefault="00120651" w:rsidP="009A0EEB">
            <w:pPr>
              <w:rPr>
                <w:rFonts w:cs="Arial"/>
              </w:rPr>
            </w:pPr>
            <w:r w:rsidRPr="00D95E20">
              <w:rPr>
                <w:rFonts w:cs="Arial"/>
              </w:rPr>
              <w:t xml:space="preserve">Concerns about remuneration and resource allocation for essential and enhanced services. </w:t>
            </w:r>
          </w:p>
          <w:p w14:paraId="4CB977A2" w14:textId="77777777" w:rsidR="004501B2" w:rsidRPr="00120651" w:rsidRDefault="004501B2"/>
        </w:tc>
        <w:tc>
          <w:tcPr>
            <w:tcW w:w="4428" w:type="dxa"/>
          </w:tcPr>
          <w:p w14:paraId="022F539A" w14:textId="40733305" w:rsidR="004501B2" w:rsidRPr="00D95E20" w:rsidRDefault="007D5E98">
            <w:pPr>
              <w:rPr>
                <w:rFonts w:cs="Arial"/>
              </w:rPr>
            </w:pPr>
            <w:r w:rsidRPr="00D95E20">
              <w:rPr>
                <w:rFonts w:cs="Arial"/>
              </w:rPr>
              <w:t>Out of scope of the PNA.</w:t>
            </w:r>
          </w:p>
        </w:tc>
      </w:tr>
    </w:tbl>
    <w:p w14:paraId="3AEFBD2D" w14:textId="77777777" w:rsidR="00CB22B8" w:rsidRDefault="00CB22B8"/>
    <w:p w14:paraId="1A39380C" w14:textId="77777777" w:rsidR="00CB22B8" w:rsidRDefault="00600CC3">
      <w:pPr>
        <w:pStyle w:val="Heading2"/>
      </w:pPr>
      <w:r>
        <w:t>7: Do you know of any relevant information not included which could affect the conclusions in the draft PNA?</w:t>
      </w:r>
    </w:p>
    <w:p w14:paraId="372AB4E7" w14:textId="533E5907" w:rsidR="00CB22B8" w:rsidRDefault="00600CC3">
      <w:r>
        <w:t>There were 9 responses to this part of the question</w:t>
      </w:r>
      <w:r w:rsidR="009A0EEB">
        <w:t xml:space="preserve">, </w:t>
      </w:r>
      <w:r w:rsidR="006B5A55">
        <w:t xml:space="preserve">of which the following responded ‘yes’ or ‘no’: </w:t>
      </w:r>
    </w:p>
    <w:p w14:paraId="7C6AC8CC" w14:textId="649ED5CF" w:rsidR="00CB22B8" w:rsidRDefault="00BB7642">
      <w:pPr>
        <w:rPr>
          <w:noProof/>
        </w:rPr>
      </w:pPr>
      <w:r>
        <w:rPr>
          <w:noProof/>
        </w:rPr>
        <w:lastRenderedPageBreak/>
        <w:drawing>
          <wp:inline distT="0" distB="0" distL="0" distR="0" wp14:anchorId="414A0F9B" wp14:editId="5FB9592C">
            <wp:extent cx="5414010" cy="1450975"/>
            <wp:effectExtent l="0" t="0" r="0" b="0"/>
            <wp:docPr id="6203826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14010" cy="145097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1C8E579E"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7A633DF" w14:textId="77777777" w:rsidR="00CB22B8" w:rsidRDefault="00600CC3">
            <w:r>
              <w:t>Option</w:t>
            </w:r>
          </w:p>
        </w:tc>
        <w:tc>
          <w:tcPr>
            <w:tcW w:w="1134" w:type="dxa"/>
          </w:tcPr>
          <w:p w14:paraId="2E20ABEF"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3670B2F6"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22624EBD"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BC4107B" w14:textId="77777777" w:rsidR="00CB22B8" w:rsidRDefault="00600CC3">
            <w:r>
              <w:t>Yes</w:t>
            </w:r>
          </w:p>
        </w:tc>
        <w:tc>
          <w:tcPr>
            <w:tcW w:w="1134" w:type="dxa"/>
          </w:tcPr>
          <w:p w14:paraId="4BB90E7B" w14:textId="77777777" w:rsidR="00CB22B8" w:rsidRDefault="00600CC3">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156D6FAF" w14:textId="77777777" w:rsidR="00CB22B8" w:rsidRDefault="00600CC3">
            <w:pPr>
              <w:cnfStyle w:val="000000100000" w:firstRow="0" w:lastRow="0" w:firstColumn="0" w:lastColumn="0" w:oddVBand="0" w:evenVBand="0" w:oddHBand="1" w:evenHBand="0" w:firstRowFirstColumn="0" w:firstRowLastColumn="0" w:lastRowFirstColumn="0" w:lastRowLastColumn="0"/>
            </w:pPr>
            <w:r>
              <w:t>22.22%</w:t>
            </w:r>
          </w:p>
        </w:tc>
      </w:tr>
      <w:tr w:rsidR="00CB22B8" w14:paraId="0D94B8A3"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0736B0C" w14:textId="77777777" w:rsidR="00CB22B8" w:rsidRDefault="00600CC3">
            <w:r>
              <w:t>No</w:t>
            </w:r>
          </w:p>
        </w:tc>
        <w:tc>
          <w:tcPr>
            <w:tcW w:w="1134" w:type="dxa"/>
          </w:tcPr>
          <w:p w14:paraId="56DE82A6" w14:textId="77777777" w:rsidR="00CB22B8" w:rsidRDefault="00600CC3">
            <w:pPr>
              <w:cnfStyle w:val="000000010000" w:firstRow="0" w:lastRow="0" w:firstColumn="0" w:lastColumn="0" w:oddVBand="0" w:evenVBand="0" w:oddHBand="0" w:evenHBand="1" w:firstRowFirstColumn="0" w:firstRowLastColumn="0" w:lastRowFirstColumn="0" w:lastRowLastColumn="0"/>
            </w:pPr>
            <w:r>
              <w:t>7</w:t>
            </w:r>
          </w:p>
        </w:tc>
        <w:tc>
          <w:tcPr>
            <w:tcW w:w="1134" w:type="dxa"/>
          </w:tcPr>
          <w:p w14:paraId="31470B99" w14:textId="77777777" w:rsidR="00CB22B8" w:rsidRDefault="00600CC3">
            <w:pPr>
              <w:cnfStyle w:val="000000010000" w:firstRow="0" w:lastRow="0" w:firstColumn="0" w:lastColumn="0" w:oddVBand="0" w:evenVBand="0" w:oddHBand="0" w:evenHBand="1" w:firstRowFirstColumn="0" w:firstRowLastColumn="0" w:lastRowFirstColumn="0" w:lastRowLastColumn="0"/>
            </w:pPr>
            <w:r>
              <w:t>77.78%</w:t>
            </w:r>
          </w:p>
        </w:tc>
      </w:tr>
      <w:tr w:rsidR="00CB22B8" w14:paraId="7284F4F9"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D7C06B4" w14:textId="77777777" w:rsidR="00CB22B8" w:rsidRDefault="00600CC3">
            <w:r>
              <w:t>Not Answered</w:t>
            </w:r>
          </w:p>
        </w:tc>
        <w:tc>
          <w:tcPr>
            <w:tcW w:w="1134" w:type="dxa"/>
          </w:tcPr>
          <w:p w14:paraId="3A19F7CA"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1143D667"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bl>
    <w:p w14:paraId="0FC40C87" w14:textId="77777777" w:rsidR="00CB22B8" w:rsidRDefault="00600CC3">
      <w:r>
        <w:br/>
      </w:r>
      <w:r>
        <w:rPr>
          <w:b/>
        </w:rPr>
        <w:t>Do you know of any relevant information not included which could affect the conclusions in the document? Comments</w:t>
      </w:r>
    </w:p>
    <w:p w14:paraId="6F213E3A" w14:textId="6B29DDD4" w:rsidR="00CB22B8" w:rsidRDefault="00600CC3">
      <w:r>
        <w:t>There w</w:t>
      </w:r>
      <w:r w:rsidR="00BD66D8">
        <w:t xml:space="preserve">ere 0 responses to this question. </w:t>
      </w:r>
      <w:r w:rsidR="006B5A55">
        <w:t xml:space="preserve"> </w:t>
      </w:r>
    </w:p>
    <w:p w14:paraId="695D3732" w14:textId="77777777" w:rsidR="00CB22B8" w:rsidRDefault="00CB22B8"/>
    <w:p w14:paraId="381B6A62" w14:textId="77777777" w:rsidR="00CB22B8" w:rsidRDefault="00600CC3">
      <w:pPr>
        <w:pStyle w:val="Heading2"/>
      </w:pPr>
      <w:r>
        <w:t>8: Is there any additional information that you feel should be included in the PNA?</w:t>
      </w:r>
    </w:p>
    <w:p w14:paraId="6820838B" w14:textId="539600A9" w:rsidR="00CB22B8" w:rsidRDefault="00600CC3">
      <w:r>
        <w:t>There were 9 responses to this part of the question</w:t>
      </w:r>
      <w:r w:rsidR="00B47E7A">
        <w:t>, of which the following responded ‘yes’ or ‘no’</w:t>
      </w:r>
    </w:p>
    <w:p w14:paraId="426361E2" w14:textId="259BA487" w:rsidR="00CB22B8" w:rsidRDefault="00BB7642">
      <w:r>
        <w:rPr>
          <w:noProof/>
        </w:rPr>
        <w:drawing>
          <wp:inline distT="0" distB="0" distL="0" distR="0" wp14:anchorId="65CF35E5" wp14:editId="1325A0EF">
            <wp:extent cx="5414010" cy="1450975"/>
            <wp:effectExtent l="0" t="0" r="0" b="0"/>
            <wp:docPr id="4268347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4010" cy="145097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076BCB3E"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9AEF4A3" w14:textId="77777777" w:rsidR="00CB22B8" w:rsidRDefault="00600CC3">
            <w:r>
              <w:t>Option</w:t>
            </w:r>
          </w:p>
        </w:tc>
        <w:tc>
          <w:tcPr>
            <w:tcW w:w="1134" w:type="dxa"/>
          </w:tcPr>
          <w:p w14:paraId="47EC13BD"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46BE23AF"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48EE764C"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D60B4C2" w14:textId="77777777" w:rsidR="00CB22B8" w:rsidRDefault="00600CC3">
            <w:r>
              <w:t>Yes</w:t>
            </w:r>
          </w:p>
        </w:tc>
        <w:tc>
          <w:tcPr>
            <w:tcW w:w="1134" w:type="dxa"/>
          </w:tcPr>
          <w:p w14:paraId="120348E7" w14:textId="77777777" w:rsidR="00CB22B8" w:rsidRDefault="00600CC3">
            <w:pPr>
              <w:cnfStyle w:val="000000100000" w:firstRow="0" w:lastRow="0" w:firstColumn="0" w:lastColumn="0" w:oddVBand="0" w:evenVBand="0" w:oddHBand="1" w:evenHBand="0" w:firstRowFirstColumn="0" w:firstRowLastColumn="0" w:lastRowFirstColumn="0" w:lastRowLastColumn="0"/>
            </w:pPr>
            <w:r>
              <w:t>1</w:t>
            </w:r>
          </w:p>
        </w:tc>
        <w:tc>
          <w:tcPr>
            <w:tcW w:w="1134" w:type="dxa"/>
          </w:tcPr>
          <w:p w14:paraId="231071E7" w14:textId="77777777" w:rsidR="00CB22B8" w:rsidRDefault="00600CC3">
            <w:pPr>
              <w:cnfStyle w:val="000000100000" w:firstRow="0" w:lastRow="0" w:firstColumn="0" w:lastColumn="0" w:oddVBand="0" w:evenVBand="0" w:oddHBand="1" w:evenHBand="0" w:firstRowFirstColumn="0" w:firstRowLastColumn="0" w:lastRowFirstColumn="0" w:lastRowLastColumn="0"/>
            </w:pPr>
            <w:r>
              <w:t>11.11%</w:t>
            </w:r>
          </w:p>
        </w:tc>
      </w:tr>
      <w:tr w:rsidR="00CB22B8" w14:paraId="4C7660DD"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F3D111B" w14:textId="77777777" w:rsidR="00CB22B8" w:rsidRDefault="00600CC3">
            <w:r>
              <w:t>No</w:t>
            </w:r>
          </w:p>
        </w:tc>
        <w:tc>
          <w:tcPr>
            <w:tcW w:w="1134" w:type="dxa"/>
          </w:tcPr>
          <w:p w14:paraId="64C62E4B" w14:textId="77777777" w:rsidR="00CB22B8" w:rsidRDefault="00600CC3">
            <w:pPr>
              <w:cnfStyle w:val="000000010000" w:firstRow="0" w:lastRow="0" w:firstColumn="0" w:lastColumn="0" w:oddVBand="0" w:evenVBand="0" w:oddHBand="0" w:evenHBand="1" w:firstRowFirstColumn="0" w:firstRowLastColumn="0" w:lastRowFirstColumn="0" w:lastRowLastColumn="0"/>
            </w:pPr>
            <w:r>
              <w:t>8</w:t>
            </w:r>
          </w:p>
        </w:tc>
        <w:tc>
          <w:tcPr>
            <w:tcW w:w="1134" w:type="dxa"/>
          </w:tcPr>
          <w:p w14:paraId="21EAEC42" w14:textId="77777777" w:rsidR="00CB22B8" w:rsidRDefault="00600CC3">
            <w:pPr>
              <w:cnfStyle w:val="000000010000" w:firstRow="0" w:lastRow="0" w:firstColumn="0" w:lastColumn="0" w:oddVBand="0" w:evenVBand="0" w:oddHBand="0" w:evenHBand="1" w:firstRowFirstColumn="0" w:firstRowLastColumn="0" w:lastRowFirstColumn="0" w:lastRowLastColumn="0"/>
            </w:pPr>
            <w:r>
              <w:t>88.89%</w:t>
            </w:r>
          </w:p>
        </w:tc>
      </w:tr>
      <w:tr w:rsidR="00CB22B8" w14:paraId="5378B373"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46EE3A9" w14:textId="77777777" w:rsidR="00CB22B8" w:rsidRDefault="00600CC3">
            <w:r>
              <w:t>Not Answered</w:t>
            </w:r>
          </w:p>
        </w:tc>
        <w:tc>
          <w:tcPr>
            <w:tcW w:w="1134" w:type="dxa"/>
          </w:tcPr>
          <w:p w14:paraId="5D20C161" w14:textId="77777777" w:rsidR="00CB22B8" w:rsidRDefault="00600CC3">
            <w:pPr>
              <w:cnfStyle w:val="000000100000" w:firstRow="0" w:lastRow="0" w:firstColumn="0" w:lastColumn="0" w:oddVBand="0" w:evenVBand="0" w:oddHBand="1" w:evenHBand="0" w:firstRowFirstColumn="0" w:firstRowLastColumn="0" w:lastRowFirstColumn="0" w:lastRowLastColumn="0"/>
            </w:pPr>
            <w:r>
              <w:t>0</w:t>
            </w:r>
          </w:p>
        </w:tc>
        <w:tc>
          <w:tcPr>
            <w:tcW w:w="1134" w:type="dxa"/>
          </w:tcPr>
          <w:p w14:paraId="4CA79129" w14:textId="77777777" w:rsidR="00CB22B8" w:rsidRDefault="00600CC3">
            <w:pPr>
              <w:cnfStyle w:val="000000100000" w:firstRow="0" w:lastRow="0" w:firstColumn="0" w:lastColumn="0" w:oddVBand="0" w:evenVBand="0" w:oddHBand="1" w:evenHBand="0" w:firstRowFirstColumn="0" w:firstRowLastColumn="0" w:lastRowFirstColumn="0" w:lastRowLastColumn="0"/>
            </w:pPr>
            <w:r>
              <w:t>0.00%</w:t>
            </w:r>
          </w:p>
        </w:tc>
      </w:tr>
    </w:tbl>
    <w:p w14:paraId="21F5CA39" w14:textId="1719E0B6" w:rsidR="00CB22B8" w:rsidRDefault="00600CC3">
      <w:r>
        <w:br/>
      </w:r>
      <w:r>
        <w:rPr>
          <w:b/>
        </w:rPr>
        <w:t>Please provide any comments</w:t>
      </w:r>
    </w:p>
    <w:p w14:paraId="32106119" w14:textId="3F2267E9" w:rsidR="00B47E7A" w:rsidRDefault="00600CC3">
      <w:r>
        <w:t xml:space="preserve">There </w:t>
      </w:r>
      <w:r w:rsidR="00BD66D8">
        <w:t xml:space="preserve">were </w:t>
      </w:r>
      <w:r w:rsidR="705BED4D">
        <w:t>no</w:t>
      </w:r>
      <w:r w:rsidR="00BD66D8">
        <w:t xml:space="preserve"> responses to this question. </w:t>
      </w:r>
      <w:r w:rsidR="00B47E7A">
        <w:t xml:space="preserve"> </w:t>
      </w:r>
    </w:p>
    <w:p w14:paraId="7327CE30" w14:textId="77777777" w:rsidR="00CB22B8" w:rsidRDefault="00CB22B8"/>
    <w:p w14:paraId="591DED90" w14:textId="2CF5CD6F" w:rsidR="00CB22B8" w:rsidRDefault="00600CC3">
      <w:pPr>
        <w:pStyle w:val="Heading2"/>
      </w:pPr>
      <w:r>
        <w:lastRenderedPageBreak/>
        <w:t>9: *ICBs only*</w:t>
      </w:r>
      <w:r>
        <w:br/>
        <w:t>Has the PNA provided adequate information to inform Market entry decisions?</w:t>
      </w:r>
    </w:p>
    <w:p w14:paraId="79B38E8E" w14:textId="7A677687" w:rsidR="00CB22B8" w:rsidRDefault="00600CC3">
      <w:r>
        <w:t>There were 7 responses to this part of the question</w:t>
      </w:r>
      <w:r w:rsidR="00AF5FD9">
        <w:t xml:space="preserve">, (with N=2 ‘not answered), of which the following responded ‘yes’ or ‘no’: </w:t>
      </w:r>
    </w:p>
    <w:p w14:paraId="7870E547" w14:textId="71646547" w:rsidR="00CB22B8" w:rsidRDefault="00BB7642">
      <w:r>
        <w:rPr>
          <w:noProof/>
        </w:rPr>
        <w:drawing>
          <wp:inline distT="0" distB="0" distL="0" distR="0" wp14:anchorId="7CAD774B" wp14:editId="65365B96">
            <wp:extent cx="5414010" cy="2030095"/>
            <wp:effectExtent l="0" t="0" r="0" b="8255"/>
            <wp:docPr id="63561293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14010" cy="203009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745C819A"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E18D333" w14:textId="77777777" w:rsidR="00CB22B8" w:rsidRDefault="00600CC3">
            <w:r>
              <w:t>Option</w:t>
            </w:r>
          </w:p>
        </w:tc>
        <w:tc>
          <w:tcPr>
            <w:tcW w:w="1134" w:type="dxa"/>
          </w:tcPr>
          <w:p w14:paraId="396B0F7D"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5B3DFE95"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43D0E153"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BE4EB3B" w14:textId="77777777" w:rsidR="00CB22B8" w:rsidRDefault="00600CC3">
            <w:r>
              <w:t>Yes</w:t>
            </w:r>
          </w:p>
        </w:tc>
        <w:tc>
          <w:tcPr>
            <w:tcW w:w="1134" w:type="dxa"/>
          </w:tcPr>
          <w:p w14:paraId="3820FAB2" w14:textId="77777777" w:rsidR="00CB22B8" w:rsidRDefault="00600CC3">
            <w:pPr>
              <w:cnfStyle w:val="000000100000" w:firstRow="0" w:lastRow="0" w:firstColumn="0" w:lastColumn="0" w:oddVBand="0" w:evenVBand="0" w:oddHBand="1" w:evenHBand="0" w:firstRowFirstColumn="0" w:firstRowLastColumn="0" w:lastRowFirstColumn="0" w:lastRowLastColumn="0"/>
            </w:pPr>
            <w:r>
              <w:t>4</w:t>
            </w:r>
          </w:p>
        </w:tc>
        <w:tc>
          <w:tcPr>
            <w:tcW w:w="1134" w:type="dxa"/>
          </w:tcPr>
          <w:p w14:paraId="643E4458" w14:textId="77777777" w:rsidR="00CB22B8" w:rsidRDefault="00600CC3">
            <w:pPr>
              <w:cnfStyle w:val="000000100000" w:firstRow="0" w:lastRow="0" w:firstColumn="0" w:lastColumn="0" w:oddVBand="0" w:evenVBand="0" w:oddHBand="1" w:evenHBand="0" w:firstRowFirstColumn="0" w:firstRowLastColumn="0" w:lastRowFirstColumn="0" w:lastRowLastColumn="0"/>
            </w:pPr>
            <w:r>
              <w:t>44.44%</w:t>
            </w:r>
          </w:p>
        </w:tc>
      </w:tr>
      <w:tr w:rsidR="00CB22B8" w14:paraId="494C5299"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F610292" w14:textId="77777777" w:rsidR="00CB22B8" w:rsidRDefault="00600CC3">
            <w:r>
              <w:t>No</w:t>
            </w:r>
          </w:p>
        </w:tc>
        <w:tc>
          <w:tcPr>
            <w:tcW w:w="1134" w:type="dxa"/>
          </w:tcPr>
          <w:p w14:paraId="07AC7794" w14:textId="77777777" w:rsidR="00CB22B8" w:rsidRDefault="00600CC3">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7E7428C0" w14:textId="77777777" w:rsidR="00CB22B8" w:rsidRDefault="00600CC3">
            <w:pPr>
              <w:cnfStyle w:val="000000010000" w:firstRow="0" w:lastRow="0" w:firstColumn="0" w:lastColumn="0" w:oddVBand="0" w:evenVBand="0" w:oddHBand="0" w:evenHBand="1" w:firstRowFirstColumn="0" w:firstRowLastColumn="0" w:lastRowFirstColumn="0" w:lastRowLastColumn="0"/>
            </w:pPr>
            <w:r>
              <w:t>0.00%</w:t>
            </w:r>
          </w:p>
        </w:tc>
      </w:tr>
      <w:tr w:rsidR="00CB22B8" w14:paraId="61BD97FB"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009935F" w14:textId="77777777" w:rsidR="00CB22B8" w:rsidRDefault="00600CC3">
            <w:r>
              <w:t>N/A</w:t>
            </w:r>
          </w:p>
        </w:tc>
        <w:tc>
          <w:tcPr>
            <w:tcW w:w="1134" w:type="dxa"/>
          </w:tcPr>
          <w:p w14:paraId="5A676A8B" w14:textId="77777777" w:rsidR="00CB22B8" w:rsidRDefault="00600CC3">
            <w:pPr>
              <w:cnfStyle w:val="000000100000" w:firstRow="0" w:lastRow="0" w:firstColumn="0" w:lastColumn="0" w:oddVBand="0" w:evenVBand="0" w:oddHBand="1" w:evenHBand="0" w:firstRowFirstColumn="0" w:firstRowLastColumn="0" w:lastRowFirstColumn="0" w:lastRowLastColumn="0"/>
            </w:pPr>
            <w:r>
              <w:t>3</w:t>
            </w:r>
          </w:p>
        </w:tc>
        <w:tc>
          <w:tcPr>
            <w:tcW w:w="1134" w:type="dxa"/>
          </w:tcPr>
          <w:p w14:paraId="4C6F37D4" w14:textId="77777777" w:rsidR="00CB22B8" w:rsidRDefault="00600CC3">
            <w:pPr>
              <w:cnfStyle w:val="000000100000" w:firstRow="0" w:lastRow="0" w:firstColumn="0" w:lastColumn="0" w:oddVBand="0" w:evenVBand="0" w:oddHBand="1" w:evenHBand="0" w:firstRowFirstColumn="0" w:firstRowLastColumn="0" w:lastRowFirstColumn="0" w:lastRowLastColumn="0"/>
            </w:pPr>
            <w:r>
              <w:t>33.33%</w:t>
            </w:r>
          </w:p>
        </w:tc>
      </w:tr>
      <w:tr w:rsidR="00CB22B8" w14:paraId="4030FF44"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17C5B77" w14:textId="77777777" w:rsidR="00CB22B8" w:rsidRDefault="00600CC3">
            <w:r>
              <w:t>Not Answered</w:t>
            </w:r>
          </w:p>
        </w:tc>
        <w:tc>
          <w:tcPr>
            <w:tcW w:w="1134" w:type="dxa"/>
          </w:tcPr>
          <w:p w14:paraId="5ACDB18E" w14:textId="77777777" w:rsidR="00CB22B8" w:rsidRDefault="00600CC3">
            <w:pPr>
              <w:cnfStyle w:val="000000010000" w:firstRow="0" w:lastRow="0" w:firstColumn="0" w:lastColumn="0" w:oddVBand="0" w:evenVBand="0" w:oddHBand="0" w:evenHBand="1" w:firstRowFirstColumn="0" w:firstRowLastColumn="0" w:lastRowFirstColumn="0" w:lastRowLastColumn="0"/>
            </w:pPr>
            <w:r>
              <w:t>2</w:t>
            </w:r>
          </w:p>
        </w:tc>
        <w:tc>
          <w:tcPr>
            <w:tcW w:w="1134" w:type="dxa"/>
          </w:tcPr>
          <w:p w14:paraId="20217FD0" w14:textId="77777777" w:rsidR="00CB22B8" w:rsidRDefault="00600CC3">
            <w:pPr>
              <w:cnfStyle w:val="000000010000" w:firstRow="0" w:lastRow="0" w:firstColumn="0" w:lastColumn="0" w:oddVBand="0" w:evenVBand="0" w:oddHBand="0" w:evenHBand="1" w:firstRowFirstColumn="0" w:firstRowLastColumn="0" w:lastRowFirstColumn="0" w:lastRowLastColumn="0"/>
            </w:pPr>
            <w:r>
              <w:t>22.22%</w:t>
            </w:r>
          </w:p>
        </w:tc>
      </w:tr>
    </w:tbl>
    <w:p w14:paraId="32193AC6" w14:textId="77777777" w:rsidR="00CB22B8" w:rsidRDefault="00600CC3">
      <w:r>
        <w:br/>
      </w:r>
      <w:r>
        <w:rPr>
          <w:b/>
        </w:rPr>
        <w:t>Has the PNA provided adequate information to inform Market entry decisions? Comments</w:t>
      </w:r>
    </w:p>
    <w:p w14:paraId="0CF07E4C" w14:textId="1AC21CA1" w:rsidR="00CB22B8" w:rsidRDefault="00600CC3">
      <w:r>
        <w:t>There was 1 response to this part of the question</w:t>
      </w:r>
      <w:r w:rsidR="00B14204">
        <w:t xml:space="preserve">, comments received have been presented below. </w:t>
      </w:r>
    </w:p>
    <w:tbl>
      <w:tblPr>
        <w:tblStyle w:val="TableGrid"/>
        <w:tblW w:w="0" w:type="auto"/>
        <w:tblLook w:val="04A0" w:firstRow="1" w:lastRow="0" w:firstColumn="1" w:lastColumn="0" w:noHBand="0" w:noVBand="1"/>
      </w:tblPr>
      <w:tblGrid>
        <w:gridCol w:w="4428"/>
        <w:gridCol w:w="4428"/>
      </w:tblGrid>
      <w:tr w:rsidR="00AF5FD9" w14:paraId="3838052D" w14:textId="77777777">
        <w:tc>
          <w:tcPr>
            <w:tcW w:w="4428" w:type="dxa"/>
          </w:tcPr>
          <w:p w14:paraId="6BE88A59" w14:textId="77777777" w:rsidR="00AF5FD9" w:rsidRDefault="00AF5FD9">
            <w:r>
              <w:t>Theme</w:t>
            </w:r>
          </w:p>
        </w:tc>
        <w:tc>
          <w:tcPr>
            <w:tcW w:w="4428" w:type="dxa"/>
          </w:tcPr>
          <w:p w14:paraId="53106D25" w14:textId="77777777" w:rsidR="00AF5FD9" w:rsidRDefault="00AF5FD9">
            <w:r>
              <w:t>Response</w:t>
            </w:r>
          </w:p>
        </w:tc>
      </w:tr>
      <w:tr w:rsidR="00AF5FD9" w14:paraId="1C27456E" w14:textId="77777777">
        <w:tc>
          <w:tcPr>
            <w:tcW w:w="4428" w:type="dxa"/>
          </w:tcPr>
          <w:p w14:paraId="582B55EE" w14:textId="6AAAEAA5" w:rsidR="00AF5FD9" w:rsidRPr="00D95E20" w:rsidRDefault="0030395B">
            <w:pPr>
              <w:rPr>
                <w:rFonts w:cs="Arial"/>
              </w:rPr>
            </w:pPr>
            <w:r w:rsidRPr="00D95E20">
              <w:rPr>
                <w:rFonts w:cs="Arial"/>
              </w:rPr>
              <w:t xml:space="preserve">Consideration of potential service gaps from pharmacy closures to support market entry </w:t>
            </w:r>
            <w:r w:rsidR="003228AE" w:rsidRPr="00D95E20">
              <w:rPr>
                <w:rFonts w:cs="Arial"/>
              </w:rPr>
              <w:t xml:space="preserve">decisions. </w:t>
            </w:r>
          </w:p>
          <w:p w14:paraId="118C6959" w14:textId="77777777" w:rsidR="00AF5FD9" w:rsidRDefault="00AF5FD9"/>
        </w:tc>
        <w:tc>
          <w:tcPr>
            <w:tcW w:w="4428" w:type="dxa"/>
          </w:tcPr>
          <w:p w14:paraId="52B245A9" w14:textId="4BA557AD" w:rsidR="00AF5FD9" w:rsidRPr="00D95E20" w:rsidRDefault="003B48CB">
            <w:pPr>
              <w:rPr>
                <w:rFonts w:cs="Arial"/>
              </w:rPr>
            </w:pPr>
            <w:r w:rsidRPr="00D95E20">
              <w:rPr>
                <w:rFonts w:cs="Arial"/>
              </w:rPr>
              <w:t xml:space="preserve">Supplementary statements are provided </w:t>
            </w:r>
            <w:r w:rsidR="00E563D1" w:rsidRPr="00D95E20">
              <w:rPr>
                <w:rFonts w:cs="Arial"/>
              </w:rPr>
              <w:t>annually</w:t>
            </w:r>
            <w:r w:rsidRPr="00D95E20">
              <w:rPr>
                <w:rFonts w:cs="Arial"/>
              </w:rPr>
              <w:t xml:space="preserve">, and this would </w:t>
            </w:r>
            <w:r w:rsidR="00E004A7" w:rsidRPr="00D95E20">
              <w:rPr>
                <w:rFonts w:cs="Arial"/>
              </w:rPr>
              <w:t>support decision</w:t>
            </w:r>
            <w:r w:rsidR="00EA142E" w:rsidRPr="00D95E20">
              <w:rPr>
                <w:rFonts w:cs="Arial"/>
              </w:rPr>
              <w:t>s to market entry</w:t>
            </w:r>
            <w:r w:rsidRPr="00D95E20">
              <w:rPr>
                <w:rFonts w:cs="Arial"/>
              </w:rPr>
              <w:t>, this PNA only evaluates the status quo as of 1</w:t>
            </w:r>
            <w:r w:rsidRPr="00D95E20">
              <w:rPr>
                <w:rFonts w:cs="Arial"/>
                <w:vertAlign w:val="superscript"/>
              </w:rPr>
              <w:t>st</w:t>
            </w:r>
            <w:r w:rsidRPr="00D95E20">
              <w:rPr>
                <w:rFonts w:cs="Arial"/>
              </w:rPr>
              <w:t xml:space="preserve"> of January 2025</w:t>
            </w:r>
            <w:r w:rsidR="00D95E20" w:rsidRPr="00D95E20">
              <w:rPr>
                <w:rFonts w:cs="Arial"/>
              </w:rPr>
              <w:t>.</w:t>
            </w:r>
          </w:p>
        </w:tc>
      </w:tr>
    </w:tbl>
    <w:p w14:paraId="0129DE37" w14:textId="77777777" w:rsidR="00CB22B8" w:rsidRDefault="00CB22B8"/>
    <w:p w14:paraId="3E3E84B9" w14:textId="43B5B537" w:rsidR="00CB22B8" w:rsidRDefault="00600CC3">
      <w:pPr>
        <w:pStyle w:val="Heading2"/>
      </w:pPr>
      <w:r>
        <w:t>10: *All commissioners*</w:t>
      </w:r>
      <w:r>
        <w:br/>
        <w:t xml:space="preserve">Has the PNA provided adequate information to inform how you may commission pharmaceutical services in the future? </w:t>
      </w:r>
    </w:p>
    <w:p w14:paraId="01DFAEAF" w14:textId="77777777" w:rsidR="006F551F" w:rsidRDefault="00600CC3" w:rsidP="006F551F">
      <w:r>
        <w:t>There were 7 responses to this part of the question</w:t>
      </w:r>
      <w:r w:rsidR="00B14204">
        <w:t xml:space="preserve">, </w:t>
      </w:r>
      <w:r w:rsidR="006F551F">
        <w:t xml:space="preserve">(with N=2 ‘not answered), of which the following responded ‘yes’ or ‘no’: </w:t>
      </w:r>
    </w:p>
    <w:p w14:paraId="03527B8A" w14:textId="7D3D0E24" w:rsidR="00CB22B8" w:rsidRDefault="00CB22B8"/>
    <w:p w14:paraId="0E5A1269" w14:textId="2A08894C" w:rsidR="00CB22B8" w:rsidRDefault="00BB7642">
      <w:r>
        <w:rPr>
          <w:noProof/>
        </w:rPr>
        <w:lastRenderedPageBreak/>
        <w:drawing>
          <wp:inline distT="0" distB="0" distL="0" distR="0" wp14:anchorId="7BA2E17B" wp14:editId="27B01B00">
            <wp:extent cx="5414010" cy="2463165"/>
            <wp:effectExtent l="0" t="0" r="0" b="0"/>
            <wp:docPr id="16592118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4010" cy="246316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738FCF58"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080FF3E" w14:textId="77777777" w:rsidR="00CB22B8" w:rsidRDefault="00600CC3">
            <w:r>
              <w:t>Option</w:t>
            </w:r>
          </w:p>
        </w:tc>
        <w:tc>
          <w:tcPr>
            <w:tcW w:w="1134" w:type="dxa"/>
          </w:tcPr>
          <w:p w14:paraId="5FCCC7BC"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4E176BCF"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6DD01ADC"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F12596E" w14:textId="77777777" w:rsidR="00CB22B8" w:rsidRDefault="00600CC3">
            <w:r>
              <w:t>Yes</w:t>
            </w:r>
          </w:p>
        </w:tc>
        <w:tc>
          <w:tcPr>
            <w:tcW w:w="1134" w:type="dxa"/>
          </w:tcPr>
          <w:p w14:paraId="2DFDB18C" w14:textId="77777777" w:rsidR="00CB22B8" w:rsidRDefault="00600CC3">
            <w:pPr>
              <w:cnfStyle w:val="000000100000" w:firstRow="0" w:lastRow="0" w:firstColumn="0" w:lastColumn="0" w:oddVBand="0" w:evenVBand="0" w:oddHBand="1" w:evenHBand="0" w:firstRowFirstColumn="0" w:firstRowLastColumn="0" w:lastRowFirstColumn="0" w:lastRowLastColumn="0"/>
            </w:pPr>
            <w:r>
              <w:t>3</w:t>
            </w:r>
          </w:p>
        </w:tc>
        <w:tc>
          <w:tcPr>
            <w:tcW w:w="1134" w:type="dxa"/>
          </w:tcPr>
          <w:p w14:paraId="78910094" w14:textId="77777777" w:rsidR="00CB22B8" w:rsidRDefault="00600CC3">
            <w:pPr>
              <w:cnfStyle w:val="000000100000" w:firstRow="0" w:lastRow="0" w:firstColumn="0" w:lastColumn="0" w:oddVBand="0" w:evenVBand="0" w:oddHBand="1" w:evenHBand="0" w:firstRowFirstColumn="0" w:firstRowLastColumn="0" w:lastRowFirstColumn="0" w:lastRowLastColumn="0"/>
            </w:pPr>
            <w:r>
              <w:t>33.33%</w:t>
            </w:r>
          </w:p>
        </w:tc>
      </w:tr>
      <w:tr w:rsidR="00CB22B8" w14:paraId="58D880F6"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63A355BE" w14:textId="77777777" w:rsidR="00CB22B8" w:rsidRDefault="00600CC3">
            <w:r>
              <w:t>No</w:t>
            </w:r>
          </w:p>
        </w:tc>
        <w:tc>
          <w:tcPr>
            <w:tcW w:w="1134" w:type="dxa"/>
          </w:tcPr>
          <w:p w14:paraId="0C1D428D" w14:textId="77777777" w:rsidR="00CB22B8" w:rsidRDefault="00600CC3">
            <w:pPr>
              <w:cnfStyle w:val="000000010000" w:firstRow="0" w:lastRow="0" w:firstColumn="0" w:lastColumn="0" w:oddVBand="0" w:evenVBand="0" w:oddHBand="0" w:evenHBand="1" w:firstRowFirstColumn="0" w:firstRowLastColumn="0" w:lastRowFirstColumn="0" w:lastRowLastColumn="0"/>
            </w:pPr>
            <w:r>
              <w:t>1</w:t>
            </w:r>
          </w:p>
        </w:tc>
        <w:tc>
          <w:tcPr>
            <w:tcW w:w="1134" w:type="dxa"/>
          </w:tcPr>
          <w:p w14:paraId="598EDD9C" w14:textId="77777777" w:rsidR="00CB22B8" w:rsidRDefault="00600CC3">
            <w:pPr>
              <w:cnfStyle w:val="000000010000" w:firstRow="0" w:lastRow="0" w:firstColumn="0" w:lastColumn="0" w:oddVBand="0" w:evenVBand="0" w:oddHBand="0" w:evenHBand="1" w:firstRowFirstColumn="0" w:firstRowLastColumn="0" w:lastRowFirstColumn="0" w:lastRowLastColumn="0"/>
            </w:pPr>
            <w:r>
              <w:t>11.11%</w:t>
            </w:r>
          </w:p>
        </w:tc>
      </w:tr>
      <w:tr w:rsidR="00CB22B8" w14:paraId="5E84C740"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04D84EAA" w14:textId="77777777" w:rsidR="00CB22B8" w:rsidRDefault="00600CC3">
            <w:r>
              <w:t>N/A</w:t>
            </w:r>
          </w:p>
        </w:tc>
        <w:tc>
          <w:tcPr>
            <w:tcW w:w="1134" w:type="dxa"/>
          </w:tcPr>
          <w:p w14:paraId="794E7572" w14:textId="77777777" w:rsidR="00CB22B8" w:rsidRDefault="00600CC3">
            <w:pPr>
              <w:cnfStyle w:val="000000100000" w:firstRow="0" w:lastRow="0" w:firstColumn="0" w:lastColumn="0" w:oddVBand="0" w:evenVBand="0" w:oddHBand="1" w:evenHBand="0" w:firstRowFirstColumn="0" w:firstRowLastColumn="0" w:lastRowFirstColumn="0" w:lastRowLastColumn="0"/>
            </w:pPr>
            <w:r>
              <w:t>3</w:t>
            </w:r>
          </w:p>
        </w:tc>
        <w:tc>
          <w:tcPr>
            <w:tcW w:w="1134" w:type="dxa"/>
          </w:tcPr>
          <w:p w14:paraId="51FC7E44" w14:textId="77777777" w:rsidR="00CB22B8" w:rsidRDefault="00600CC3">
            <w:pPr>
              <w:cnfStyle w:val="000000100000" w:firstRow="0" w:lastRow="0" w:firstColumn="0" w:lastColumn="0" w:oddVBand="0" w:evenVBand="0" w:oddHBand="1" w:evenHBand="0" w:firstRowFirstColumn="0" w:firstRowLastColumn="0" w:lastRowFirstColumn="0" w:lastRowLastColumn="0"/>
            </w:pPr>
            <w:r>
              <w:t>33.33%</w:t>
            </w:r>
          </w:p>
        </w:tc>
      </w:tr>
      <w:tr w:rsidR="00CB22B8" w14:paraId="63A22B6C"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6DCC635" w14:textId="77777777" w:rsidR="00CB22B8" w:rsidRDefault="00600CC3">
            <w:r>
              <w:t>Not Answered</w:t>
            </w:r>
          </w:p>
        </w:tc>
        <w:tc>
          <w:tcPr>
            <w:tcW w:w="1134" w:type="dxa"/>
          </w:tcPr>
          <w:p w14:paraId="7EAC9E91" w14:textId="77777777" w:rsidR="00CB22B8" w:rsidRDefault="00600CC3">
            <w:pPr>
              <w:cnfStyle w:val="000000010000" w:firstRow="0" w:lastRow="0" w:firstColumn="0" w:lastColumn="0" w:oddVBand="0" w:evenVBand="0" w:oddHBand="0" w:evenHBand="1" w:firstRowFirstColumn="0" w:firstRowLastColumn="0" w:lastRowFirstColumn="0" w:lastRowLastColumn="0"/>
            </w:pPr>
            <w:r>
              <w:t>2</w:t>
            </w:r>
          </w:p>
        </w:tc>
        <w:tc>
          <w:tcPr>
            <w:tcW w:w="1134" w:type="dxa"/>
          </w:tcPr>
          <w:p w14:paraId="3F4C0D2C" w14:textId="77777777" w:rsidR="00CB22B8" w:rsidRDefault="00600CC3">
            <w:pPr>
              <w:cnfStyle w:val="000000010000" w:firstRow="0" w:lastRow="0" w:firstColumn="0" w:lastColumn="0" w:oddVBand="0" w:evenVBand="0" w:oddHBand="0" w:evenHBand="1" w:firstRowFirstColumn="0" w:firstRowLastColumn="0" w:lastRowFirstColumn="0" w:lastRowLastColumn="0"/>
            </w:pPr>
            <w:r>
              <w:t>22.22%</w:t>
            </w:r>
          </w:p>
        </w:tc>
      </w:tr>
    </w:tbl>
    <w:p w14:paraId="4E6642AB" w14:textId="46C24FD5" w:rsidR="00CB22B8" w:rsidRDefault="00600CC3">
      <w:r>
        <w:br/>
      </w:r>
      <w:r>
        <w:rPr>
          <w:b/>
        </w:rPr>
        <w:t>Has the PNA provided adequate information to inform how you may commission pharmaceutical services in the future?  Comments</w:t>
      </w:r>
    </w:p>
    <w:p w14:paraId="44186B58" w14:textId="77777777" w:rsidR="00CB22B8" w:rsidRDefault="00600CC3">
      <w:r>
        <w:t>There were 0 responses to this part of the question.</w:t>
      </w:r>
    </w:p>
    <w:p w14:paraId="77DAE4E9" w14:textId="77777777" w:rsidR="00CB22B8" w:rsidRDefault="00CB22B8"/>
    <w:p w14:paraId="238CA599" w14:textId="6024E8F4" w:rsidR="00CB22B8" w:rsidRDefault="00600CC3">
      <w:pPr>
        <w:pStyle w:val="Heading2"/>
      </w:pPr>
      <w:r>
        <w:t>11: *Community pharmacies, Dispensing Appliance Contractors, Distance Selling Pharmacies and Dispensing Doctors ONLY*</w:t>
      </w:r>
      <w:r>
        <w:br/>
        <w:t>Has the PNA correctly reflected the following information about you?</w:t>
      </w:r>
    </w:p>
    <w:p w14:paraId="1E77F4D8" w14:textId="73D4A876" w:rsidR="00CB22B8" w:rsidRDefault="00600CC3">
      <w:r>
        <w:t>There were 7 responses to this part of the question</w:t>
      </w:r>
      <w:r w:rsidR="00D56FFB">
        <w:t xml:space="preserve"> (with N=2 ‘not answered), of which the following responded ‘yes’ or ‘no’: </w:t>
      </w:r>
    </w:p>
    <w:p w14:paraId="7AF8BD49" w14:textId="482B7696" w:rsidR="00CB22B8" w:rsidRDefault="00BB7642">
      <w:r>
        <w:rPr>
          <w:noProof/>
        </w:rPr>
        <w:drawing>
          <wp:inline distT="0" distB="0" distL="0" distR="0" wp14:anchorId="471CD674" wp14:editId="0075F458">
            <wp:extent cx="5414010" cy="2030095"/>
            <wp:effectExtent l="0" t="0" r="0" b="8255"/>
            <wp:docPr id="85429164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4010" cy="203009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0767A96F"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338289EA" w14:textId="77777777" w:rsidR="00CB22B8" w:rsidRDefault="00600CC3">
            <w:r>
              <w:lastRenderedPageBreak/>
              <w:t>Option</w:t>
            </w:r>
          </w:p>
        </w:tc>
        <w:tc>
          <w:tcPr>
            <w:tcW w:w="1134" w:type="dxa"/>
          </w:tcPr>
          <w:p w14:paraId="31F19B2B"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1CDA8D33"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00AB59D0"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EDBBAE0" w14:textId="77777777" w:rsidR="00CB22B8" w:rsidRDefault="00600CC3">
            <w:r>
              <w:t>Yes</w:t>
            </w:r>
          </w:p>
        </w:tc>
        <w:tc>
          <w:tcPr>
            <w:tcW w:w="1134" w:type="dxa"/>
          </w:tcPr>
          <w:p w14:paraId="3E9CFC04" w14:textId="77777777" w:rsidR="00CB22B8" w:rsidRDefault="00600CC3">
            <w:pPr>
              <w:cnfStyle w:val="000000100000" w:firstRow="0" w:lastRow="0" w:firstColumn="0" w:lastColumn="0" w:oddVBand="0" w:evenVBand="0" w:oddHBand="1" w:evenHBand="0" w:firstRowFirstColumn="0" w:firstRowLastColumn="0" w:lastRowFirstColumn="0" w:lastRowLastColumn="0"/>
            </w:pPr>
            <w:r>
              <w:t>5</w:t>
            </w:r>
          </w:p>
        </w:tc>
        <w:tc>
          <w:tcPr>
            <w:tcW w:w="1134" w:type="dxa"/>
          </w:tcPr>
          <w:p w14:paraId="277CFAB9" w14:textId="77777777" w:rsidR="00CB22B8" w:rsidRDefault="00600CC3">
            <w:pPr>
              <w:cnfStyle w:val="000000100000" w:firstRow="0" w:lastRow="0" w:firstColumn="0" w:lastColumn="0" w:oddVBand="0" w:evenVBand="0" w:oddHBand="1" w:evenHBand="0" w:firstRowFirstColumn="0" w:firstRowLastColumn="0" w:lastRowFirstColumn="0" w:lastRowLastColumn="0"/>
            </w:pPr>
            <w:r>
              <w:t>55.56%</w:t>
            </w:r>
          </w:p>
        </w:tc>
      </w:tr>
      <w:tr w:rsidR="00CB22B8" w14:paraId="08E33C5D"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8A1226E" w14:textId="77777777" w:rsidR="00CB22B8" w:rsidRDefault="00600CC3">
            <w:r>
              <w:t>No</w:t>
            </w:r>
          </w:p>
        </w:tc>
        <w:tc>
          <w:tcPr>
            <w:tcW w:w="1134" w:type="dxa"/>
          </w:tcPr>
          <w:p w14:paraId="68B2B3B2" w14:textId="77777777" w:rsidR="00CB22B8" w:rsidRDefault="00600CC3">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2AA4A1E3" w14:textId="77777777" w:rsidR="00CB22B8" w:rsidRDefault="00600CC3">
            <w:pPr>
              <w:cnfStyle w:val="000000010000" w:firstRow="0" w:lastRow="0" w:firstColumn="0" w:lastColumn="0" w:oddVBand="0" w:evenVBand="0" w:oddHBand="0" w:evenHBand="1" w:firstRowFirstColumn="0" w:firstRowLastColumn="0" w:lastRowFirstColumn="0" w:lastRowLastColumn="0"/>
            </w:pPr>
            <w:r>
              <w:t>0.00%</w:t>
            </w:r>
          </w:p>
        </w:tc>
      </w:tr>
      <w:tr w:rsidR="00CB22B8" w14:paraId="0AF2C7FC"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08F666C" w14:textId="77777777" w:rsidR="00CB22B8" w:rsidRDefault="00600CC3">
            <w:r>
              <w:t>N/A</w:t>
            </w:r>
          </w:p>
        </w:tc>
        <w:tc>
          <w:tcPr>
            <w:tcW w:w="1134" w:type="dxa"/>
          </w:tcPr>
          <w:p w14:paraId="6858FE45" w14:textId="77777777" w:rsidR="00CB22B8" w:rsidRDefault="00600CC3">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391F9062" w14:textId="77777777" w:rsidR="00CB22B8" w:rsidRDefault="00600CC3">
            <w:pPr>
              <w:cnfStyle w:val="000000100000" w:firstRow="0" w:lastRow="0" w:firstColumn="0" w:lastColumn="0" w:oddVBand="0" w:evenVBand="0" w:oddHBand="1" w:evenHBand="0" w:firstRowFirstColumn="0" w:firstRowLastColumn="0" w:lastRowFirstColumn="0" w:lastRowLastColumn="0"/>
            </w:pPr>
            <w:r>
              <w:t>22.22%</w:t>
            </w:r>
          </w:p>
        </w:tc>
      </w:tr>
      <w:tr w:rsidR="00CB22B8" w14:paraId="3C5045FA"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1EEED3DC" w14:textId="77777777" w:rsidR="00CB22B8" w:rsidRDefault="00600CC3">
            <w:r>
              <w:t>Not Answered</w:t>
            </w:r>
          </w:p>
        </w:tc>
        <w:tc>
          <w:tcPr>
            <w:tcW w:w="1134" w:type="dxa"/>
          </w:tcPr>
          <w:p w14:paraId="4B425312" w14:textId="77777777" w:rsidR="00CB22B8" w:rsidRDefault="00600CC3">
            <w:pPr>
              <w:cnfStyle w:val="000000010000" w:firstRow="0" w:lastRow="0" w:firstColumn="0" w:lastColumn="0" w:oddVBand="0" w:evenVBand="0" w:oddHBand="0" w:evenHBand="1" w:firstRowFirstColumn="0" w:firstRowLastColumn="0" w:lastRowFirstColumn="0" w:lastRowLastColumn="0"/>
            </w:pPr>
            <w:r>
              <w:t>2</w:t>
            </w:r>
          </w:p>
        </w:tc>
        <w:tc>
          <w:tcPr>
            <w:tcW w:w="1134" w:type="dxa"/>
          </w:tcPr>
          <w:p w14:paraId="4A79C390" w14:textId="77777777" w:rsidR="00CB22B8" w:rsidRDefault="00600CC3">
            <w:pPr>
              <w:cnfStyle w:val="000000010000" w:firstRow="0" w:lastRow="0" w:firstColumn="0" w:lastColumn="0" w:oddVBand="0" w:evenVBand="0" w:oddHBand="0" w:evenHBand="1" w:firstRowFirstColumn="0" w:firstRowLastColumn="0" w:lastRowFirstColumn="0" w:lastRowLastColumn="0"/>
            </w:pPr>
            <w:r>
              <w:t>22.22%</w:t>
            </w:r>
          </w:p>
        </w:tc>
      </w:tr>
    </w:tbl>
    <w:p w14:paraId="6E99596A" w14:textId="77777777" w:rsidR="00CB22B8" w:rsidRDefault="00600CC3">
      <w:r>
        <w:br/>
      </w:r>
    </w:p>
    <w:p w14:paraId="0C08304C" w14:textId="77777777" w:rsidR="00CB22B8" w:rsidRDefault="00600CC3">
      <w:r>
        <w:rPr>
          <w:b/>
        </w:rPr>
        <w:t>Has the PNA correctly reflected the following information about you? - Service provision</w:t>
      </w:r>
    </w:p>
    <w:p w14:paraId="31317F98" w14:textId="6F6E4B82" w:rsidR="00CB22B8" w:rsidRDefault="00600CC3">
      <w:r>
        <w:t>There were 7 responses to this part of the question</w:t>
      </w:r>
      <w:r w:rsidR="00AB2D08">
        <w:t xml:space="preserve"> (with N=2 ‘not answered), of which the following responded ‘yes’ or ‘no’: </w:t>
      </w:r>
    </w:p>
    <w:p w14:paraId="52F8B599" w14:textId="044D930C" w:rsidR="00CB22B8" w:rsidRDefault="00BB7642">
      <w:r>
        <w:rPr>
          <w:noProof/>
        </w:rPr>
        <w:drawing>
          <wp:inline distT="0" distB="0" distL="0" distR="0" wp14:anchorId="5A75A681" wp14:editId="2CCE6035">
            <wp:extent cx="5414010" cy="2030095"/>
            <wp:effectExtent l="0" t="0" r="0" b="8255"/>
            <wp:docPr id="5283529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14010" cy="2030095"/>
                    </a:xfrm>
                    <a:prstGeom prst="rect">
                      <a:avLst/>
                    </a:prstGeom>
                    <a:noFill/>
                  </pic:spPr>
                </pic:pic>
              </a:graphicData>
            </a:graphic>
          </wp:inline>
        </w:drawing>
      </w:r>
    </w:p>
    <w:tbl>
      <w:tblPr>
        <w:tblStyle w:val="LightGrid-Accent1"/>
        <w:tblW w:w="0" w:type="auto"/>
        <w:tblLook w:val="04A0" w:firstRow="1" w:lastRow="0" w:firstColumn="1" w:lastColumn="0" w:noHBand="0" w:noVBand="1"/>
      </w:tblPr>
      <w:tblGrid>
        <w:gridCol w:w="6372"/>
        <w:gridCol w:w="1134"/>
        <w:gridCol w:w="1134"/>
      </w:tblGrid>
      <w:tr w:rsidR="00CB22B8" w14:paraId="666C09BA" w14:textId="77777777" w:rsidTr="00CB22B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A5B7E15" w14:textId="77777777" w:rsidR="00CB22B8" w:rsidRDefault="00600CC3">
            <w:r>
              <w:t>Option</w:t>
            </w:r>
          </w:p>
        </w:tc>
        <w:tc>
          <w:tcPr>
            <w:tcW w:w="1134" w:type="dxa"/>
          </w:tcPr>
          <w:p w14:paraId="1300BAC2" w14:textId="77777777" w:rsidR="00CB22B8" w:rsidRDefault="00600CC3">
            <w:pPr>
              <w:cnfStyle w:val="100000000000" w:firstRow="1" w:lastRow="0" w:firstColumn="0" w:lastColumn="0" w:oddVBand="0" w:evenVBand="0" w:oddHBand="0" w:evenHBand="0" w:firstRowFirstColumn="0" w:firstRowLastColumn="0" w:lastRowFirstColumn="0" w:lastRowLastColumn="0"/>
            </w:pPr>
            <w:r>
              <w:t>Total</w:t>
            </w:r>
          </w:p>
        </w:tc>
        <w:tc>
          <w:tcPr>
            <w:tcW w:w="1134" w:type="dxa"/>
          </w:tcPr>
          <w:p w14:paraId="1E0950C3" w14:textId="77777777" w:rsidR="00CB22B8" w:rsidRDefault="00600CC3">
            <w:pPr>
              <w:cnfStyle w:val="100000000000" w:firstRow="1" w:lastRow="0" w:firstColumn="0" w:lastColumn="0" w:oddVBand="0" w:evenVBand="0" w:oddHBand="0" w:evenHBand="0" w:firstRowFirstColumn="0" w:firstRowLastColumn="0" w:lastRowFirstColumn="0" w:lastRowLastColumn="0"/>
            </w:pPr>
            <w:r>
              <w:t>Percent</w:t>
            </w:r>
          </w:p>
        </w:tc>
      </w:tr>
      <w:tr w:rsidR="00CB22B8" w14:paraId="1E187AE1"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59BE09F2" w14:textId="77777777" w:rsidR="00CB22B8" w:rsidRDefault="00600CC3">
            <w:r>
              <w:t>Yes</w:t>
            </w:r>
          </w:p>
        </w:tc>
        <w:tc>
          <w:tcPr>
            <w:tcW w:w="1134" w:type="dxa"/>
          </w:tcPr>
          <w:p w14:paraId="6A907FE6" w14:textId="77777777" w:rsidR="00CB22B8" w:rsidRDefault="00600CC3">
            <w:pPr>
              <w:cnfStyle w:val="000000100000" w:firstRow="0" w:lastRow="0" w:firstColumn="0" w:lastColumn="0" w:oddVBand="0" w:evenVBand="0" w:oddHBand="1" w:evenHBand="0" w:firstRowFirstColumn="0" w:firstRowLastColumn="0" w:lastRowFirstColumn="0" w:lastRowLastColumn="0"/>
            </w:pPr>
            <w:r>
              <w:t>5</w:t>
            </w:r>
          </w:p>
        </w:tc>
        <w:tc>
          <w:tcPr>
            <w:tcW w:w="1134" w:type="dxa"/>
          </w:tcPr>
          <w:p w14:paraId="4487857A" w14:textId="77777777" w:rsidR="00CB22B8" w:rsidRDefault="00600CC3">
            <w:pPr>
              <w:cnfStyle w:val="000000100000" w:firstRow="0" w:lastRow="0" w:firstColumn="0" w:lastColumn="0" w:oddVBand="0" w:evenVBand="0" w:oddHBand="1" w:evenHBand="0" w:firstRowFirstColumn="0" w:firstRowLastColumn="0" w:lastRowFirstColumn="0" w:lastRowLastColumn="0"/>
            </w:pPr>
            <w:r>
              <w:t>55.56%</w:t>
            </w:r>
          </w:p>
        </w:tc>
      </w:tr>
      <w:tr w:rsidR="00CB22B8" w14:paraId="04F6792E"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2C2ED03F" w14:textId="77777777" w:rsidR="00CB22B8" w:rsidRDefault="00600CC3">
            <w:r>
              <w:t>No</w:t>
            </w:r>
          </w:p>
        </w:tc>
        <w:tc>
          <w:tcPr>
            <w:tcW w:w="1134" w:type="dxa"/>
          </w:tcPr>
          <w:p w14:paraId="1AF7D7CE" w14:textId="77777777" w:rsidR="00CB22B8" w:rsidRDefault="00600CC3">
            <w:pPr>
              <w:cnfStyle w:val="000000010000" w:firstRow="0" w:lastRow="0" w:firstColumn="0" w:lastColumn="0" w:oddVBand="0" w:evenVBand="0" w:oddHBand="0" w:evenHBand="1" w:firstRowFirstColumn="0" w:firstRowLastColumn="0" w:lastRowFirstColumn="0" w:lastRowLastColumn="0"/>
            </w:pPr>
            <w:r>
              <w:t>0</w:t>
            </w:r>
          </w:p>
        </w:tc>
        <w:tc>
          <w:tcPr>
            <w:tcW w:w="1134" w:type="dxa"/>
          </w:tcPr>
          <w:p w14:paraId="311EC849" w14:textId="77777777" w:rsidR="00CB22B8" w:rsidRDefault="00600CC3">
            <w:pPr>
              <w:cnfStyle w:val="000000010000" w:firstRow="0" w:lastRow="0" w:firstColumn="0" w:lastColumn="0" w:oddVBand="0" w:evenVBand="0" w:oddHBand="0" w:evenHBand="1" w:firstRowFirstColumn="0" w:firstRowLastColumn="0" w:lastRowFirstColumn="0" w:lastRowLastColumn="0"/>
            </w:pPr>
            <w:r>
              <w:t>0.00%</w:t>
            </w:r>
          </w:p>
        </w:tc>
      </w:tr>
      <w:tr w:rsidR="00CB22B8" w14:paraId="4A373E76" w14:textId="77777777" w:rsidTr="00CB22B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7E939952" w14:textId="77777777" w:rsidR="00CB22B8" w:rsidRDefault="00600CC3">
            <w:r>
              <w:t>N/A</w:t>
            </w:r>
          </w:p>
        </w:tc>
        <w:tc>
          <w:tcPr>
            <w:tcW w:w="1134" w:type="dxa"/>
          </w:tcPr>
          <w:p w14:paraId="7F6DE728" w14:textId="77777777" w:rsidR="00CB22B8" w:rsidRDefault="00600CC3">
            <w:pPr>
              <w:cnfStyle w:val="000000100000" w:firstRow="0" w:lastRow="0" w:firstColumn="0" w:lastColumn="0" w:oddVBand="0" w:evenVBand="0" w:oddHBand="1" w:evenHBand="0" w:firstRowFirstColumn="0" w:firstRowLastColumn="0" w:lastRowFirstColumn="0" w:lastRowLastColumn="0"/>
            </w:pPr>
            <w:r>
              <w:t>2</w:t>
            </w:r>
          </w:p>
        </w:tc>
        <w:tc>
          <w:tcPr>
            <w:tcW w:w="1134" w:type="dxa"/>
          </w:tcPr>
          <w:p w14:paraId="3649D9DA" w14:textId="77777777" w:rsidR="00CB22B8" w:rsidRDefault="00600CC3">
            <w:pPr>
              <w:cnfStyle w:val="000000100000" w:firstRow="0" w:lastRow="0" w:firstColumn="0" w:lastColumn="0" w:oddVBand="0" w:evenVBand="0" w:oddHBand="1" w:evenHBand="0" w:firstRowFirstColumn="0" w:firstRowLastColumn="0" w:lastRowFirstColumn="0" w:lastRowLastColumn="0"/>
            </w:pPr>
            <w:r>
              <w:t>22.22%</w:t>
            </w:r>
          </w:p>
        </w:tc>
      </w:tr>
      <w:tr w:rsidR="00CB22B8" w14:paraId="1328D742" w14:textId="77777777" w:rsidTr="00CB22B8">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372" w:type="dxa"/>
          </w:tcPr>
          <w:p w14:paraId="44640C89" w14:textId="77777777" w:rsidR="00CB22B8" w:rsidRDefault="00600CC3">
            <w:r>
              <w:t>Not Answered</w:t>
            </w:r>
          </w:p>
        </w:tc>
        <w:tc>
          <w:tcPr>
            <w:tcW w:w="1134" w:type="dxa"/>
          </w:tcPr>
          <w:p w14:paraId="4D41AB2D" w14:textId="77777777" w:rsidR="00CB22B8" w:rsidRDefault="00600CC3">
            <w:pPr>
              <w:cnfStyle w:val="000000010000" w:firstRow="0" w:lastRow="0" w:firstColumn="0" w:lastColumn="0" w:oddVBand="0" w:evenVBand="0" w:oddHBand="0" w:evenHBand="1" w:firstRowFirstColumn="0" w:firstRowLastColumn="0" w:lastRowFirstColumn="0" w:lastRowLastColumn="0"/>
            </w:pPr>
            <w:r>
              <w:t>2</w:t>
            </w:r>
          </w:p>
        </w:tc>
        <w:tc>
          <w:tcPr>
            <w:tcW w:w="1134" w:type="dxa"/>
          </w:tcPr>
          <w:p w14:paraId="6B50BB28" w14:textId="77777777" w:rsidR="00CB22B8" w:rsidRDefault="00600CC3">
            <w:pPr>
              <w:cnfStyle w:val="000000010000" w:firstRow="0" w:lastRow="0" w:firstColumn="0" w:lastColumn="0" w:oddVBand="0" w:evenVBand="0" w:oddHBand="0" w:evenHBand="1" w:firstRowFirstColumn="0" w:firstRowLastColumn="0" w:lastRowFirstColumn="0" w:lastRowLastColumn="0"/>
            </w:pPr>
            <w:r>
              <w:t>22.22%</w:t>
            </w:r>
          </w:p>
        </w:tc>
      </w:tr>
    </w:tbl>
    <w:p w14:paraId="693DCA27" w14:textId="03D81EDD" w:rsidR="00CB22B8" w:rsidRDefault="00600CC3">
      <w:r>
        <w:br/>
      </w:r>
      <w:r>
        <w:rPr>
          <w:b/>
        </w:rPr>
        <w:t>Has the PNA correctly reflected the following information about you? Comments</w:t>
      </w:r>
    </w:p>
    <w:p w14:paraId="30B4F6B0" w14:textId="1B21E446" w:rsidR="00CB22B8" w:rsidRDefault="00600CC3">
      <w:r>
        <w:t>There were 0 responses to this part of the question.</w:t>
      </w:r>
    </w:p>
    <w:p w14:paraId="56CDDA5C" w14:textId="77777777" w:rsidR="001B6732" w:rsidRDefault="001B6732"/>
    <w:p w14:paraId="29688B7E" w14:textId="77777777" w:rsidR="00CB22B8" w:rsidRDefault="00600CC3">
      <w:pPr>
        <w:pStyle w:val="Heading2"/>
      </w:pPr>
      <w:r>
        <w:t>12: Do you have any other comments about the draft PNA?</w:t>
      </w:r>
    </w:p>
    <w:p w14:paraId="2ABC2B2E" w14:textId="77777777" w:rsidR="00CB22B8" w:rsidRDefault="00600CC3">
      <w:r>
        <w:br/>
      </w:r>
      <w:r>
        <w:rPr>
          <w:b/>
        </w:rPr>
        <w:t>Further Comments</w:t>
      </w:r>
    </w:p>
    <w:p w14:paraId="0FD1455A" w14:textId="3B9AAE56" w:rsidR="00CB22B8" w:rsidRDefault="00600CC3">
      <w:r>
        <w:t>There were 6 responses to this part of the question</w:t>
      </w:r>
      <w:r w:rsidR="00AB2D08">
        <w:t xml:space="preserve">, comments received have been presented below. </w:t>
      </w:r>
    </w:p>
    <w:p w14:paraId="178DFB8B" w14:textId="77777777" w:rsidR="00D95E20" w:rsidRDefault="00D95E20"/>
    <w:tbl>
      <w:tblPr>
        <w:tblStyle w:val="TableGrid"/>
        <w:tblW w:w="0" w:type="auto"/>
        <w:tblLook w:val="04A0" w:firstRow="1" w:lastRow="0" w:firstColumn="1" w:lastColumn="0" w:noHBand="0" w:noVBand="1"/>
      </w:tblPr>
      <w:tblGrid>
        <w:gridCol w:w="4428"/>
        <w:gridCol w:w="4428"/>
      </w:tblGrid>
      <w:tr w:rsidR="00AB2D08" w:rsidRPr="00D95E20" w14:paraId="48BA3F27" w14:textId="77777777" w:rsidTr="56D220F9">
        <w:tc>
          <w:tcPr>
            <w:tcW w:w="4428" w:type="dxa"/>
          </w:tcPr>
          <w:p w14:paraId="36F5E61D" w14:textId="282AEAEF" w:rsidR="00AB2D08" w:rsidRPr="00D95E20" w:rsidRDefault="00AB2D08">
            <w:pPr>
              <w:rPr>
                <w:rFonts w:cs="Arial"/>
              </w:rPr>
            </w:pPr>
            <w:r w:rsidRPr="00D95E20">
              <w:rPr>
                <w:rFonts w:cs="Arial"/>
              </w:rPr>
              <w:lastRenderedPageBreak/>
              <w:t>Theme</w:t>
            </w:r>
          </w:p>
        </w:tc>
        <w:tc>
          <w:tcPr>
            <w:tcW w:w="4428" w:type="dxa"/>
          </w:tcPr>
          <w:p w14:paraId="1289BA3C" w14:textId="6826A4D1" w:rsidR="00AB2D08" w:rsidRPr="00D95E20" w:rsidRDefault="00AB2D08">
            <w:pPr>
              <w:rPr>
                <w:rFonts w:cs="Arial"/>
              </w:rPr>
            </w:pPr>
            <w:r w:rsidRPr="00D95E20">
              <w:rPr>
                <w:rFonts w:cs="Arial"/>
              </w:rPr>
              <w:t>Response</w:t>
            </w:r>
          </w:p>
        </w:tc>
      </w:tr>
      <w:tr w:rsidR="00AB2D08" w:rsidRPr="00D95E20" w14:paraId="66953196" w14:textId="77777777" w:rsidTr="56D220F9">
        <w:tc>
          <w:tcPr>
            <w:tcW w:w="4428" w:type="dxa"/>
          </w:tcPr>
          <w:p w14:paraId="20A81F8E" w14:textId="7AE566E5" w:rsidR="00AB2D08" w:rsidRPr="00D95E20" w:rsidRDefault="00A601B1">
            <w:pPr>
              <w:rPr>
                <w:rFonts w:cs="Arial"/>
              </w:rPr>
            </w:pPr>
            <w:r w:rsidRPr="00D95E20">
              <w:rPr>
                <w:rFonts w:cs="Arial"/>
              </w:rPr>
              <w:t xml:space="preserve">Service gaps and locality needs: </w:t>
            </w:r>
            <w:r w:rsidR="00D65C4A" w:rsidRPr="00D95E20">
              <w:rPr>
                <w:rFonts w:cs="Arial"/>
              </w:rPr>
              <w:t>Concerns about potential pharmacy gaps in specific areas</w:t>
            </w:r>
            <w:r w:rsidR="00107A9A" w:rsidRPr="00D95E20">
              <w:rPr>
                <w:rFonts w:cs="Arial"/>
              </w:rPr>
              <w:t xml:space="preserve"> (West </w:t>
            </w:r>
            <w:r w:rsidR="00682AD5" w:rsidRPr="00D95E20">
              <w:rPr>
                <w:rFonts w:cs="Arial"/>
              </w:rPr>
              <w:t>Horndon</w:t>
            </w:r>
            <w:r w:rsidR="00107A9A" w:rsidRPr="00D95E20">
              <w:rPr>
                <w:rFonts w:cs="Arial"/>
              </w:rPr>
              <w:t>)</w:t>
            </w:r>
            <w:r w:rsidR="00D65C4A" w:rsidRPr="00D95E20">
              <w:rPr>
                <w:rFonts w:cs="Arial"/>
              </w:rPr>
              <w:t xml:space="preserve"> and whether existing services have sufficient capacity to meet local needs. </w:t>
            </w:r>
          </w:p>
        </w:tc>
        <w:tc>
          <w:tcPr>
            <w:tcW w:w="4428" w:type="dxa"/>
          </w:tcPr>
          <w:p w14:paraId="6CCF44F4" w14:textId="1FCF9FF5" w:rsidR="00AB2D08" w:rsidRPr="00D95E20" w:rsidRDefault="45F81868" w:rsidP="56D220F9">
            <w:pPr>
              <w:rPr>
                <w:rFonts w:cs="Arial"/>
              </w:rPr>
            </w:pPr>
            <w:r w:rsidRPr="00D95E20">
              <w:rPr>
                <w:rFonts w:cs="Arial"/>
              </w:rPr>
              <w:t xml:space="preserve">Analysis taken during the development of the PNA </w:t>
            </w:r>
            <w:r w:rsidR="68C6F5EB" w:rsidRPr="00D95E20">
              <w:rPr>
                <w:rFonts w:cs="Arial"/>
              </w:rPr>
              <w:t xml:space="preserve">did not identify any gaps in provision. Supplementary statements are provided </w:t>
            </w:r>
            <w:r w:rsidR="7C068737" w:rsidRPr="00D95E20">
              <w:rPr>
                <w:rFonts w:cs="Arial"/>
              </w:rPr>
              <w:t>annually,</w:t>
            </w:r>
            <w:r w:rsidR="68C6F5EB" w:rsidRPr="00D95E20">
              <w:rPr>
                <w:rFonts w:cs="Arial"/>
              </w:rPr>
              <w:t xml:space="preserve"> and this would address any gap that arises.</w:t>
            </w:r>
          </w:p>
        </w:tc>
      </w:tr>
      <w:tr w:rsidR="00AB2D08" w:rsidRPr="00D95E20" w14:paraId="5FD8A37D" w14:textId="77777777" w:rsidTr="56D220F9">
        <w:tc>
          <w:tcPr>
            <w:tcW w:w="4428" w:type="dxa"/>
          </w:tcPr>
          <w:p w14:paraId="049C2588" w14:textId="3CF7D2FF" w:rsidR="00AB2D08" w:rsidRPr="00D95E20" w:rsidRDefault="001E58D3" w:rsidP="00D65C4A">
            <w:pPr>
              <w:rPr>
                <w:rFonts w:cs="Arial"/>
              </w:rPr>
            </w:pPr>
            <w:r w:rsidRPr="00D95E20">
              <w:rPr>
                <w:rFonts w:cs="Arial"/>
              </w:rPr>
              <w:t xml:space="preserve">Concerns about the effectiveness of pharmacies in </w:t>
            </w:r>
            <w:r w:rsidR="006518E0" w:rsidRPr="00D95E20">
              <w:rPr>
                <w:rFonts w:cs="Arial"/>
              </w:rPr>
              <w:t xml:space="preserve">delivering services and </w:t>
            </w:r>
            <w:r w:rsidRPr="00D95E20">
              <w:rPr>
                <w:rFonts w:cs="Arial"/>
              </w:rPr>
              <w:t>alleviating pressure on GPs due to limitations in managing common symptoms</w:t>
            </w:r>
            <w:r w:rsidR="00D95E20">
              <w:rPr>
                <w:rFonts w:cs="Arial"/>
              </w:rPr>
              <w:t>.</w:t>
            </w:r>
          </w:p>
        </w:tc>
        <w:tc>
          <w:tcPr>
            <w:tcW w:w="4428" w:type="dxa"/>
          </w:tcPr>
          <w:p w14:paraId="7558844E" w14:textId="5CB84237" w:rsidR="00AB2D08" w:rsidRPr="00D95E20" w:rsidRDefault="00741122">
            <w:pPr>
              <w:rPr>
                <w:rFonts w:cs="Arial"/>
              </w:rPr>
            </w:pPr>
            <w:r w:rsidRPr="00D95E20">
              <w:rPr>
                <w:rFonts w:cs="Arial"/>
              </w:rPr>
              <w:t>Out of scope of the PNA.</w:t>
            </w:r>
          </w:p>
        </w:tc>
      </w:tr>
      <w:tr w:rsidR="00DB280E" w:rsidRPr="00D95E20" w14:paraId="5A301EC9" w14:textId="77777777" w:rsidTr="56D220F9">
        <w:tc>
          <w:tcPr>
            <w:tcW w:w="4428" w:type="dxa"/>
          </w:tcPr>
          <w:p w14:paraId="6F202F55" w14:textId="0A664FC4" w:rsidR="00DB280E" w:rsidRPr="00D95E20" w:rsidRDefault="00DB280E" w:rsidP="00D65C4A">
            <w:pPr>
              <w:rPr>
                <w:rFonts w:cs="Arial"/>
              </w:rPr>
            </w:pPr>
            <w:r w:rsidRPr="00D95E20">
              <w:rPr>
                <w:rFonts w:cs="Arial"/>
              </w:rPr>
              <w:t>Terminology and Accuracy</w:t>
            </w:r>
            <w:r w:rsidR="00E54703" w:rsidRPr="00D95E20">
              <w:rPr>
                <w:rFonts w:cs="Arial"/>
              </w:rPr>
              <w:t>: precise, consistent, and sensitive terms of use, including correct labelling, abbreviations, and careful wording regarding vulnerable populations</w:t>
            </w:r>
            <w:r w:rsidR="00D95E20">
              <w:rPr>
                <w:rFonts w:cs="Arial"/>
              </w:rPr>
              <w:t>.</w:t>
            </w:r>
          </w:p>
        </w:tc>
        <w:tc>
          <w:tcPr>
            <w:tcW w:w="4428" w:type="dxa"/>
          </w:tcPr>
          <w:p w14:paraId="40C4D51A" w14:textId="7393DD1D" w:rsidR="00DB280E" w:rsidRPr="00D95E20" w:rsidRDefault="00643FEA">
            <w:pPr>
              <w:rPr>
                <w:rFonts w:cs="Arial"/>
              </w:rPr>
            </w:pPr>
            <w:r w:rsidRPr="00D95E20">
              <w:rPr>
                <w:rFonts w:cs="Arial"/>
              </w:rPr>
              <w:t>Noted and amended</w:t>
            </w:r>
            <w:r w:rsidR="00050494" w:rsidRPr="00D95E20">
              <w:rPr>
                <w:rFonts w:cs="Arial"/>
              </w:rPr>
              <w:t>.</w:t>
            </w:r>
          </w:p>
        </w:tc>
      </w:tr>
      <w:tr w:rsidR="001F0DC8" w:rsidRPr="00D95E20" w14:paraId="3D21B268" w14:textId="77777777" w:rsidTr="56D220F9">
        <w:tc>
          <w:tcPr>
            <w:tcW w:w="4428" w:type="dxa"/>
          </w:tcPr>
          <w:p w14:paraId="14982088" w14:textId="120EBE7D" w:rsidR="001F0DC8" w:rsidRPr="00D95E20" w:rsidRDefault="00481BB4" w:rsidP="00D65C4A">
            <w:pPr>
              <w:rPr>
                <w:rFonts w:cs="Arial"/>
              </w:rPr>
            </w:pPr>
            <w:r w:rsidRPr="00D95E20">
              <w:rPr>
                <w:rFonts w:cs="Arial"/>
              </w:rPr>
              <w:t>Distance Selling Pharmacies (DSPs) being included in the travel time analysis, as residents don`t have access to them</w:t>
            </w:r>
            <w:r w:rsidR="00D95E20">
              <w:rPr>
                <w:rFonts w:cs="Arial"/>
              </w:rPr>
              <w:t>.</w:t>
            </w:r>
          </w:p>
        </w:tc>
        <w:tc>
          <w:tcPr>
            <w:tcW w:w="4428" w:type="dxa"/>
          </w:tcPr>
          <w:p w14:paraId="2B24C837" w14:textId="7BB219FA" w:rsidR="001F0DC8" w:rsidRPr="00D95E20" w:rsidRDefault="724151C9" w:rsidP="56D220F9">
            <w:pPr>
              <w:rPr>
                <w:rFonts w:cs="Arial"/>
              </w:rPr>
            </w:pPr>
            <w:r w:rsidRPr="00D95E20">
              <w:rPr>
                <w:rFonts w:cs="Arial"/>
              </w:rPr>
              <w:t xml:space="preserve">DSPs </w:t>
            </w:r>
            <w:r w:rsidR="18AB5690" w:rsidRPr="00D95E20">
              <w:rPr>
                <w:rFonts w:cs="Arial"/>
              </w:rPr>
              <w:t xml:space="preserve">are included </w:t>
            </w:r>
            <w:r w:rsidR="48D08178" w:rsidRPr="00D95E20">
              <w:rPr>
                <w:rFonts w:cs="Arial"/>
              </w:rPr>
              <w:t xml:space="preserve">as </w:t>
            </w:r>
            <w:r w:rsidR="18AB5690" w:rsidRPr="00D95E20">
              <w:rPr>
                <w:rFonts w:cs="Arial"/>
              </w:rPr>
              <w:t xml:space="preserve">they </w:t>
            </w:r>
            <w:r w:rsidR="50E0794A" w:rsidRPr="00D95E20">
              <w:rPr>
                <w:rFonts w:cs="Arial"/>
              </w:rPr>
              <w:t>are NHS contracted pharmaceutical service providers</w:t>
            </w:r>
            <w:r w:rsidR="738B9A9E" w:rsidRPr="00D95E20">
              <w:rPr>
                <w:rFonts w:cs="Arial"/>
              </w:rPr>
              <w:t xml:space="preserve">. They </w:t>
            </w:r>
            <w:r w:rsidR="33D79E97" w:rsidRPr="00D95E20">
              <w:rPr>
                <w:rFonts w:cs="Arial"/>
              </w:rPr>
              <w:t>can</w:t>
            </w:r>
            <w:r w:rsidR="738B9A9E" w:rsidRPr="00D95E20">
              <w:rPr>
                <w:rFonts w:cs="Arial"/>
              </w:rPr>
              <w:t xml:space="preserve"> serve popul</w:t>
            </w:r>
            <w:r w:rsidR="5DAB6550" w:rsidRPr="00D95E20">
              <w:rPr>
                <w:rFonts w:cs="Arial"/>
              </w:rPr>
              <w:t>ation</w:t>
            </w:r>
            <w:r w:rsidR="07813C94" w:rsidRPr="00D95E20">
              <w:rPr>
                <w:rFonts w:cs="Arial"/>
              </w:rPr>
              <w:t>s</w:t>
            </w:r>
            <w:r w:rsidR="5DAB6550" w:rsidRPr="00D95E20">
              <w:rPr>
                <w:rFonts w:cs="Arial"/>
              </w:rPr>
              <w:t xml:space="preserve"> within and outside of the HWB area.</w:t>
            </w:r>
          </w:p>
        </w:tc>
      </w:tr>
      <w:tr w:rsidR="00913532" w:rsidRPr="00D95E20" w14:paraId="4249067E" w14:textId="77777777" w:rsidTr="56D220F9">
        <w:tc>
          <w:tcPr>
            <w:tcW w:w="4428" w:type="dxa"/>
          </w:tcPr>
          <w:p w14:paraId="080BBBB0" w14:textId="5AAE824C" w:rsidR="00913532" w:rsidRPr="00D95E20" w:rsidRDefault="00FB17AB" w:rsidP="00D65C4A">
            <w:pPr>
              <w:rPr>
                <w:rFonts w:cs="Arial"/>
              </w:rPr>
            </w:pPr>
            <w:r w:rsidRPr="00D95E20">
              <w:rPr>
                <w:rFonts w:cs="Arial"/>
              </w:rPr>
              <w:t xml:space="preserve">Timing of public engagement </w:t>
            </w:r>
            <w:r w:rsidR="00711C55" w:rsidRPr="00D95E20">
              <w:rPr>
                <w:rFonts w:cs="Arial"/>
              </w:rPr>
              <w:t xml:space="preserve">could </w:t>
            </w:r>
            <w:r w:rsidRPr="00D95E20">
              <w:rPr>
                <w:rFonts w:cs="Arial"/>
              </w:rPr>
              <w:t>affect response rates—recommend avoiding holiday periods for future surveys</w:t>
            </w:r>
            <w:r w:rsidR="00D95E20">
              <w:rPr>
                <w:rFonts w:cs="Arial"/>
              </w:rPr>
              <w:t>.</w:t>
            </w:r>
          </w:p>
        </w:tc>
        <w:tc>
          <w:tcPr>
            <w:tcW w:w="4428" w:type="dxa"/>
          </w:tcPr>
          <w:p w14:paraId="452BF454" w14:textId="5FE1C6C8" w:rsidR="00913532" w:rsidRPr="00D95E20" w:rsidRDefault="00956109">
            <w:pPr>
              <w:rPr>
                <w:rFonts w:cs="Arial"/>
              </w:rPr>
            </w:pPr>
            <w:r w:rsidRPr="00D95E20">
              <w:rPr>
                <w:rFonts w:cs="Arial"/>
              </w:rPr>
              <w:t>Dates were accepted by the steering group and had to fit in with the timeline of the development of the PNA</w:t>
            </w:r>
            <w:r w:rsidR="00050494" w:rsidRPr="00D95E20">
              <w:rPr>
                <w:rFonts w:cs="Arial"/>
              </w:rPr>
              <w:t>.</w:t>
            </w:r>
          </w:p>
        </w:tc>
      </w:tr>
      <w:tr w:rsidR="00913532" w:rsidRPr="00D95E20" w14:paraId="04EA4790" w14:textId="77777777" w:rsidTr="56D220F9">
        <w:tc>
          <w:tcPr>
            <w:tcW w:w="4428" w:type="dxa"/>
          </w:tcPr>
          <w:p w14:paraId="625CC3DD" w14:textId="4219F2AF" w:rsidR="00913532" w:rsidRPr="00D95E20" w:rsidRDefault="002C2699" w:rsidP="00D65C4A">
            <w:pPr>
              <w:rPr>
                <w:rFonts w:cs="Arial"/>
              </w:rPr>
            </w:pPr>
            <w:r w:rsidRPr="00D95E20">
              <w:rPr>
                <w:rFonts w:cs="Arial"/>
              </w:rPr>
              <w:t>Lack of legislative context—suggest including relevant legal basis to strengthen clarity and credibility.</w:t>
            </w:r>
          </w:p>
        </w:tc>
        <w:tc>
          <w:tcPr>
            <w:tcW w:w="4428" w:type="dxa"/>
          </w:tcPr>
          <w:p w14:paraId="1BD2E6BB" w14:textId="73C982FC" w:rsidR="00913532" w:rsidRPr="00D95E20" w:rsidRDefault="002C2699">
            <w:pPr>
              <w:rPr>
                <w:rFonts w:cs="Arial"/>
              </w:rPr>
            </w:pPr>
            <w:r w:rsidRPr="00D95E20">
              <w:rPr>
                <w:rFonts w:cs="Arial"/>
              </w:rPr>
              <w:t>Suggestio</w:t>
            </w:r>
            <w:r w:rsidR="007E5E38" w:rsidRPr="00D95E20">
              <w:rPr>
                <w:rFonts w:cs="Arial"/>
              </w:rPr>
              <w:t>n noted</w:t>
            </w:r>
            <w:r w:rsidR="00D95E20">
              <w:rPr>
                <w:rFonts w:cs="Arial"/>
              </w:rPr>
              <w:t>.</w:t>
            </w:r>
          </w:p>
        </w:tc>
      </w:tr>
    </w:tbl>
    <w:p w14:paraId="13ED9A7F" w14:textId="77777777" w:rsidR="00AB2D08" w:rsidRDefault="00AB2D08"/>
    <w:p w14:paraId="7DFE4246" w14:textId="77777777" w:rsidR="00116149" w:rsidRDefault="00116149" w:rsidP="00116149">
      <w:pPr>
        <w:pStyle w:val="Heading1"/>
      </w:pPr>
      <w:r>
        <w:t>Additional information</w:t>
      </w:r>
    </w:p>
    <w:p w14:paraId="1E418173" w14:textId="77777777" w:rsidR="00116149" w:rsidRPr="00BA1EF9" w:rsidRDefault="00116149" w:rsidP="00116149">
      <w:pPr>
        <w:pStyle w:val="Heading1"/>
        <w:rPr>
          <w:rFonts w:ascii="Arial" w:hAnsi="Arial" w:cs="Arial"/>
          <w:sz w:val="22"/>
          <w:szCs w:val="22"/>
        </w:rPr>
      </w:pPr>
      <w:r w:rsidRPr="00BA1EF9">
        <w:rPr>
          <w:rFonts w:ascii="Arial" w:hAnsi="Arial" w:cs="Arial"/>
          <w:sz w:val="22"/>
          <w:szCs w:val="22"/>
        </w:rPr>
        <w:t>Background and Regulations</w:t>
      </w:r>
    </w:p>
    <w:p w14:paraId="520FE2BB" w14:textId="77777777" w:rsidR="00116149" w:rsidRPr="00BA1EF9" w:rsidRDefault="00116149" w:rsidP="00116149">
      <w:pPr>
        <w:rPr>
          <w:rFonts w:cs="Arial"/>
        </w:rPr>
      </w:pPr>
      <w:r w:rsidRPr="00BA1EF9">
        <w:rPr>
          <w:rFonts w:cs="Arial"/>
        </w:rPr>
        <w:t xml:space="preserve">Section 128A of the National Health Service Act 2006 (NHS Act 2006) requires each health and wellbeing board (HWB) to assess the need for pharmaceutical services in its area and to publish a statement of its assessment. </w:t>
      </w:r>
    </w:p>
    <w:p w14:paraId="467A047D" w14:textId="77777777" w:rsidR="00116149" w:rsidRDefault="00116149" w:rsidP="00116149">
      <w:pPr>
        <w:rPr>
          <w:rFonts w:cs="Arial"/>
        </w:rPr>
      </w:pPr>
      <w:r w:rsidRPr="00BA1EF9">
        <w:rPr>
          <w:rFonts w:cs="Arial"/>
        </w:rPr>
        <w:t>Termed a ‘pharmaceutical needs assessment’, the NHS (Pharmaceutical Services and Local Pharmaceutical Services) Regulations 2013, as amended (the 2013 regulations)</w:t>
      </w:r>
      <w:r w:rsidRPr="00BA1EF9">
        <w:rPr>
          <w:rStyle w:val="FootnoteReference"/>
          <w:rFonts w:cs="Arial"/>
        </w:rPr>
        <w:footnoteReference w:id="2"/>
      </w:r>
      <w:r w:rsidRPr="00BA1EF9">
        <w:rPr>
          <w:rFonts w:cs="Arial"/>
        </w:rPr>
        <w:t xml:space="preserve"> set out the minimum information that must be contained within a pharmaceutical needs assessment (PNA) and outline the process that must be followed in its development. </w:t>
      </w:r>
    </w:p>
    <w:p w14:paraId="520B001B" w14:textId="77777777" w:rsidR="00116149" w:rsidRPr="00BA1EF9" w:rsidRDefault="00116149" w:rsidP="00116149">
      <w:pPr>
        <w:rPr>
          <w:rFonts w:cs="Arial"/>
        </w:rPr>
      </w:pPr>
      <w:r w:rsidRPr="00BA1EF9">
        <w:rPr>
          <w:rFonts w:cs="Arial"/>
        </w:rPr>
        <w:t>In summary they:</w:t>
      </w:r>
    </w:p>
    <w:p w14:paraId="0B0FFDB4" w14:textId="77777777" w:rsidR="00116149" w:rsidRPr="00BA1EF9" w:rsidRDefault="00116149" w:rsidP="00116149">
      <w:pPr>
        <w:spacing w:after="0"/>
        <w:rPr>
          <w:rFonts w:cs="Arial"/>
        </w:rPr>
      </w:pPr>
      <w:r w:rsidRPr="00BA1EF9">
        <w:rPr>
          <w:rFonts w:cs="Arial"/>
        </w:rPr>
        <w:t xml:space="preserve"> • define what is meant by pharmaceutical services (regulation 3), </w:t>
      </w:r>
    </w:p>
    <w:p w14:paraId="7F849976" w14:textId="77777777" w:rsidR="00116149" w:rsidRPr="00BA1EF9" w:rsidRDefault="00116149" w:rsidP="00116149">
      <w:pPr>
        <w:spacing w:after="0"/>
        <w:rPr>
          <w:rFonts w:cs="Arial"/>
        </w:rPr>
      </w:pPr>
      <w:r w:rsidRPr="00BA1EF9">
        <w:rPr>
          <w:rFonts w:cs="Arial"/>
        </w:rPr>
        <w:lastRenderedPageBreak/>
        <w:t xml:space="preserve">• set out the minimum information requirements for a pharmaceutical needs assessment (regulation 4 and Schedule 1), </w:t>
      </w:r>
    </w:p>
    <w:p w14:paraId="1D00311D" w14:textId="77777777" w:rsidR="00116149" w:rsidRPr="00BA1EF9" w:rsidRDefault="00116149" w:rsidP="00116149">
      <w:pPr>
        <w:spacing w:after="0"/>
        <w:rPr>
          <w:rFonts w:cs="Arial"/>
        </w:rPr>
      </w:pPr>
      <w:r w:rsidRPr="00BA1EF9">
        <w:rPr>
          <w:rFonts w:cs="Arial"/>
        </w:rPr>
        <w:t>• confirm when the next pharmaceutical needs assessment is to be published, or where a new health and wellbeing board comes into being when it is required to publish its first pharmaceutical needs assessment (regulations 5 and 6),</w:t>
      </w:r>
    </w:p>
    <w:p w14:paraId="2B68F915" w14:textId="77777777" w:rsidR="00116149" w:rsidRPr="00BA1EF9" w:rsidRDefault="00116149" w:rsidP="00116149">
      <w:pPr>
        <w:spacing w:after="0"/>
        <w:rPr>
          <w:rFonts w:cs="Arial"/>
        </w:rPr>
      </w:pPr>
      <w:r w:rsidRPr="00BA1EF9">
        <w:rPr>
          <w:rFonts w:cs="Arial"/>
        </w:rPr>
        <w:t>• set out the circumstances where a health and wellbeing board may need to produce a</w:t>
      </w:r>
    </w:p>
    <w:p w14:paraId="75286268" w14:textId="77777777" w:rsidR="00116149" w:rsidRPr="00BA1EF9" w:rsidRDefault="00116149" w:rsidP="00116149">
      <w:pPr>
        <w:spacing w:after="0"/>
        <w:rPr>
          <w:rFonts w:cs="Arial"/>
        </w:rPr>
      </w:pPr>
      <w:r w:rsidRPr="00BA1EF9">
        <w:rPr>
          <w:rFonts w:cs="Arial"/>
        </w:rPr>
        <w:t>new pharmaceutical needs assessment sooner than the usual three yearly cycle, or</w:t>
      </w:r>
    </w:p>
    <w:p w14:paraId="2954306F" w14:textId="77777777" w:rsidR="00116149" w:rsidRPr="00BA1EF9" w:rsidRDefault="00116149" w:rsidP="00116149">
      <w:pPr>
        <w:spacing w:after="0"/>
        <w:rPr>
          <w:rFonts w:cs="Arial"/>
        </w:rPr>
      </w:pPr>
      <w:r w:rsidRPr="00BA1EF9">
        <w:rPr>
          <w:rFonts w:cs="Arial"/>
        </w:rPr>
        <w:t>when a supplementary statement may/must be published (regulation 6),</w:t>
      </w:r>
    </w:p>
    <w:p w14:paraId="1DD2E785" w14:textId="77777777" w:rsidR="00116149" w:rsidRPr="00BA1EF9" w:rsidRDefault="00116149" w:rsidP="00116149">
      <w:pPr>
        <w:spacing w:after="0"/>
        <w:rPr>
          <w:rFonts w:cs="Arial"/>
        </w:rPr>
      </w:pPr>
      <w:r w:rsidRPr="00BA1EF9">
        <w:rPr>
          <w:rFonts w:cs="Arial"/>
        </w:rPr>
        <w:t>• set out the minimum consultation process that each health and wellbeing board is</w:t>
      </w:r>
    </w:p>
    <w:p w14:paraId="3F08A0F3" w14:textId="77777777" w:rsidR="00116149" w:rsidRPr="00BA1EF9" w:rsidRDefault="00116149" w:rsidP="00116149">
      <w:pPr>
        <w:spacing w:after="0"/>
        <w:rPr>
          <w:rFonts w:cs="Arial"/>
        </w:rPr>
      </w:pPr>
      <w:r w:rsidRPr="00BA1EF9">
        <w:rPr>
          <w:rFonts w:cs="Arial"/>
        </w:rPr>
        <w:t>required to undertake during the development of its pharmaceutical needs assessment</w:t>
      </w:r>
    </w:p>
    <w:p w14:paraId="491356A1" w14:textId="77777777" w:rsidR="00116149" w:rsidRPr="00BA1EF9" w:rsidRDefault="00116149" w:rsidP="00116149">
      <w:pPr>
        <w:spacing w:after="0"/>
        <w:rPr>
          <w:rFonts w:cs="Arial"/>
        </w:rPr>
      </w:pPr>
      <w:r w:rsidRPr="00BA1EF9">
        <w:rPr>
          <w:rFonts w:cs="Arial"/>
        </w:rPr>
        <w:t>(regulation 8), and</w:t>
      </w:r>
    </w:p>
    <w:p w14:paraId="05EF3BDA" w14:textId="77777777" w:rsidR="00116149" w:rsidRPr="00BA1EF9" w:rsidRDefault="00116149" w:rsidP="00116149">
      <w:pPr>
        <w:spacing w:after="0"/>
        <w:rPr>
          <w:rFonts w:cs="Arial"/>
        </w:rPr>
      </w:pPr>
      <w:r w:rsidRPr="00BA1EF9">
        <w:rPr>
          <w:rFonts w:cs="Arial"/>
        </w:rPr>
        <w:t>• set out specific matters that the health and wellbeing board must consider when</w:t>
      </w:r>
    </w:p>
    <w:p w14:paraId="45D7DA1C" w14:textId="77777777" w:rsidR="00116149" w:rsidRPr="00BA1EF9" w:rsidRDefault="00116149" w:rsidP="00116149">
      <w:pPr>
        <w:spacing w:after="0"/>
        <w:rPr>
          <w:rFonts w:cs="Arial"/>
        </w:rPr>
      </w:pPr>
      <w:r w:rsidRPr="00BA1EF9">
        <w:rPr>
          <w:rFonts w:cs="Arial"/>
        </w:rPr>
        <w:t>drafting its pharmaceutical needs assessment (regulation 9).</w:t>
      </w:r>
    </w:p>
    <w:p w14:paraId="04D73BB1" w14:textId="77777777" w:rsidR="00116149" w:rsidRPr="00BA1EF9" w:rsidRDefault="00116149" w:rsidP="00116149">
      <w:pPr>
        <w:rPr>
          <w:rFonts w:cs="Arial"/>
        </w:rPr>
      </w:pPr>
    </w:p>
    <w:p w14:paraId="5019AEC5"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Wider context</w:t>
      </w:r>
    </w:p>
    <w:p w14:paraId="0452A19F" w14:textId="77777777" w:rsidR="00116149" w:rsidRPr="00BA1EF9" w:rsidRDefault="00116149" w:rsidP="00116149">
      <w:pPr>
        <w:rPr>
          <w:rFonts w:cs="Arial"/>
        </w:rPr>
      </w:pPr>
      <w:r w:rsidRPr="00BA1EF9">
        <w:rPr>
          <w:rFonts w:cs="Arial"/>
        </w:rPr>
        <w:t>The preparation and consultation on the pharmaceutical needs assessment should take</w:t>
      </w:r>
      <w:r>
        <w:rPr>
          <w:rFonts w:cs="Arial"/>
        </w:rPr>
        <w:t xml:space="preserve"> </w:t>
      </w:r>
      <w:r w:rsidRPr="00BA1EF9">
        <w:rPr>
          <w:rFonts w:cs="Arial"/>
        </w:rPr>
        <w:t xml:space="preserve">account of the joint strategic needs assessments and other relevant strategies </w:t>
      </w:r>
      <w:proofErr w:type="gramStart"/>
      <w:r w:rsidRPr="00BA1EF9">
        <w:rPr>
          <w:rFonts w:cs="Arial"/>
        </w:rPr>
        <w:t>in order to</w:t>
      </w:r>
      <w:proofErr w:type="gramEnd"/>
      <w:r>
        <w:rPr>
          <w:rFonts w:cs="Arial"/>
        </w:rPr>
        <w:t xml:space="preserve"> </w:t>
      </w:r>
      <w:r w:rsidRPr="00BA1EF9">
        <w:rPr>
          <w:rFonts w:cs="Arial"/>
        </w:rPr>
        <w:t>prevent duplication of work and multiple consultations with health groups, patients and the</w:t>
      </w:r>
      <w:r>
        <w:rPr>
          <w:rFonts w:cs="Arial"/>
        </w:rPr>
        <w:t xml:space="preserve"> </w:t>
      </w:r>
      <w:r w:rsidRPr="00BA1EF9">
        <w:rPr>
          <w:rFonts w:cs="Arial"/>
        </w:rPr>
        <w:t xml:space="preserve">public.  </w:t>
      </w:r>
    </w:p>
    <w:p w14:paraId="710F135F"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 xml:space="preserve">Local context </w:t>
      </w:r>
    </w:p>
    <w:p w14:paraId="6A670FB5" w14:textId="77777777" w:rsidR="00116149" w:rsidRPr="00BA1EF9" w:rsidRDefault="00116149" w:rsidP="00116149">
      <w:pPr>
        <w:rPr>
          <w:rFonts w:cs="Arial"/>
        </w:rPr>
      </w:pPr>
      <w:r w:rsidRPr="00BA1EF9">
        <w:rPr>
          <w:rFonts w:cs="Arial"/>
        </w:rPr>
        <w:t xml:space="preserve">The PNA will be used by </w:t>
      </w:r>
      <w:r w:rsidRPr="00BA1EF9">
        <w:rPr>
          <w:rFonts w:cs="Arial"/>
          <w:color w:val="000000" w:themeColor="text1"/>
        </w:rPr>
        <w:t>NHS</w:t>
      </w:r>
      <w:r>
        <w:rPr>
          <w:rFonts w:cs="Arial"/>
          <w:color w:val="000000" w:themeColor="text1"/>
        </w:rPr>
        <w:t>E</w:t>
      </w:r>
      <w:r w:rsidRPr="00BA1EF9">
        <w:rPr>
          <w:rFonts w:cs="Arial"/>
          <w:color w:val="000000" w:themeColor="text1"/>
        </w:rPr>
        <w:t xml:space="preserve"> </w:t>
      </w:r>
      <w:r>
        <w:rPr>
          <w:rFonts w:cs="Arial"/>
          <w:color w:val="000000" w:themeColor="text1"/>
        </w:rPr>
        <w:t>(</w:t>
      </w:r>
      <w:r w:rsidRPr="00BA1EF9">
        <w:rPr>
          <w:rFonts w:cs="Arial"/>
          <w:color w:val="000000" w:themeColor="text1"/>
        </w:rPr>
        <w:t xml:space="preserve">or other body as identified in the regulations) </w:t>
      </w:r>
      <w:r w:rsidRPr="00BA1EF9">
        <w:rPr>
          <w:rFonts w:cs="Arial"/>
        </w:rPr>
        <w:t xml:space="preserve">when considering decisions on applications to open new pharmacies and dispensing appliance contractor premises; or applications from current pharmaceutical providers to change their existing regulatory requirements. </w:t>
      </w:r>
    </w:p>
    <w:p w14:paraId="0ED277B0" w14:textId="77777777" w:rsidR="00116149" w:rsidRPr="00BA1EF9" w:rsidRDefault="00116149" w:rsidP="00116149">
      <w:pPr>
        <w:rPr>
          <w:rFonts w:cs="Arial"/>
        </w:rPr>
      </w:pPr>
      <w:r w:rsidRPr="00BA1EF9">
        <w:rPr>
          <w:rFonts w:cs="Arial"/>
        </w:rPr>
        <w:t xml:space="preserve">Decisions on whether to open new pharmacies are not made by the HWBs. </w:t>
      </w:r>
    </w:p>
    <w:p w14:paraId="3B4641C0" w14:textId="77777777" w:rsidR="00116149" w:rsidRPr="00BA1EF9" w:rsidRDefault="00116149" w:rsidP="00116149">
      <w:pPr>
        <w:rPr>
          <w:rFonts w:cs="Arial"/>
        </w:rPr>
      </w:pPr>
      <w:r w:rsidRPr="00BA1EF9">
        <w:rPr>
          <w:rFonts w:cs="Arial"/>
        </w:rPr>
        <w:t>Under the Regulations, a person who wishes to provide NHS pharmaceutical services must</w:t>
      </w:r>
      <w:r>
        <w:rPr>
          <w:rFonts w:cs="Arial"/>
        </w:rPr>
        <w:t xml:space="preserve"> generally</w:t>
      </w:r>
      <w:r w:rsidRPr="00BA1EF9">
        <w:rPr>
          <w:rFonts w:cs="Arial"/>
        </w:rPr>
        <w:t xml:space="preserve"> apply to NHS England to be included on a relevant list by proving they are able to meet a pharmaceutical need as set out in the relevant PNA (see section on market entry below). </w:t>
      </w:r>
    </w:p>
    <w:p w14:paraId="1155400A" w14:textId="77777777" w:rsidR="00116149" w:rsidRPr="00BA1EF9" w:rsidRDefault="00116149" w:rsidP="00116149">
      <w:pPr>
        <w:rPr>
          <w:rFonts w:cs="Arial"/>
        </w:rPr>
      </w:pPr>
      <w:r>
        <w:rPr>
          <w:rFonts w:cs="Arial"/>
        </w:rPr>
        <w:t>The PNA will also</w:t>
      </w:r>
      <w:r w:rsidRPr="00BA1EF9">
        <w:rPr>
          <w:rFonts w:cs="Arial"/>
        </w:rPr>
        <w:t xml:space="preserve"> aid the HWB to work with providers to target locally commissioned services to the areas where they are needed and limit duplication of services in areas where provision is adequate</w:t>
      </w:r>
      <w:r>
        <w:rPr>
          <w:rFonts w:cs="Arial"/>
        </w:rPr>
        <w:t>.</w:t>
      </w:r>
    </w:p>
    <w:p w14:paraId="0E867895" w14:textId="77777777" w:rsidR="00116149" w:rsidRPr="00BA1EF9" w:rsidRDefault="00116149" w:rsidP="00116149">
      <w:pPr>
        <w:rPr>
          <w:rFonts w:cs="Arial"/>
        </w:rPr>
      </w:pPr>
      <w:r>
        <w:rPr>
          <w:rFonts w:cs="Arial"/>
        </w:rPr>
        <w:t>The PNA</w:t>
      </w:r>
      <w:r w:rsidRPr="00BA1EF9">
        <w:rPr>
          <w:rFonts w:cs="Arial"/>
        </w:rPr>
        <w:t xml:space="preserve"> will </w:t>
      </w:r>
      <w:r>
        <w:rPr>
          <w:rFonts w:cs="Arial"/>
        </w:rPr>
        <w:t xml:space="preserve">further </w:t>
      </w:r>
      <w:r w:rsidRPr="00BA1EF9">
        <w:rPr>
          <w:rFonts w:cs="Arial"/>
        </w:rPr>
        <w:t>inform interested parties of the pharmaceutical needs in Essex and enable work to plan, develop and deliver pharmaceutical services for the population</w:t>
      </w:r>
      <w:r>
        <w:rPr>
          <w:rFonts w:cs="Arial"/>
        </w:rPr>
        <w:t>.</w:t>
      </w:r>
    </w:p>
    <w:p w14:paraId="57CCA167" w14:textId="77777777" w:rsidR="00116149" w:rsidRPr="00BA1EF9" w:rsidRDefault="00116149" w:rsidP="00116149">
      <w:pPr>
        <w:rPr>
          <w:rFonts w:cs="Arial"/>
        </w:rPr>
      </w:pPr>
      <w:r w:rsidRPr="00BA1EF9">
        <w:rPr>
          <w:rFonts w:cs="Arial"/>
        </w:rPr>
        <w:t>It will inform commissioning decisions by local commissioning bodies including local authorities</w:t>
      </w:r>
      <w:r>
        <w:rPr>
          <w:rFonts w:cs="Arial"/>
        </w:rPr>
        <w:t>.</w:t>
      </w:r>
    </w:p>
    <w:p w14:paraId="6058CBE0"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NHS Market entry process</w:t>
      </w:r>
    </w:p>
    <w:p w14:paraId="499239F3" w14:textId="77777777" w:rsidR="00116149" w:rsidRPr="00BA1EF9" w:rsidRDefault="00116149" w:rsidP="00116149">
      <w:pPr>
        <w:rPr>
          <w:rFonts w:cs="Arial"/>
        </w:rPr>
      </w:pPr>
      <w:r w:rsidRPr="00BA1EF9">
        <w:rPr>
          <w:rFonts w:cs="Arial"/>
        </w:rPr>
        <w:t xml:space="preserve">If a person or corporate body wants to provide pharmaceutical services, they are required to apply to the NHS to be included in a pharmaceutical list. Pharmaceutical lists </w:t>
      </w:r>
      <w:r w:rsidRPr="00BA1EF9">
        <w:rPr>
          <w:rFonts w:cs="Arial"/>
        </w:rPr>
        <w:lastRenderedPageBreak/>
        <w:t>are compiled and held by NHS England. This is commonly known as the NHS “market entry” system.</w:t>
      </w:r>
    </w:p>
    <w:p w14:paraId="09C5F67F" w14:textId="77777777" w:rsidR="00116149" w:rsidRPr="00BA1EF9" w:rsidRDefault="00116149" w:rsidP="00116149">
      <w:pPr>
        <w:rPr>
          <w:rFonts w:cs="Arial"/>
        </w:rPr>
      </w:pPr>
      <w:r w:rsidRPr="00BA1EF9">
        <w:rPr>
          <w:rFonts w:cs="Arial"/>
        </w:rPr>
        <w:t xml:space="preserve">Previous tests for inclusion onto the pharmaceutical list were not based on needs assessments. Existing pharmaceutical provision includes historical market entry and should not be used to assess current need. </w:t>
      </w:r>
    </w:p>
    <w:p w14:paraId="0A8E2A1A" w14:textId="77777777" w:rsidR="00116149" w:rsidRPr="00BA1EF9" w:rsidRDefault="00116149" w:rsidP="00116149">
      <w:pPr>
        <w:rPr>
          <w:rFonts w:cs="Arial"/>
        </w:rPr>
      </w:pPr>
      <w:r w:rsidRPr="00BA1EF9">
        <w:rPr>
          <w:rFonts w:cs="Arial"/>
        </w:rPr>
        <w:t>The current regulations are the only guidance that can be referred to whilst developing the PNA, these include regulations for considering consolidations to reduce the number of pharmacies.</w:t>
      </w:r>
    </w:p>
    <w:p w14:paraId="0AF1D142" w14:textId="77777777" w:rsidR="00116149" w:rsidRPr="00BA1EF9" w:rsidRDefault="00116149" w:rsidP="00116149">
      <w:pPr>
        <w:rPr>
          <w:rFonts w:cs="Arial"/>
        </w:rPr>
      </w:pPr>
      <w:r w:rsidRPr="00BA1EF9">
        <w:rPr>
          <w:rFonts w:cs="Arial"/>
        </w:rPr>
        <w:t>Petitions and requests by a community cannot bypass this Market entry process</w:t>
      </w:r>
      <w:r>
        <w:rPr>
          <w:rFonts w:cs="Arial"/>
        </w:rPr>
        <w:t>.</w:t>
      </w:r>
    </w:p>
    <w:p w14:paraId="79F59216" w14:textId="77777777" w:rsidR="00116149" w:rsidRPr="00BA1EF9" w:rsidRDefault="00116149" w:rsidP="00116149">
      <w:pPr>
        <w:pStyle w:val="Heading1"/>
        <w:rPr>
          <w:rFonts w:ascii="Arial" w:hAnsi="Arial" w:cs="Arial"/>
          <w:sz w:val="22"/>
          <w:szCs w:val="22"/>
        </w:rPr>
      </w:pPr>
      <w:r w:rsidRPr="00BA1EF9">
        <w:rPr>
          <w:rFonts w:ascii="Arial" w:hAnsi="Arial" w:cs="Arial"/>
          <w:sz w:val="22"/>
          <w:szCs w:val="22"/>
        </w:rPr>
        <w:t xml:space="preserve">Scope </w:t>
      </w:r>
    </w:p>
    <w:p w14:paraId="5CF25046" w14:textId="77777777" w:rsidR="00116149" w:rsidRPr="00BA1EF9" w:rsidRDefault="00116149" w:rsidP="00116149">
      <w:pPr>
        <w:rPr>
          <w:rFonts w:cs="Arial"/>
        </w:rPr>
      </w:pPr>
      <w:r w:rsidRPr="00BA1EF9">
        <w:rPr>
          <w:rFonts w:cs="Arial"/>
        </w:rPr>
        <w:t xml:space="preserve">The services that a pharmaceutical needs assessment must include are defined within both the National Health Service Act 2006 and the NHS (Pharmaceutical and Local Pharmaceutical Services) Regulations 2013, as amended. </w:t>
      </w:r>
    </w:p>
    <w:p w14:paraId="56FE780D" w14:textId="77777777" w:rsidR="00116149" w:rsidRPr="00BA1EF9" w:rsidRDefault="00116149" w:rsidP="00116149">
      <w:pPr>
        <w:rPr>
          <w:rFonts w:cs="Arial"/>
        </w:rPr>
      </w:pPr>
      <w:r w:rsidRPr="00BA1EF9">
        <w:rPr>
          <w:rFonts w:cs="Arial"/>
        </w:rPr>
        <w:t>Pharmaceutical services is a collective term for a range of services commissioned by NHS</w:t>
      </w:r>
      <w:r>
        <w:rPr>
          <w:rFonts w:cs="Arial"/>
        </w:rPr>
        <w:t>E</w:t>
      </w:r>
      <w:r w:rsidRPr="00BA1EF9">
        <w:rPr>
          <w:rFonts w:cs="Arial"/>
        </w:rPr>
        <w:t xml:space="preserve">. </w:t>
      </w:r>
    </w:p>
    <w:p w14:paraId="7B5076C4" w14:textId="77777777" w:rsidR="00116149" w:rsidRPr="00C03C6F" w:rsidRDefault="00116149" w:rsidP="00116149">
      <w:pPr>
        <w:rPr>
          <w:rFonts w:cs="Arial"/>
        </w:rPr>
      </w:pPr>
      <w:r w:rsidRPr="00C03C6F">
        <w:rPr>
          <w:rFonts w:cs="Arial"/>
        </w:rPr>
        <w:t xml:space="preserve">In relation to pharmaceutical needs assessments, it includes: </w:t>
      </w:r>
    </w:p>
    <w:p w14:paraId="58E93A8F" w14:textId="77777777" w:rsidR="00116149" w:rsidRPr="00BA1EF9" w:rsidRDefault="00116149" w:rsidP="00116149">
      <w:pPr>
        <w:pStyle w:val="ListParagraph"/>
        <w:ind w:left="0"/>
        <w:rPr>
          <w:rFonts w:cs="Arial"/>
        </w:rPr>
      </w:pPr>
      <w:r w:rsidRPr="00BA1EF9">
        <w:rPr>
          <w:rFonts w:cs="Arial"/>
        </w:rPr>
        <w:t>• Essential, advanced and enhanced services provided by pharmacies (including distance selling or online pharmacies)</w:t>
      </w:r>
    </w:p>
    <w:p w14:paraId="06785572" w14:textId="77777777" w:rsidR="00116149" w:rsidRPr="00BA1EF9" w:rsidRDefault="00116149" w:rsidP="00116149">
      <w:pPr>
        <w:pStyle w:val="ListParagraph"/>
        <w:ind w:left="0"/>
        <w:rPr>
          <w:rFonts w:cs="Arial"/>
        </w:rPr>
      </w:pPr>
      <w:r w:rsidRPr="00BA1EF9">
        <w:rPr>
          <w:rFonts w:cs="Arial"/>
        </w:rPr>
        <w:t xml:space="preserve">• </w:t>
      </w:r>
      <w:r>
        <w:rPr>
          <w:rFonts w:cs="Arial"/>
        </w:rPr>
        <w:t>E</w:t>
      </w:r>
      <w:r w:rsidRPr="00BA1EF9">
        <w:rPr>
          <w:rFonts w:cs="Arial"/>
        </w:rPr>
        <w:t xml:space="preserve">ssential and advanced services provided by dispensing appliance contractors </w:t>
      </w:r>
    </w:p>
    <w:p w14:paraId="5172B38E" w14:textId="77777777" w:rsidR="00116149" w:rsidRPr="00BA1EF9" w:rsidRDefault="00116149" w:rsidP="00116149">
      <w:pPr>
        <w:pStyle w:val="ListParagraph"/>
        <w:ind w:left="0"/>
        <w:rPr>
          <w:rFonts w:cs="Arial"/>
        </w:rPr>
      </w:pPr>
      <w:r w:rsidRPr="00BA1EF9">
        <w:rPr>
          <w:rFonts w:cs="Arial"/>
        </w:rPr>
        <w:t xml:space="preserve">• </w:t>
      </w:r>
      <w:r>
        <w:rPr>
          <w:rFonts w:cs="Arial"/>
        </w:rPr>
        <w:t>T</w:t>
      </w:r>
      <w:r w:rsidRPr="00BA1EF9">
        <w:rPr>
          <w:rFonts w:cs="Arial"/>
        </w:rPr>
        <w:t>he dispensing service provided by some gp practices</w:t>
      </w:r>
      <w:r>
        <w:rPr>
          <w:rFonts w:cs="Arial"/>
        </w:rPr>
        <w:t xml:space="preserve"> and</w:t>
      </w:r>
    </w:p>
    <w:p w14:paraId="385F30D1" w14:textId="77777777" w:rsidR="00116149" w:rsidRPr="00BA1EF9" w:rsidRDefault="00116149" w:rsidP="00116149">
      <w:pPr>
        <w:pStyle w:val="ListParagraph"/>
        <w:ind w:left="0"/>
        <w:rPr>
          <w:rFonts w:cs="Arial"/>
        </w:rPr>
      </w:pPr>
      <w:r w:rsidRPr="00BA1EF9">
        <w:rPr>
          <w:rFonts w:cs="Arial"/>
        </w:rPr>
        <w:t xml:space="preserve">• </w:t>
      </w:r>
      <w:r>
        <w:rPr>
          <w:rFonts w:cs="Arial"/>
        </w:rPr>
        <w:t>S</w:t>
      </w:r>
      <w:r w:rsidRPr="00BA1EF9">
        <w:rPr>
          <w:rFonts w:cs="Arial"/>
        </w:rPr>
        <w:t>ervices provided under a local pharmaceutical services contract that are the equivalent of essential, advanced and enhanced services.</w:t>
      </w:r>
    </w:p>
    <w:p w14:paraId="36E0A0C9" w14:textId="77777777" w:rsidR="00116149" w:rsidRPr="00BA1EF9" w:rsidRDefault="00116149" w:rsidP="00116149">
      <w:pPr>
        <w:rPr>
          <w:rFonts w:cs="Arial"/>
        </w:rPr>
      </w:pPr>
      <w:r w:rsidRPr="00BA1EF9">
        <w:rPr>
          <w:rFonts w:cs="Arial"/>
        </w:rPr>
        <w:t xml:space="preserve">Pharmaceutical services may be provided by: </w:t>
      </w:r>
    </w:p>
    <w:p w14:paraId="62851735" w14:textId="77777777" w:rsidR="00116149" w:rsidRPr="00BA1EF9" w:rsidRDefault="00116149" w:rsidP="00116149">
      <w:pPr>
        <w:spacing w:after="0"/>
        <w:rPr>
          <w:rFonts w:cs="Arial"/>
        </w:rPr>
      </w:pPr>
      <w:r w:rsidRPr="00BA1EF9">
        <w:rPr>
          <w:rFonts w:cs="Arial"/>
        </w:rPr>
        <w:t>•</w:t>
      </w:r>
      <w:r>
        <w:rPr>
          <w:rFonts w:cs="Arial"/>
        </w:rPr>
        <w:t xml:space="preserve"> </w:t>
      </w:r>
      <w:r w:rsidRPr="00BA1EF9">
        <w:rPr>
          <w:rFonts w:cs="Arial"/>
        </w:rPr>
        <w:t>A pharmacy contractor who is included in the pharmaceutical list for the area of the H</w:t>
      </w:r>
      <w:r>
        <w:rPr>
          <w:rFonts w:cs="Arial"/>
        </w:rPr>
        <w:t>WB</w:t>
      </w:r>
      <w:r w:rsidRPr="00BA1EF9">
        <w:rPr>
          <w:rFonts w:cs="Arial"/>
        </w:rPr>
        <w:t xml:space="preserve"> </w:t>
      </w:r>
    </w:p>
    <w:p w14:paraId="26D84471" w14:textId="77777777" w:rsidR="00116149" w:rsidRPr="00BA1EF9" w:rsidRDefault="00116149" w:rsidP="00116149">
      <w:pPr>
        <w:spacing w:after="0"/>
        <w:rPr>
          <w:rFonts w:cs="Arial"/>
        </w:rPr>
      </w:pPr>
      <w:r w:rsidRPr="00BA1EF9">
        <w:rPr>
          <w:rFonts w:cs="Arial"/>
        </w:rPr>
        <w:t>•</w:t>
      </w:r>
      <w:r>
        <w:rPr>
          <w:rFonts w:cs="Arial"/>
        </w:rPr>
        <w:t xml:space="preserve"> </w:t>
      </w:r>
      <w:r w:rsidRPr="00BA1EF9">
        <w:rPr>
          <w:rFonts w:cs="Arial"/>
        </w:rPr>
        <w:t>A pharmacy contractor who is included in the Local Pharmaceutical Services list for the area of the H</w:t>
      </w:r>
      <w:r>
        <w:rPr>
          <w:rFonts w:cs="Arial"/>
        </w:rPr>
        <w:t>WB</w:t>
      </w:r>
      <w:r w:rsidRPr="00BA1EF9">
        <w:rPr>
          <w:rFonts w:cs="Arial"/>
        </w:rPr>
        <w:t xml:space="preserve"> </w:t>
      </w:r>
    </w:p>
    <w:p w14:paraId="51C66403" w14:textId="77777777" w:rsidR="00116149" w:rsidRPr="00BA1EF9" w:rsidRDefault="00116149" w:rsidP="00116149">
      <w:pPr>
        <w:spacing w:after="0"/>
        <w:rPr>
          <w:rFonts w:cs="Arial"/>
        </w:rPr>
      </w:pPr>
      <w:r w:rsidRPr="00BA1EF9">
        <w:rPr>
          <w:rFonts w:cs="Arial"/>
        </w:rPr>
        <w:t>•</w:t>
      </w:r>
      <w:r>
        <w:rPr>
          <w:rFonts w:cs="Arial"/>
        </w:rPr>
        <w:t xml:space="preserve"> </w:t>
      </w:r>
      <w:r w:rsidRPr="00BA1EF9">
        <w:rPr>
          <w:rFonts w:cs="Arial"/>
        </w:rPr>
        <w:t>A dispensing appliance contractor who is included in the pharmaceutical list held for the area of the H</w:t>
      </w:r>
      <w:r>
        <w:rPr>
          <w:rFonts w:cs="Arial"/>
        </w:rPr>
        <w:t>WB</w:t>
      </w:r>
      <w:r w:rsidRPr="00BA1EF9">
        <w:rPr>
          <w:rFonts w:cs="Arial"/>
        </w:rPr>
        <w:t xml:space="preserve"> and </w:t>
      </w:r>
    </w:p>
    <w:p w14:paraId="42F7B370" w14:textId="77777777" w:rsidR="00116149" w:rsidRPr="00BA1EF9" w:rsidRDefault="00116149" w:rsidP="00116149">
      <w:pPr>
        <w:spacing w:after="0"/>
        <w:rPr>
          <w:rFonts w:cs="Arial"/>
        </w:rPr>
      </w:pPr>
      <w:r w:rsidRPr="00BA1EF9">
        <w:rPr>
          <w:rFonts w:cs="Arial"/>
        </w:rPr>
        <w:t>•</w:t>
      </w:r>
      <w:r>
        <w:rPr>
          <w:rFonts w:cs="Arial"/>
        </w:rPr>
        <w:t xml:space="preserve"> </w:t>
      </w:r>
      <w:r w:rsidRPr="00BA1EF9">
        <w:rPr>
          <w:rFonts w:cs="Arial"/>
        </w:rPr>
        <w:t xml:space="preserve">A doctor or GP practice that is included in the dispensing doctor list held for the area of the </w:t>
      </w:r>
      <w:r>
        <w:rPr>
          <w:rFonts w:cs="Arial"/>
        </w:rPr>
        <w:t>HWB</w:t>
      </w:r>
      <w:r w:rsidRPr="00BA1EF9">
        <w:rPr>
          <w:rFonts w:cs="Arial"/>
        </w:rPr>
        <w:t xml:space="preserve"> </w:t>
      </w:r>
    </w:p>
    <w:p w14:paraId="33AB9C31" w14:textId="77777777" w:rsidR="00116149" w:rsidRPr="00BA1EF9" w:rsidRDefault="00116149" w:rsidP="00116149">
      <w:pPr>
        <w:rPr>
          <w:rFonts w:cs="Arial"/>
        </w:rPr>
      </w:pPr>
      <w:r w:rsidRPr="00BA1EF9">
        <w:rPr>
          <w:rFonts w:cs="Arial"/>
        </w:rPr>
        <w:t>NHS</w:t>
      </w:r>
      <w:r>
        <w:rPr>
          <w:rFonts w:cs="Arial"/>
        </w:rPr>
        <w:t>E</w:t>
      </w:r>
      <w:r w:rsidRPr="00BA1EF9">
        <w:rPr>
          <w:rFonts w:cs="Arial"/>
        </w:rPr>
        <w:t xml:space="preserve"> is responsible for preparing, maintaining and publishing lists of contracted providers. </w:t>
      </w:r>
    </w:p>
    <w:p w14:paraId="5993C8BC" w14:textId="77777777" w:rsidR="00116149" w:rsidRDefault="00116149" w:rsidP="00116149">
      <w:pPr>
        <w:rPr>
          <w:rFonts w:cs="Arial"/>
        </w:rPr>
      </w:pPr>
      <w:r w:rsidRPr="00BA1EF9">
        <w:rPr>
          <w:rFonts w:cs="Arial"/>
        </w:rPr>
        <w:t xml:space="preserve">The PNA has a regulatory purpose that sets the scope of the assessment. </w:t>
      </w:r>
    </w:p>
    <w:p w14:paraId="1588B256" w14:textId="77777777" w:rsidR="00116149" w:rsidRPr="00BA1EF9" w:rsidRDefault="00116149" w:rsidP="00116149">
      <w:pPr>
        <w:rPr>
          <w:rFonts w:cs="Arial"/>
        </w:rPr>
      </w:pPr>
      <w:r w:rsidRPr="00BA1EF9">
        <w:rPr>
          <w:rFonts w:cs="Arial"/>
        </w:rPr>
        <w:t xml:space="preserve">Pharmaceutical services are evident in other areas of work but are excluded from this assessment. These include prison pharmacy, secondary care and private </w:t>
      </w:r>
      <w:r>
        <w:rPr>
          <w:rFonts w:cs="Arial"/>
        </w:rPr>
        <w:t xml:space="preserve">pharmacy </w:t>
      </w:r>
      <w:r w:rsidRPr="00BA1EF9">
        <w:rPr>
          <w:rFonts w:cs="Arial"/>
        </w:rPr>
        <w:lastRenderedPageBreak/>
        <w:t xml:space="preserve">services where patients may be obtaining a type of pharmaceutical service that is not covered by this assessment. </w:t>
      </w:r>
    </w:p>
    <w:p w14:paraId="382E3F25" w14:textId="77777777" w:rsidR="00116149" w:rsidRPr="00BA1EF9" w:rsidRDefault="00116149" w:rsidP="00116149">
      <w:pPr>
        <w:pStyle w:val="Heading1"/>
        <w:rPr>
          <w:rFonts w:ascii="Arial" w:hAnsi="Arial" w:cs="Arial"/>
          <w:sz w:val="22"/>
          <w:szCs w:val="22"/>
        </w:rPr>
      </w:pPr>
      <w:r w:rsidRPr="00BA1EF9">
        <w:rPr>
          <w:rFonts w:ascii="Arial" w:hAnsi="Arial" w:cs="Arial"/>
          <w:sz w:val="22"/>
          <w:szCs w:val="22"/>
        </w:rPr>
        <w:t>The PNA development process</w:t>
      </w:r>
    </w:p>
    <w:p w14:paraId="6139473B" w14:textId="682EBE5C" w:rsidR="00116149" w:rsidRPr="00BA1EF9" w:rsidRDefault="00116149" w:rsidP="00116149">
      <w:pPr>
        <w:rPr>
          <w:rFonts w:cs="Arial"/>
        </w:rPr>
      </w:pPr>
      <w:r w:rsidRPr="00BA1EF9">
        <w:rPr>
          <w:rFonts w:cs="Arial"/>
        </w:rPr>
        <w:t xml:space="preserve">The next Essex HWB PNA is due to be published by 1st October </w:t>
      </w:r>
      <w:r w:rsidRPr="206C3FD6">
        <w:rPr>
          <w:rFonts w:cs="Arial"/>
        </w:rPr>
        <w:t>202</w:t>
      </w:r>
      <w:r w:rsidR="66AF344D" w:rsidRPr="206C3FD6">
        <w:rPr>
          <w:rFonts w:cs="Arial"/>
        </w:rPr>
        <w:t>5</w:t>
      </w:r>
      <w:r>
        <w:rPr>
          <w:rFonts w:cs="Arial"/>
        </w:rPr>
        <w:t>.</w:t>
      </w:r>
    </w:p>
    <w:p w14:paraId="6D6E85A3" w14:textId="77777777" w:rsidR="00116149" w:rsidRPr="00BA1EF9" w:rsidRDefault="00116149" w:rsidP="00116149">
      <w:pPr>
        <w:rPr>
          <w:rFonts w:cs="Arial"/>
        </w:rPr>
      </w:pPr>
      <w:r w:rsidRPr="00BA1EF9">
        <w:rPr>
          <w:rFonts w:cs="Arial"/>
        </w:rPr>
        <w:t>The process for developing the PNA is informed by the regulations and guidance provided by DHSC</w:t>
      </w:r>
      <w:r w:rsidRPr="00BA1EF9">
        <w:rPr>
          <w:rStyle w:val="FootnoteReference"/>
          <w:rFonts w:cs="Arial"/>
        </w:rPr>
        <w:footnoteReference w:id="3"/>
      </w:r>
      <w:r w:rsidRPr="00BA1EF9">
        <w:rPr>
          <w:rFonts w:cs="Arial"/>
        </w:rPr>
        <w:t xml:space="preserve"> </w:t>
      </w:r>
    </w:p>
    <w:p w14:paraId="4409AAF0" w14:textId="77777777" w:rsidR="00116149" w:rsidRPr="00BA1EF9" w:rsidRDefault="00116149" w:rsidP="00116149">
      <w:pPr>
        <w:rPr>
          <w:rFonts w:cs="Arial"/>
        </w:rPr>
      </w:pPr>
      <w:r w:rsidRPr="00BA1EF9">
        <w:rPr>
          <w:rFonts w:cs="Arial"/>
        </w:rPr>
        <w:t>There is a steering group overseeing the assessment. The steering group (as recommended in the guidance pack) has representation from:</w:t>
      </w:r>
    </w:p>
    <w:p w14:paraId="41EF823E"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 xml:space="preserve">the </w:t>
      </w:r>
      <w:r w:rsidRPr="004253BE">
        <w:rPr>
          <w:rFonts w:cs="Arial"/>
        </w:rPr>
        <w:t>Essex County Council</w:t>
      </w:r>
      <w:r>
        <w:rPr>
          <w:rFonts w:cs="Arial"/>
        </w:rPr>
        <w:t xml:space="preserve"> </w:t>
      </w:r>
      <w:r w:rsidRPr="000C183E">
        <w:rPr>
          <w:rFonts w:cs="Arial"/>
        </w:rPr>
        <w:t xml:space="preserve">public health team, </w:t>
      </w:r>
    </w:p>
    <w:p w14:paraId="1C646230"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 xml:space="preserve">the </w:t>
      </w:r>
      <w:r w:rsidRPr="004253BE">
        <w:rPr>
          <w:rFonts w:cs="Arial"/>
        </w:rPr>
        <w:t>Essex County Council</w:t>
      </w:r>
      <w:r>
        <w:rPr>
          <w:rFonts w:cs="Arial"/>
        </w:rPr>
        <w:t xml:space="preserve"> </w:t>
      </w:r>
      <w:r w:rsidRPr="000C183E">
        <w:rPr>
          <w:rFonts w:cs="Arial"/>
        </w:rPr>
        <w:t xml:space="preserve">communications and engagement team, </w:t>
      </w:r>
    </w:p>
    <w:p w14:paraId="521780DC"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 xml:space="preserve">the local pharmaceutical committee (LPC), </w:t>
      </w:r>
    </w:p>
    <w:p w14:paraId="6AB76551"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the local medical committee (LMC),</w:t>
      </w:r>
    </w:p>
    <w:p w14:paraId="18B6B5C3"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 xml:space="preserve">Healthwatch, </w:t>
      </w:r>
    </w:p>
    <w:p w14:paraId="0828F156" w14:textId="796FDBB4" w:rsidR="00116149" w:rsidRPr="000C183E" w:rsidRDefault="00116149" w:rsidP="00116149">
      <w:pPr>
        <w:pStyle w:val="ListParagraph"/>
        <w:numPr>
          <w:ilvl w:val="0"/>
          <w:numId w:val="11"/>
        </w:numPr>
        <w:spacing w:after="0" w:line="259" w:lineRule="auto"/>
        <w:ind w:left="426"/>
        <w:rPr>
          <w:rFonts w:cs="Arial"/>
        </w:rPr>
      </w:pPr>
      <w:r w:rsidRPr="206C3FD6">
        <w:rPr>
          <w:rFonts w:cs="Arial"/>
        </w:rPr>
        <w:t xml:space="preserve">the </w:t>
      </w:r>
      <w:r w:rsidR="6047185A" w:rsidRPr="206C3FD6">
        <w:rPr>
          <w:rFonts w:cs="Arial"/>
        </w:rPr>
        <w:t>Sub Integrated care boards</w:t>
      </w:r>
      <w:r w:rsidRPr="206C3FD6">
        <w:rPr>
          <w:rFonts w:cs="Arial"/>
        </w:rPr>
        <w:t xml:space="preserve"> (</w:t>
      </w:r>
      <w:r w:rsidR="163F14DC" w:rsidRPr="206C3FD6">
        <w:rPr>
          <w:rFonts w:cs="Arial"/>
        </w:rPr>
        <w:t>ICB</w:t>
      </w:r>
      <w:r w:rsidRPr="206C3FD6">
        <w:rPr>
          <w:rFonts w:cs="Arial"/>
        </w:rPr>
        <w:t xml:space="preserve">) and </w:t>
      </w:r>
    </w:p>
    <w:p w14:paraId="25BF1735" w14:textId="77777777" w:rsidR="00116149" w:rsidRPr="000C183E" w:rsidRDefault="00116149" w:rsidP="00116149">
      <w:pPr>
        <w:pStyle w:val="ListParagraph"/>
        <w:numPr>
          <w:ilvl w:val="0"/>
          <w:numId w:val="11"/>
        </w:numPr>
        <w:spacing w:after="0" w:line="259" w:lineRule="auto"/>
        <w:ind w:left="426"/>
        <w:rPr>
          <w:rFonts w:cs="Arial"/>
        </w:rPr>
      </w:pPr>
      <w:r w:rsidRPr="000C183E">
        <w:rPr>
          <w:rFonts w:cs="Arial"/>
        </w:rPr>
        <w:t>the integrated care system.</w:t>
      </w:r>
    </w:p>
    <w:p w14:paraId="2EEA111D" w14:textId="77777777" w:rsidR="00116149" w:rsidRDefault="00116149" w:rsidP="00116149">
      <w:pPr>
        <w:rPr>
          <w:rFonts w:cs="Arial"/>
        </w:rPr>
      </w:pPr>
    </w:p>
    <w:p w14:paraId="649F5C9A" w14:textId="77777777" w:rsidR="00116149" w:rsidRPr="00BA1EF9" w:rsidRDefault="00116149" w:rsidP="00116149">
      <w:pPr>
        <w:rPr>
          <w:rFonts w:cs="Arial"/>
        </w:rPr>
      </w:pPr>
      <w:r w:rsidRPr="00BA1EF9">
        <w:rPr>
          <w:rFonts w:cs="Arial"/>
        </w:rPr>
        <w:t>The HWB area was broken down into localities for analysis using available data</w:t>
      </w:r>
      <w:r>
        <w:rPr>
          <w:rFonts w:cs="Arial"/>
        </w:rPr>
        <w:t>. T</w:t>
      </w:r>
      <w:r w:rsidRPr="00BA1EF9">
        <w:rPr>
          <w:rFonts w:cs="Arial"/>
        </w:rPr>
        <w:t xml:space="preserve">he district and borough councils were agreed as the localities for the </w:t>
      </w:r>
      <w:r>
        <w:rPr>
          <w:rFonts w:cs="Arial"/>
        </w:rPr>
        <w:t xml:space="preserve">Essex HWB </w:t>
      </w:r>
      <w:r w:rsidRPr="00BA1EF9">
        <w:rPr>
          <w:rFonts w:cs="Arial"/>
        </w:rPr>
        <w:t>PNA.</w:t>
      </w:r>
    </w:p>
    <w:p w14:paraId="50B05C55" w14:textId="77777777" w:rsidR="00116149" w:rsidRPr="00BA1EF9" w:rsidRDefault="00116149" w:rsidP="00116149">
      <w:pPr>
        <w:rPr>
          <w:rFonts w:cs="Arial"/>
        </w:rPr>
      </w:pPr>
      <w:r w:rsidRPr="00BA1EF9">
        <w:rPr>
          <w:rFonts w:cs="Arial"/>
        </w:rPr>
        <w:t>The following were used to inform the assessment:</w:t>
      </w:r>
    </w:p>
    <w:p w14:paraId="18D3014C" w14:textId="6A2412B5"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 xml:space="preserve">Analysis of pharmaceutical services provided by the </w:t>
      </w:r>
      <w:r w:rsidRPr="206C3FD6">
        <w:rPr>
          <w:rFonts w:cs="Arial"/>
        </w:rPr>
        <w:t>2</w:t>
      </w:r>
      <w:r w:rsidR="38B946F1" w:rsidRPr="206C3FD6">
        <w:rPr>
          <w:rFonts w:cs="Arial"/>
        </w:rPr>
        <w:t>30</w:t>
      </w:r>
      <w:r w:rsidRPr="00BA1EF9">
        <w:rPr>
          <w:rFonts w:cs="Arial"/>
        </w:rPr>
        <w:t xml:space="preserve"> pharmacies, </w:t>
      </w:r>
      <w:r w:rsidRPr="206C3FD6">
        <w:rPr>
          <w:rFonts w:cs="Arial"/>
        </w:rPr>
        <w:t>4</w:t>
      </w:r>
      <w:r w:rsidR="3DA241AF" w:rsidRPr="206C3FD6">
        <w:rPr>
          <w:rFonts w:cs="Arial"/>
        </w:rPr>
        <w:t>7</w:t>
      </w:r>
      <w:r w:rsidRPr="00BA1EF9">
        <w:rPr>
          <w:rFonts w:cs="Arial"/>
        </w:rPr>
        <w:t xml:space="preserve"> dispensing doctors and 5 dispensing appliance contractors in the Essex HWB area (sources- NHSE, CCGs, NHSBSA and commissioners)</w:t>
      </w:r>
      <w:r>
        <w:rPr>
          <w:rFonts w:cs="Arial"/>
        </w:rPr>
        <w:t>.</w:t>
      </w:r>
    </w:p>
    <w:p w14:paraId="71E580F8" w14:textId="77777777" w:rsidR="00116149" w:rsidRPr="00FE73E1" w:rsidRDefault="00116149" w:rsidP="00116149">
      <w:pPr>
        <w:pStyle w:val="ListParagraph"/>
        <w:numPr>
          <w:ilvl w:val="0"/>
          <w:numId w:val="10"/>
        </w:numPr>
        <w:spacing w:after="0" w:line="259" w:lineRule="auto"/>
        <w:ind w:left="426" w:hanging="426"/>
        <w:rPr>
          <w:rFonts w:cs="Arial"/>
        </w:rPr>
      </w:pPr>
      <w:r w:rsidRPr="00FE73E1">
        <w:rPr>
          <w:rFonts w:cs="Arial"/>
        </w:rPr>
        <w:t xml:space="preserve">Opening hours of the pharmaceutical providers (source- NHSE). </w:t>
      </w:r>
    </w:p>
    <w:p w14:paraId="0C91AB6C" w14:textId="77777777" w:rsidR="00116149" w:rsidRPr="00FE73E1" w:rsidRDefault="00116149" w:rsidP="00116149">
      <w:pPr>
        <w:pStyle w:val="ListParagraph"/>
        <w:numPr>
          <w:ilvl w:val="0"/>
          <w:numId w:val="10"/>
        </w:numPr>
        <w:spacing w:after="0" w:line="259" w:lineRule="auto"/>
        <w:ind w:left="426" w:hanging="426"/>
        <w:rPr>
          <w:rFonts w:cs="Arial"/>
        </w:rPr>
      </w:pPr>
      <w:r w:rsidRPr="00FE73E1">
        <w:rPr>
          <w:rFonts w:cs="Arial"/>
        </w:rPr>
        <w:t>Mapping of locations of the pharmaceutical providers (source- SHAPE maps)</w:t>
      </w:r>
      <w:r>
        <w:rPr>
          <w:rFonts w:cs="Arial"/>
        </w:rPr>
        <w:t>.</w:t>
      </w:r>
    </w:p>
    <w:p w14:paraId="4B6A157E" w14:textId="77777777" w:rsidR="00116149" w:rsidRPr="00FE73E1" w:rsidRDefault="00116149" w:rsidP="00116149">
      <w:pPr>
        <w:pStyle w:val="ListParagraph"/>
        <w:numPr>
          <w:ilvl w:val="0"/>
          <w:numId w:val="10"/>
        </w:numPr>
        <w:spacing w:after="0" w:line="259" w:lineRule="auto"/>
        <w:ind w:left="426" w:hanging="426"/>
        <w:rPr>
          <w:rFonts w:cs="Arial"/>
        </w:rPr>
      </w:pPr>
      <w:r w:rsidRPr="00FE73E1">
        <w:rPr>
          <w:rFonts w:cs="Arial"/>
        </w:rPr>
        <w:t xml:space="preserve">Travel time analysis to pharmaceutical provision using a car, public transport and walking at various times of the day. 20 </w:t>
      </w:r>
      <w:r w:rsidRPr="00BA1EF9">
        <w:rPr>
          <w:rFonts w:cs="Arial"/>
        </w:rPr>
        <w:t>minutes’ drive</w:t>
      </w:r>
      <w:r w:rsidRPr="00FE73E1">
        <w:rPr>
          <w:rFonts w:cs="Arial"/>
        </w:rPr>
        <w:t xml:space="preserve"> time is a national measure being used in PNAs across the count</w:t>
      </w:r>
      <w:r>
        <w:rPr>
          <w:rFonts w:cs="Arial"/>
        </w:rPr>
        <w:t>r</w:t>
      </w:r>
      <w:r w:rsidRPr="00FE73E1">
        <w:rPr>
          <w:rFonts w:cs="Arial"/>
        </w:rPr>
        <w:t xml:space="preserve">y. </w:t>
      </w:r>
    </w:p>
    <w:p w14:paraId="3FC752A6" w14:textId="0DB3AB51" w:rsidR="00116149" w:rsidRPr="00FE73E1" w:rsidRDefault="00116149" w:rsidP="00116149">
      <w:pPr>
        <w:pStyle w:val="ListParagraph"/>
        <w:numPr>
          <w:ilvl w:val="0"/>
          <w:numId w:val="10"/>
        </w:numPr>
        <w:spacing w:after="0" w:line="259" w:lineRule="auto"/>
        <w:ind w:left="426" w:hanging="426"/>
        <w:rPr>
          <w:rFonts w:cs="Arial"/>
        </w:rPr>
      </w:pPr>
      <w:r w:rsidRPr="00FE73E1">
        <w:rPr>
          <w:rFonts w:cs="Arial"/>
        </w:rPr>
        <w:t xml:space="preserve">Access to </w:t>
      </w:r>
      <w:r w:rsidR="00D7450E" w:rsidRPr="00FE73E1">
        <w:rPr>
          <w:rFonts w:cs="Arial"/>
        </w:rPr>
        <w:t>neighbo</w:t>
      </w:r>
      <w:r w:rsidR="006B0284">
        <w:rPr>
          <w:rFonts w:cs="Arial"/>
        </w:rPr>
        <w:t>u</w:t>
      </w:r>
      <w:r w:rsidR="00D7450E" w:rsidRPr="00FE73E1">
        <w:rPr>
          <w:rFonts w:cs="Arial"/>
        </w:rPr>
        <w:t>ring</w:t>
      </w:r>
      <w:r w:rsidRPr="00FE73E1">
        <w:rPr>
          <w:rFonts w:cs="Arial"/>
        </w:rPr>
        <w:t xml:space="preserve"> </w:t>
      </w:r>
      <w:r>
        <w:rPr>
          <w:rFonts w:cs="Arial"/>
        </w:rPr>
        <w:t xml:space="preserve">locality pharmaceutical </w:t>
      </w:r>
      <w:r w:rsidRPr="00FE73E1">
        <w:rPr>
          <w:rFonts w:cs="Arial"/>
        </w:rPr>
        <w:t>provision and D</w:t>
      </w:r>
      <w:r w:rsidRPr="00BA1EF9">
        <w:rPr>
          <w:rFonts w:cs="Arial"/>
        </w:rPr>
        <w:t>istance Selling Pharmacies</w:t>
      </w:r>
      <w:r>
        <w:rPr>
          <w:rFonts w:cs="Arial"/>
        </w:rPr>
        <w:t>.</w:t>
      </w:r>
    </w:p>
    <w:p w14:paraId="5CBA75E8"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Public survey (not required in the regulations but undertaken using the questions recommended in the PNA guidance pack)</w:t>
      </w:r>
      <w:r>
        <w:rPr>
          <w:rFonts w:cs="Arial"/>
        </w:rPr>
        <w:t>.</w:t>
      </w:r>
    </w:p>
    <w:p w14:paraId="784A29AF"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Contractor questionnaire (conducted at the same time as the public survey)</w:t>
      </w:r>
      <w:r>
        <w:rPr>
          <w:rFonts w:cs="Arial"/>
        </w:rPr>
        <w:t>.</w:t>
      </w:r>
    </w:p>
    <w:p w14:paraId="502E07B3"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Statutory stakeholder consultation (minimum 60 days required by the regulations)</w:t>
      </w:r>
      <w:r>
        <w:rPr>
          <w:rFonts w:cs="Arial"/>
        </w:rPr>
        <w:t>.</w:t>
      </w:r>
    </w:p>
    <w:p w14:paraId="10EA31E0"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JSNA data on Essex population and life expectancy</w:t>
      </w:r>
      <w:r>
        <w:rPr>
          <w:rFonts w:cs="Arial"/>
        </w:rPr>
        <w:t>.</w:t>
      </w:r>
    </w:p>
    <w:p w14:paraId="03881BAC"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The Index of Multiple Deprivation and deprivation ranges as well as the other wider determinants of health</w:t>
      </w:r>
      <w:r>
        <w:rPr>
          <w:rFonts w:cs="Arial"/>
        </w:rPr>
        <w:t>.</w:t>
      </w:r>
    </w:p>
    <w:p w14:paraId="179A38EE"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lastRenderedPageBreak/>
        <w:t>The general lifestyle including smoking and drug and alcohol misuse</w:t>
      </w:r>
      <w:r>
        <w:rPr>
          <w:rFonts w:cs="Arial"/>
        </w:rPr>
        <w:t>.</w:t>
      </w:r>
    </w:p>
    <w:p w14:paraId="1286B2B8"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The disease burden</w:t>
      </w:r>
      <w:r>
        <w:rPr>
          <w:rFonts w:cs="Arial"/>
        </w:rPr>
        <w:t>.</w:t>
      </w:r>
    </w:p>
    <w:p w14:paraId="5482EF6B"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Predicted housing growth</w:t>
      </w:r>
      <w:r>
        <w:rPr>
          <w:rFonts w:cs="Arial"/>
        </w:rPr>
        <w:t>.</w:t>
      </w:r>
    </w:p>
    <w:p w14:paraId="3E27CD03" w14:textId="40BFEB90"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 xml:space="preserve">Provision from </w:t>
      </w:r>
      <w:r w:rsidR="00D7450E" w:rsidRPr="00BA1EF9">
        <w:rPr>
          <w:rFonts w:cs="Arial"/>
        </w:rPr>
        <w:t>neighbo</w:t>
      </w:r>
      <w:r w:rsidR="006B0284">
        <w:rPr>
          <w:rFonts w:cs="Arial"/>
        </w:rPr>
        <w:t>u</w:t>
      </w:r>
      <w:r w:rsidR="00D7450E" w:rsidRPr="00BA1EF9">
        <w:rPr>
          <w:rFonts w:cs="Arial"/>
        </w:rPr>
        <w:t>ring</w:t>
      </w:r>
      <w:r w:rsidRPr="00BA1EF9">
        <w:rPr>
          <w:rFonts w:cs="Arial"/>
        </w:rPr>
        <w:t xml:space="preserve"> HWB’s</w:t>
      </w:r>
      <w:r>
        <w:rPr>
          <w:rFonts w:cs="Arial"/>
        </w:rPr>
        <w:t>.</w:t>
      </w:r>
    </w:p>
    <w:p w14:paraId="17F0D092"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Analysis of dispensing locations (dispensing flows)</w:t>
      </w:r>
      <w:r>
        <w:rPr>
          <w:rFonts w:cs="Arial"/>
        </w:rPr>
        <w:t>.</w:t>
      </w:r>
    </w:p>
    <w:p w14:paraId="0C7E3AC6" w14:textId="77777777" w:rsidR="00116149" w:rsidRPr="00BA1EF9" w:rsidRDefault="00116149" w:rsidP="00116149">
      <w:pPr>
        <w:pStyle w:val="ListParagraph"/>
        <w:numPr>
          <w:ilvl w:val="0"/>
          <w:numId w:val="10"/>
        </w:numPr>
        <w:spacing w:after="0" w:line="259" w:lineRule="auto"/>
        <w:ind w:left="426" w:hanging="426"/>
        <w:rPr>
          <w:rFonts w:cs="Arial"/>
        </w:rPr>
      </w:pPr>
      <w:r w:rsidRPr="00BA1EF9">
        <w:rPr>
          <w:rFonts w:cs="Arial"/>
        </w:rPr>
        <w:t>Local and national strategies</w:t>
      </w:r>
      <w:r>
        <w:rPr>
          <w:rFonts w:cs="Arial"/>
        </w:rPr>
        <w:t>.</w:t>
      </w:r>
    </w:p>
    <w:p w14:paraId="61A16737" w14:textId="77777777" w:rsidR="00116149" w:rsidRPr="00BA1EF9" w:rsidRDefault="00116149" w:rsidP="00116149">
      <w:pPr>
        <w:pStyle w:val="Heading1"/>
        <w:rPr>
          <w:rFonts w:ascii="Arial" w:hAnsi="Arial" w:cs="Arial"/>
          <w:sz w:val="22"/>
          <w:szCs w:val="22"/>
        </w:rPr>
      </w:pPr>
      <w:r w:rsidRPr="00BA1EF9">
        <w:rPr>
          <w:rFonts w:ascii="Arial" w:hAnsi="Arial" w:cs="Arial"/>
          <w:sz w:val="22"/>
          <w:szCs w:val="22"/>
        </w:rPr>
        <w:t>Consultation</w:t>
      </w:r>
    </w:p>
    <w:p w14:paraId="0801860C" w14:textId="77777777" w:rsidR="00116149" w:rsidRPr="00BA1EF9" w:rsidRDefault="00116149" w:rsidP="00116149">
      <w:pPr>
        <w:rPr>
          <w:rFonts w:cs="Arial"/>
          <w:u w:val="single"/>
        </w:rPr>
      </w:pPr>
      <w:r w:rsidRPr="00BA1EF9">
        <w:rPr>
          <w:rFonts w:cs="Arial"/>
          <w:u w:val="single"/>
        </w:rPr>
        <w:t>Patient survey</w:t>
      </w:r>
    </w:p>
    <w:p w14:paraId="3D801E66" w14:textId="6F7EB3EB" w:rsidR="00116149" w:rsidRPr="00BA1EF9" w:rsidRDefault="00116149" w:rsidP="00116149">
      <w:pPr>
        <w:rPr>
          <w:rFonts w:cs="Arial"/>
        </w:rPr>
      </w:pPr>
      <w:r w:rsidRPr="00BA1EF9">
        <w:rPr>
          <w:rFonts w:cs="Arial"/>
        </w:rPr>
        <w:t xml:space="preserve">A voluntary patient survey to assess levels of satisfaction with existing pharmaceutical services across the county was undertaken. Dates for the survey were </w:t>
      </w:r>
      <w:r w:rsidR="0A49592E" w:rsidRPr="00BA1EF9">
        <w:rPr>
          <w:rFonts w:cs="Arial"/>
        </w:rPr>
        <w:t>f</w:t>
      </w:r>
      <w:r w:rsidR="0A49592E" w:rsidRPr="206C3FD6">
        <w:rPr>
          <w:rFonts w:cs="Arial"/>
        </w:rPr>
        <w:t>rom 13th</w:t>
      </w:r>
      <w:r w:rsidRPr="206C3FD6">
        <w:rPr>
          <w:rFonts w:cs="Arial"/>
        </w:rPr>
        <w:t xml:space="preserve"> December </w:t>
      </w:r>
      <w:r w:rsidR="0A49592E" w:rsidRPr="206C3FD6">
        <w:rPr>
          <w:rFonts w:cs="Arial"/>
        </w:rPr>
        <w:t>2024 to 10th</w:t>
      </w:r>
      <w:r w:rsidRPr="206C3FD6">
        <w:rPr>
          <w:rFonts w:cs="Arial"/>
        </w:rPr>
        <w:t xml:space="preserve"> January </w:t>
      </w:r>
      <w:r w:rsidR="0A49592E" w:rsidRPr="206C3FD6">
        <w:rPr>
          <w:rFonts w:cs="Arial"/>
        </w:rPr>
        <w:t>2025.</w:t>
      </w:r>
    </w:p>
    <w:p w14:paraId="771B170D" w14:textId="77777777" w:rsidR="00116149" w:rsidRPr="00BA1EF9" w:rsidRDefault="00116149" w:rsidP="00116149">
      <w:pPr>
        <w:rPr>
          <w:rFonts w:cs="Arial"/>
        </w:rPr>
      </w:pPr>
      <w:r w:rsidRPr="00BA1EF9">
        <w:rPr>
          <w:rFonts w:cs="Arial"/>
        </w:rPr>
        <w:t xml:space="preserve">Questions recommended in the DHSC PNA information pack were included. </w:t>
      </w:r>
    </w:p>
    <w:p w14:paraId="6550526B" w14:textId="21C0B297" w:rsidR="00116149" w:rsidRPr="00395711" w:rsidRDefault="00116149" w:rsidP="00116149">
      <w:pPr>
        <w:rPr>
          <w:rFonts w:cs="Arial"/>
        </w:rPr>
      </w:pPr>
      <w:r w:rsidRPr="00395711">
        <w:rPr>
          <w:rFonts w:cs="Arial"/>
        </w:rPr>
        <w:t xml:space="preserve">The survey was promoted by ECC communications and all partner </w:t>
      </w:r>
      <w:r w:rsidR="00D7450E" w:rsidRPr="00395711">
        <w:rPr>
          <w:rFonts w:cs="Arial"/>
        </w:rPr>
        <w:t>organi</w:t>
      </w:r>
      <w:r w:rsidR="004F5AE9">
        <w:rPr>
          <w:rFonts w:cs="Arial"/>
        </w:rPr>
        <w:t>s</w:t>
      </w:r>
      <w:r w:rsidR="00D7450E" w:rsidRPr="00395711">
        <w:rPr>
          <w:rFonts w:cs="Arial"/>
        </w:rPr>
        <w:t>ations</w:t>
      </w:r>
      <w:r w:rsidRPr="00395711">
        <w:rPr>
          <w:rFonts w:cs="Arial"/>
        </w:rPr>
        <w:t xml:space="preserve">. </w:t>
      </w:r>
    </w:p>
    <w:p w14:paraId="5576C715" w14:textId="77777777" w:rsidR="00116149" w:rsidRPr="00395711" w:rsidRDefault="00116149" w:rsidP="00116149">
      <w:pPr>
        <w:rPr>
          <w:rStyle w:val="normaltextrun"/>
          <w:rFonts w:cs="Arial"/>
          <w:color w:val="000000"/>
          <w:shd w:val="clear" w:color="auto" w:fill="FFFFFF"/>
        </w:rPr>
      </w:pPr>
      <w:r w:rsidRPr="00395711">
        <w:t xml:space="preserve">The public were informed by Healthwatch, all community pharmacies and GP surgeries. </w:t>
      </w:r>
    </w:p>
    <w:p w14:paraId="48C06644" w14:textId="77777777" w:rsidR="00116149" w:rsidRPr="00BA1EF9" w:rsidRDefault="00116149" w:rsidP="00116149">
      <w:pPr>
        <w:rPr>
          <w:rStyle w:val="normaltextrun"/>
          <w:rFonts w:cs="Arial"/>
          <w:color w:val="000000"/>
          <w:shd w:val="clear" w:color="auto" w:fill="FFFFFF"/>
        </w:rPr>
      </w:pPr>
      <w:r>
        <w:rPr>
          <w:rStyle w:val="normaltextrun"/>
          <w:rFonts w:cs="Arial"/>
          <w:color w:val="000000"/>
          <w:shd w:val="clear" w:color="auto" w:fill="FFFFFF"/>
        </w:rPr>
        <w:t>The timelines of this survey were moved due to representations made by a parish council about proposed dates for the statutory consultation.</w:t>
      </w:r>
    </w:p>
    <w:p w14:paraId="18201F4A" w14:textId="77777777" w:rsidR="00116149" w:rsidRPr="00BA1EF9" w:rsidRDefault="00116149" w:rsidP="00116149">
      <w:pPr>
        <w:rPr>
          <w:rStyle w:val="normaltextrun"/>
          <w:rFonts w:cs="Arial"/>
          <w:color w:val="000000"/>
          <w:u w:val="single"/>
          <w:shd w:val="clear" w:color="auto" w:fill="FFFFFF"/>
        </w:rPr>
      </w:pPr>
      <w:r w:rsidRPr="00BA1EF9">
        <w:rPr>
          <w:rStyle w:val="normaltextrun"/>
          <w:rFonts w:cs="Arial"/>
          <w:color w:val="000000"/>
          <w:u w:val="single"/>
          <w:shd w:val="clear" w:color="auto" w:fill="FFFFFF"/>
        </w:rPr>
        <w:t>Statutory consultation</w:t>
      </w:r>
    </w:p>
    <w:p w14:paraId="235D1288" w14:textId="49FCB371" w:rsidR="00116149" w:rsidRPr="002B32E1" w:rsidRDefault="00116149" w:rsidP="00116149">
      <w:pPr>
        <w:rPr>
          <w:rStyle w:val="normaltextrun"/>
          <w:rFonts w:cs="Arial"/>
          <w:color w:val="000000"/>
          <w:shd w:val="clear" w:color="auto" w:fill="FFFFFF"/>
        </w:rPr>
      </w:pPr>
      <w:r w:rsidRPr="002B32E1">
        <w:rPr>
          <w:rStyle w:val="normaltextrun"/>
          <w:rFonts w:cs="Arial"/>
          <w:color w:val="000000"/>
          <w:shd w:val="clear" w:color="auto" w:fill="FFFFFF"/>
        </w:rPr>
        <w:t xml:space="preserve">Regulation 8 requires the </w:t>
      </w:r>
      <w:r>
        <w:rPr>
          <w:rStyle w:val="normaltextrun"/>
          <w:rFonts w:cs="Arial"/>
          <w:color w:val="000000"/>
          <w:shd w:val="clear" w:color="auto" w:fill="FFFFFF"/>
        </w:rPr>
        <w:t>HWB</w:t>
      </w:r>
      <w:r w:rsidRPr="002B32E1">
        <w:rPr>
          <w:rStyle w:val="normaltextrun"/>
          <w:rFonts w:cs="Arial"/>
          <w:color w:val="000000"/>
          <w:shd w:val="clear" w:color="auto" w:fill="FFFFFF"/>
        </w:rPr>
        <w:t xml:space="preserve"> to consult a specified range of </w:t>
      </w:r>
      <w:r w:rsidR="00D7450E" w:rsidRPr="002B32E1">
        <w:rPr>
          <w:rStyle w:val="normaltextrun"/>
          <w:rFonts w:cs="Arial"/>
          <w:color w:val="000000"/>
          <w:shd w:val="clear" w:color="auto" w:fill="FFFFFF"/>
        </w:rPr>
        <w:t>organi</w:t>
      </w:r>
      <w:r w:rsidR="004F5AE9">
        <w:rPr>
          <w:rStyle w:val="normaltextrun"/>
          <w:rFonts w:cs="Arial"/>
          <w:color w:val="000000"/>
          <w:shd w:val="clear" w:color="auto" w:fill="FFFFFF"/>
        </w:rPr>
        <w:t>s</w:t>
      </w:r>
      <w:r w:rsidR="00D7450E" w:rsidRPr="002B32E1">
        <w:rPr>
          <w:rStyle w:val="normaltextrun"/>
          <w:rFonts w:cs="Arial"/>
          <w:color w:val="000000"/>
          <w:shd w:val="clear" w:color="auto" w:fill="FFFFFF"/>
        </w:rPr>
        <w:t>ations</w:t>
      </w:r>
      <w:r w:rsidRPr="002B32E1">
        <w:rPr>
          <w:rStyle w:val="normaltextrun"/>
          <w:rFonts w:cs="Arial"/>
          <w:color w:val="000000"/>
          <w:shd w:val="clear" w:color="auto" w:fill="FFFFFF"/>
        </w:rPr>
        <w:t xml:space="preserve"> on a draft of the pharmaceutical needs assessment at least once during the process of drafting the document. </w:t>
      </w:r>
    </w:p>
    <w:p w14:paraId="449CAB2C" w14:textId="77777777" w:rsidR="00116149" w:rsidRPr="002B32E1" w:rsidRDefault="00116149" w:rsidP="00116149">
      <w:pPr>
        <w:rPr>
          <w:rStyle w:val="normaltextrun"/>
          <w:rFonts w:cs="Arial"/>
          <w:color w:val="000000"/>
          <w:shd w:val="clear" w:color="auto" w:fill="FFFFFF"/>
        </w:rPr>
      </w:pPr>
      <w:r w:rsidRPr="002B32E1">
        <w:rPr>
          <w:rStyle w:val="normaltextrun"/>
          <w:rFonts w:cs="Arial"/>
          <w:color w:val="000000"/>
          <w:shd w:val="clear" w:color="auto" w:fill="FFFFFF"/>
        </w:rPr>
        <w:t>They must be given a minimum period of 60 days to submit their response.</w:t>
      </w:r>
    </w:p>
    <w:p w14:paraId="495F8090" w14:textId="3FA36C2A" w:rsidR="00116149" w:rsidRPr="002B32E1" w:rsidRDefault="00116149" w:rsidP="00116149">
      <w:pPr>
        <w:rPr>
          <w:rStyle w:val="normaltextrun"/>
          <w:rFonts w:cs="Arial"/>
          <w:color w:val="000000"/>
          <w:shd w:val="clear" w:color="auto" w:fill="FFFFFF"/>
        </w:rPr>
      </w:pPr>
      <w:r w:rsidRPr="002B32E1">
        <w:rPr>
          <w:rStyle w:val="normaltextrun"/>
          <w:rFonts w:cs="Arial"/>
          <w:color w:val="000000"/>
          <w:shd w:val="clear" w:color="auto" w:fill="FFFFFF"/>
        </w:rPr>
        <w:t xml:space="preserve">A statutory 60-day consultation on the draft Essex HWB PNA was undertaken from </w:t>
      </w:r>
      <w:r w:rsidR="4EF1C069" w:rsidRPr="206C3FD6">
        <w:rPr>
          <w:rStyle w:val="normaltextrun"/>
          <w:rFonts w:cs="Arial"/>
          <w:color w:val="000000" w:themeColor="text1"/>
        </w:rPr>
        <w:t>13th June 2025</w:t>
      </w:r>
      <w:r w:rsidRPr="206C3FD6">
        <w:rPr>
          <w:rStyle w:val="normaltextrun"/>
          <w:rFonts w:cs="Arial"/>
          <w:color w:val="000000" w:themeColor="text1"/>
        </w:rPr>
        <w:t xml:space="preserve"> to </w:t>
      </w:r>
      <w:r w:rsidR="4EF1C069" w:rsidRPr="206C3FD6">
        <w:rPr>
          <w:rStyle w:val="normaltextrun"/>
          <w:rFonts w:cs="Arial"/>
          <w:color w:val="000000" w:themeColor="text1"/>
        </w:rPr>
        <w:t>13th</w:t>
      </w:r>
      <w:r w:rsidRPr="206C3FD6">
        <w:rPr>
          <w:rStyle w:val="normaltextrun"/>
          <w:rFonts w:cs="Arial"/>
          <w:color w:val="000000" w:themeColor="text1"/>
        </w:rPr>
        <w:t xml:space="preserve"> August </w:t>
      </w:r>
      <w:r w:rsidR="4EF1C069" w:rsidRPr="206C3FD6">
        <w:rPr>
          <w:rStyle w:val="normaltextrun"/>
          <w:rFonts w:cs="Arial"/>
          <w:color w:val="000000" w:themeColor="text1"/>
        </w:rPr>
        <w:t>2025</w:t>
      </w:r>
      <w:r w:rsidRPr="002B32E1">
        <w:rPr>
          <w:rStyle w:val="normaltextrun"/>
          <w:rFonts w:cs="Arial"/>
          <w:color w:val="000000"/>
          <w:shd w:val="clear" w:color="auto" w:fill="FFFFFF"/>
        </w:rPr>
        <w:t>.</w:t>
      </w:r>
    </w:p>
    <w:p w14:paraId="6FD3FC63" w14:textId="77777777" w:rsidR="00116149" w:rsidRDefault="00116149" w:rsidP="00116149">
      <w:pPr>
        <w:rPr>
          <w:rStyle w:val="normaltextrun"/>
          <w:rFonts w:cs="Arial"/>
          <w:color w:val="000000"/>
          <w:shd w:val="clear" w:color="auto" w:fill="FFFFFF"/>
        </w:rPr>
      </w:pPr>
      <w:r w:rsidRPr="002B32E1">
        <w:rPr>
          <w:rStyle w:val="normaltextrun"/>
          <w:rFonts w:cs="Arial"/>
          <w:color w:val="000000"/>
          <w:shd w:val="clear" w:color="auto" w:fill="FFFFFF"/>
        </w:rPr>
        <w:t>The regulations stipulate the organisations must be consulted.</w:t>
      </w:r>
      <w:r>
        <w:rPr>
          <w:rStyle w:val="normaltextrun"/>
          <w:rFonts w:cs="Arial"/>
          <w:color w:val="000000"/>
          <w:shd w:val="clear" w:color="auto" w:fill="FFFFFF"/>
        </w:rPr>
        <w:t xml:space="preserve"> </w:t>
      </w:r>
    </w:p>
    <w:p w14:paraId="32864745" w14:textId="77777777" w:rsidR="00116149" w:rsidRPr="00BA1EF9" w:rsidRDefault="00116149" w:rsidP="00116149">
      <w:pPr>
        <w:rPr>
          <w:rFonts w:cs="Arial"/>
        </w:rPr>
      </w:pPr>
      <w:r w:rsidRPr="00BA1EF9">
        <w:rPr>
          <w:rStyle w:val="normaltextrun"/>
          <w:rFonts w:cs="Arial"/>
          <w:color w:val="000000"/>
          <w:shd w:val="clear" w:color="auto" w:fill="FFFFFF"/>
        </w:rPr>
        <w:t xml:space="preserve">The statutory consultation was </w:t>
      </w:r>
      <w:r w:rsidRPr="00BA1EF9">
        <w:rPr>
          <w:rFonts w:cs="Arial"/>
        </w:rPr>
        <w:t xml:space="preserve">promoted by ECC communications, and all partner organisations stated in the regulations were notified. </w:t>
      </w:r>
    </w:p>
    <w:p w14:paraId="6468EBB8" w14:textId="0941FB1B" w:rsidR="00116149" w:rsidRPr="00BA1EF9" w:rsidRDefault="5974A206" w:rsidP="00116149">
      <w:pPr>
        <w:rPr>
          <w:rFonts w:cs="Arial"/>
        </w:rPr>
      </w:pPr>
      <w:r w:rsidRPr="206C3FD6">
        <w:rPr>
          <w:rFonts w:cs="Arial"/>
        </w:rPr>
        <w:t>9</w:t>
      </w:r>
      <w:r w:rsidR="00116149" w:rsidRPr="00BA1EF9">
        <w:rPr>
          <w:rFonts w:cs="Arial"/>
        </w:rPr>
        <w:t xml:space="preserve"> responses were received via the consultation portal.</w:t>
      </w:r>
    </w:p>
    <w:p w14:paraId="2827E0E4" w14:textId="6A0E6B3D" w:rsidR="00116149" w:rsidRPr="00BA1EF9" w:rsidRDefault="50AC0E8C" w:rsidP="00116149">
      <w:pPr>
        <w:rPr>
          <w:rFonts w:cs="Arial"/>
        </w:rPr>
      </w:pPr>
      <w:r w:rsidRPr="206C3FD6">
        <w:rPr>
          <w:rFonts w:cs="Arial"/>
        </w:rPr>
        <w:t>1</w:t>
      </w:r>
      <w:r w:rsidR="00116149" w:rsidRPr="00BA1EF9">
        <w:rPr>
          <w:rFonts w:cs="Arial"/>
        </w:rPr>
        <w:t xml:space="preserve"> other email representations have also been received as part of the consultation and </w:t>
      </w:r>
      <w:r w:rsidR="00116149">
        <w:rPr>
          <w:rFonts w:cs="Arial"/>
        </w:rPr>
        <w:t>have been</w:t>
      </w:r>
      <w:r w:rsidR="00116149" w:rsidRPr="00BA1EF9">
        <w:rPr>
          <w:rFonts w:cs="Arial"/>
        </w:rPr>
        <w:t xml:space="preserve"> </w:t>
      </w:r>
      <w:r w:rsidR="00116149">
        <w:rPr>
          <w:rFonts w:cs="Arial"/>
        </w:rPr>
        <w:t>included in t</w:t>
      </w:r>
      <w:r w:rsidR="00116149" w:rsidRPr="00BA1EF9">
        <w:rPr>
          <w:rFonts w:cs="Arial"/>
        </w:rPr>
        <w:t xml:space="preserve">he analysis </w:t>
      </w:r>
      <w:r w:rsidR="00116149">
        <w:rPr>
          <w:rFonts w:cs="Arial"/>
        </w:rPr>
        <w:t>in this report</w:t>
      </w:r>
      <w:r w:rsidR="00116149" w:rsidRPr="00BA1EF9">
        <w:rPr>
          <w:rFonts w:cs="Arial"/>
        </w:rPr>
        <w:t>.</w:t>
      </w:r>
    </w:p>
    <w:p w14:paraId="1CEB45A6" w14:textId="77777777" w:rsidR="00116149" w:rsidRPr="00BA1EF9" w:rsidRDefault="00116149" w:rsidP="00116149">
      <w:pPr>
        <w:rPr>
          <w:rFonts w:cs="Arial"/>
        </w:rPr>
      </w:pPr>
      <w:r>
        <w:rPr>
          <w:rFonts w:cs="Arial"/>
        </w:rPr>
        <w:t>This</w:t>
      </w:r>
      <w:r w:rsidRPr="00BA1EF9">
        <w:rPr>
          <w:rFonts w:cs="Arial"/>
        </w:rPr>
        <w:t xml:space="preserve"> consultation report will be included in the final PNA.</w:t>
      </w:r>
    </w:p>
    <w:p w14:paraId="08DBBB56"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lastRenderedPageBreak/>
        <w:t>Access for disabled patients</w:t>
      </w:r>
    </w:p>
    <w:p w14:paraId="70AE9766" w14:textId="77777777" w:rsidR="00116149" w:rsidRPr="00C04C9E" w:rsidRDefault="00116149" w:rsidP="00116149">
      <w:r w:rsidRPr="00C04C9E">
        <w:t xml:space="preserve">Pharmacy premises are required to make “reasonable adjustments” to make services accessible. These are not enforceable by NHSE. </w:t>
      </w:r>
    </w:p>
    <w:p w14:paraId="74F316FE" w14:textId="77777777" w:rsidR="00116149" w:rsidRPr="00C04C9E" w:rsidRDefault="00116149" w:rsidP="00116149">
      <w:pPr>
        <w:pStyle w:val="Heading2"/>
        <w:rPr>
          <w:rFonts w:ascii="Arial" w:hAnsi="Arial" w:cs="Arial"/>
          <w:sz w:val="22"/>
          <w:szCs w:val="22"/>
        </w:rPr>
      </w:pPr>
      <w:r w:rsidRPr="00C04C9E">
        <w:rPr>
          <w:rFonts w:ascii="Arial" w:hAnsi="Arial" w:cs="Arial"/>
          <w:sz w:val="22"/>
          <w:szCs w:val="22"/>
        </w:rPr>
        <w:t>Complaints about a pharmacy</w:t>
      </w:r>
    </w:p>
    <w:p w14:paraId="2CC600B1" w14:textId="77777777" w:rsidR="00116149" w:rsidRPr="00C04C9E" w:rsidRDefault="00116149" w:rsidP="00116149">
      <w:r w:rsidRPr="00C04C9E">
        <w:t xml:space="preserve">Complaints about the services provided by a pharmacy should be addressed in the first place to the Pharmacy itself. </w:t>
      </w:r>
    </w:p>
    <w:p w14:paraId="431547DD" w14:textId="77777777" w:rsidR="00116149" w:rsidRPr="00C04C9E" w:rsidRDefault="00116149" w:rsidP="00116149">
      <w:r w:rsidRPr="00C04C9E">
        <w:t xml:space="preserve">These can further be escalated to NHSE at </w:t>
      </w:r>
      <w:hyperlink r:id="rId20" w:history="1">
        <w:r w:rsidRPr="00C04C9E">
          <w:rPr>
            <w:rStyle w:val="Hyperlink"/>
            <w:rFonts w:cs="Arial"/>
            <w:color w:val="003087"/>
            <w:bdr w:val="none" w:sz="0" w:space="0" w:color="auto" w:frame="1"/>
            <w:shd w:val="clear" w:color="auto" w:fill="FFFFFF"/>
          </w:rPr>
          <w:t>england.contactus@nhs.net</w:t>
        </w:r>
      </w:hyperlink>
    </w:p>
    <w:p w14:paraId="2272C0A7" w14:textId="77777777" w:rsidR="00116149" w:rsidRPr="00BA1EF9" w:rsidRDefault="00116149" w:rsidP="00116149">
      <w:pPr>
        <w:rPr>
          <w:rStyle w:val="Heading2Char"/>
          <w:rFonts w:cs="Arial"/>
        </w:rPr>
      </w:pPr>
      <w:r w:rsidRPr="00BA1EF9">
        <w:rPr>
          <w:rStyle w:val="Heading2Char"/>
          <w:rFonts w:cs="Arial"/>
        </w:rPr>
        <w:t>Opening hours and workforce.</w:t>
      </w:r>
    </w:p>
    <w:p w14:paraId="27559891" w14:textId="77777777" w:rsidR="00116149" w:rsidRPr="00BA1EF9" w:rsidRDefault="00116149" w:rsidP="00116149">
      <w:pPr>
        <w:rPr>
          <w:rFonts w:cs="Arial"/>
        </w:rPr>
      </w:pPr>
      <w:r>
        <w:rPr>
          <w:rFonts w:cs="Arial"/>
        </w:rPr>
        <w:t>The c</w:t>
      </w:r>
      <w:r w:rsidRPr="00BA1EF9">
        <w:rPr>
          <w:rFonts w:cs="Arial"/>
        </w:rPr>
        <w:t>ore contract for each pharmaceutical contractor must be met</w:t>
      </w:r>
      <w:r>
        <w:rPr>
          <w:rFonts w:cs="Arial"/>
        </w:rPr>
        <w:t>, complaints can be made as stated above if these are met</w:t>
      </w:r>
      <w:r w:rsidRPr="00BA1EF9">
        <w:rPr>
          <w:rFonts w:cs="Arial"/>
        </w:rPr>
        <w:t>. The covid-19 pandemic and workforce issues are widely acknowledged and have led to pharmacies across the country having to reduce hours. This is done in conversations with NHSE as the contract holders.</w:t>
      </w:r>
    </w:p>
    <w:p w14:paraId="19CABA9C" w14:textId="77777777" w:rsidR="00116149" w:rsidRDefault="00116149" w:rsidP="00116149">
      <w:pPr>
        <w:rPr>
          <w:rFonts w:cs="Arial"/>
        </w:rPr>
      </w:pPr>
      <w:r w:rsidRPr="00BA1EF9">
        <w:rPr>
          <w:rStyle w:val="Heading2Char"/>
          <w:rFonts w:cs="Arial"/>
        </w:rPr>
        <w:t>Delivery services and Dossett boxes</w:t>
      </w:r>
      <w:r w:rsidRPr="00BA1EF9">
        <w:rPr>
          <w:rFonts w:cs="Arial"/>
        </w:rPr>
        <w:t xml:space="preserve"> </w:t>
      </w:r>
    </w:p>
    <w:p w14:paraId="1165B489" w14:textId="77777777" w:rsidR="00116149" w:rsidRPr="00BA1EF9" w:rsidRDefault="00116149" w:rsidP="00116149">
      <w:pPr>
        <w:rPr>
          <w:rFonts w:cs="Arial"/>
        </w:rPr>
      </w:pPr>
      <w:r>
        <w:rPr>
          <w:rFonts w:cs="Arial"/>
        </w:rPr>
        <w:t xml:space="preserve">These </w:t>
      </w:r>
      <w:r w:rsidRPr="00BA1EF9">
        <w:rPr>
          <w:rFonts w:cs="Arial"/>
        </w:rPr>
        <w:t>are not NHS pharmaceutical services</w:t>
      </w:r>
      <w:r>
        <w:rPr>
          <w:rFonts w:cs="Arial"/>
        </w:rPr>
        <w:t>.</w:t>
      </w:r>
    </w:p>
    <w:p w14:paraId="05CBB8A6" w14:textId="77777777" w:rsidR="00116149" w:rsidRDefault="00116149" w:rsidP="00116149">
      <w:pPr>
        <w:rPr>
          <w:rFonts w:cs="Arial"/>
        </w:rPr>
      </w:pPr>
      <w:r w:rsidRPr="00E8459D">
        <w:rPr>
          <w:rFonts w:cs="Arial"/>
        </w:rPr>
        <w:t>Pharmacies are not required to provide these services as they are not commissioned.</w:t>
      </w:r>
    </w:p>
    <w:p w14:paraId="737779B7" w14:textId="77777777" w:rsidR="00116149" w:rsidRPr="00E8459D" w:rsidRDefault="00116149" w:rsidP="00116149">
      <w:pPr>
        <w:rPr>
          <w:rFonts w:cs="Arial"/>
        </w:rPr>
      </w:pPr>
      <w:r>
        <w:rPr>
          <w:rFonts w:cs="Arial"/>
        </w:rPr>
        <w:t>(</w:t>
      </w:r>
      <w:r w:rsidRPr="00E8459D">
        <w:rPr>
          <w:rFonts w:cs="Arial"/>
        </w:rPr>
        <w:t>During the Covid-19 pandemic there was a brief period during which NHSE commissioned a delivery service</w:t>
      </w:r>
      <w:r>
        <w:rPr>
          <w:rFonts w:cs="Arial"/>
        </w:rPr>
        <w:t>. This was not an essential service and not all pharmacies chose to provide it)</w:t>
      </w:r>
      <w:r w:rsidRPr="00E8459D">
        <w:rPr>
          <w:rFonts w:cs="Arial"/>
        </w:rPr>
        <w:t>.</w:t>
      </w:r>
    </w:p>
    <w:p w14:paraId="49855146"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Housing and neighbouring housing in other area PNAs</w:t>
      </w:r>
    </w:p>
    <w:p w14:paraId="1A8BC492" w14:textId="77777777" w:rsidR="00116149" w:rsidRDefault="00116149" w:rsidP="00116149">
      <w:pPr>
        <w:rPr>
          <w:rFonts w:cs="Arial"/>
        </w:rPr>
      </w:pPr>
      <w:r w:rsidRPr="00BA1EF9">
        <w:rPr>
          <w:rFonts w:cs="Arial"/>
        </w:rPr>
        <w:t xml:space="preserve">Housing developments across Essex have been analysed and existing pharmacies in the area and neighbouring areas are </w:t>
      </w:r>
      <w:r>
        <w:rPr>
          <w:rFonts w:cs="Arial"/>
        </w:rPr>
        <w:t>identified</w:t>
      </w:r>
      <w:r w:rsidRPr="00BA1EF9">
        <w:rPr>
          <w:rFonts w:cs="Arial"/>
        </w:rPr>
        <w:t xml:space="preserve"> to be able to cope with any increase in demand</w:t>
      </w:r>
      <w:r>
        <w:rPr>
          <w:rFonts w:cs="Arial"/>
        </w:rPr>
        <w:t xml:space="preserve"> over the lifetime of this PNA</w:t>
      </w:r>
      <w:r w:rsidRPr="00BA1EF9">
        <w:rPr>
          <w:rFonts w:cs="Arial"/>
        </w:rPr>
        <w:t xml:space="preserve">. </w:t>
      </w:r>
    </w:p>
    <w:p w14:paraId="7F00DC38" w14:textId="77777777" w:rsidR="00116149" w:rsidRPr="00BA1EF9" w:rsidRDefault="00116149" w:rsidP="00116149">
      <w:pPr>
        <w:rPr>
          <w:rFonts w:cs="Arial"/>
        </w:rPr>
      </w:pPr>
      <w:r w:rsidRPr="00BA1EF9">
        <w:rPr>
          <w:rFonts w:cs="Arial"/>
        </w:rPr>
        <w:t>No gaps have been identified in the</w:t>
      </w:r>
      <w:r>
        <w:rPr>
          <w:rFonts w:cs="Arial"/>
        </w:rPr>
        <w:t xml:space="preserve"> </w:t>
      </w:r>
      <w:r w:rsidRPr="00BA1EF9">
        <w:rPr>
          <w:rFonts w:cs="Arial"/>
        </w:rPr>
        <w:t>Essex PNA</w:t>
      </w:r>
      <w:r>
        <w:rPr>
          <w:rFonts w:cs="Arial"/>
        </w:rPr>
        <w:t>.</w:t>
      </w:r>
    </w:p>
    <w:p w14:paraId="5F0D3F9C"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 xml:space="preserve">Cross border use </w:t>
      </w:r>
    </w:p>
    <w:p w14:paraId="1A4E39D6" w14:textId="78EA370C" w:rsidR="00116149" w:rsidRDefault="00116149" w:rsidP="00116149">
      <w:pPr>
        <w:rPr>
          <w:rFonts w:cs="Arial"/>
        </w:rPr>
      </w:pPr>
      <w:r w:rsidRPr="00BA1EF9">
        <w:rPr>
          <w:rFonts w:cs="Arial"/>
        </w:rPr>
        <w:t xml:space="preserve">Whilst patients registered with </w:t>
      </w:r>
      <w:r>
        <w:rPr>
          <w:rFonts w:cs="Arial"/>
        </w:rPr>
        <w:t>a</w:t>
      </w:r>
      <w:r w:rsidRPr="00BA1EF9">
        <w:rPr>
          <w:rFonts w:cs="Arial"/>
        </w:rPr>
        <w:t xml:space="preserve"> surgery may use Essex HWB </w:t>
      </w:r>
      <w:r w:rsidR="004B7DCE" w:rsidRPr="00BA1EF9">
        <w:rPr>
          <w:rFonts w:cs="Arial"/>
        </w:rPr>
        <w:t>pharmacies,</w:t>
      </w:r>
      <w:r w:rsidRPr="00BA1EF9">
        <w:rPr>
          <w:rFonts w:cs="Arial"/>
        </w:rPr>
        <w:t xml:space="preserve"> they can also use pharmacies in neighbouring areas</w:t>
      </w:r>
      <w:r>
        <w:rPr>
          <w:rFonts w:cs="Arial"/>
        </w:rPr>
        <w:t xml:space="preserve"> and distance selling pharmacies</w:t>
      </w:r>
      <w:r w:rsidRPr="00BA1EF9">
        <w:rPr>
          <w:rFonts w:cs="Arial"/>
        </w:rPr>
        <w:t>. There is no restriction on which pharmacy an individual chooses to use.</w:t>
      </w:r>
    </w:p>
    <w:p w14:paraId="460D8B60" w14:textId="77777777" w:rsidR="00116149" w:rsidRDefault="00116149" w:rsidP="00116149">
      <w:pPr>
        <w:rPr>
          <w:rFonts w:cs="Arial"/>
        </w:rPr>
      </w:pPr>
      <w:r>
        <w:rPr>
          <w:rStyle w:val="normaltextrun"/>
          <w:rFonts w:cs="Arial"/>
          <w:color w:val="000000"/>
          <w:shd w:val="clear" w:color="auto" w:fill="FFFFFF"/>
        </w:rPr>
        <w:t>With a 1.6KM (1 mile) buffer zone, there are 347 pharmacies across Essex and within a 1.6KM buffer zone around Essex, as shown on the map below:</w:t>
      </w:r>
    </w:p>
    <w:p w14:paraId="10A8CA67" w14:textId="77777777" w:rsidR="00116149" w:rsidRDefault="00116149" w:rsidP="00116149">
      <w:pPr>
        <w:rPr>
          <w:rFonts w:cs="Arial"/>
        </w:rPr>
      </w:pPr>
      <w:r w:rsidRPr="00BA1EF9">
        <w:rPr>
          <w:rFonts w:cs="Arial"/>
        </w:rPr>
        <w:lastRenderedPageBreak/>
        <w:t xml:space="preserve"> </w:t>
      </w:r>
      <w:r>
        <w:rPr>
          <w:rFonts w:cs="Arial"/>
          <w:noProof/>
        </w:rPr>
        <w:drawing>
          <wp:inline distT="0" distB="0" distL="0" distR="0" wp14:anchorId="07C11ABF" wp14:editId="32B35A01">
            <wp:extent cx="4495800" cy="3132271"/>
            <wp:effectExtent l="0" t="0" r="0" b="0"/>
            <wp:docPr id="14" name="Picture 14" descr="A map of a country with purple dots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map of a country with purple dots and white text&#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32802" cy="3158051"/>
                    </a:xfrm>
                    <a:prstGeom prst="rect">
                      <a:avLst/>
                    </a:prstGeom>
                    <a:noFill/>
                    <a:ln>
                      <a:noFill/>
                    </a:ln>
                  </pic:spPr>
                </pic:pic>
              </a:graphicData>
            </a:graphic>
          </wp:inline>
        </w:drawing>
      </w:r>
      <w:r>
        <w:rPr>
          <w:rFonts w:cs="Arial"/>
          <w:color w:val="000000"/>
          <w:shd w:val="clear" w:color="auto" w:fill="FFFFFF"/>
        </w:rPr>
        <w:br/>
      </w:r>
      <w:r>
        <w:rPr>
          <w:rFonts w:cs="Arial"/>
        </w:rPr>
        <w:t>Source: Shape maps</w:t>
      </w:r>
    </w:p>
    <w:p w14:paraId="366993CE" w14:textId="77777777" w:rsidR="00116149" w:rsidRDefault="00116149" w:rsidP="00116149">
      <w:pPr>
        <w:rPr>
          <w:rFonts w:cs="Arial"/>
        </w:rPr>
      </w:pPr>
      <w:r w:rsidRPr="00BA1EF9">
        <w:rPr>
          <w:rFonts w:cs="Arial"/>
        </w:rPr>
        <w:t xml:space="preserve">Dispensing analysis of prescriptions issued by </w:t>
      </w:r>
      <w:r>
        <w:rPr>
          <w:rFonts w:cs="Arial"/>
        </w:rPr>
        <w:t>surgeries</w:t>
      </w:r>
      <w:r w:rsidRPr="00BA1EF9">
        <w:rPr>
          <w:rFonts w:cs="Arial"/>
        </w:rPr>
        <w:t xml:space="preserve"> shows that patients use a variety of pharmacies nearer to their home, work, </w:t>
      </w:r>
      <w:r>
        <w:rPr>
          <w:rFonts w:cs="Arial"/>
        </w:rPr>
        <w:t>whilst travelling</w:t>
      </w:r>
      <w:r w:rsidRPr="00BA1EF9">
        <w:rPr>
          <w:rFonts w:cs="Arial"/>
        </w:rPr>
        <w:t xml:space="preserve"> or online. </w:t>
      </w:r>
    </w:p>
    <w:p w14:paraId="0B581D22" w14:textId="77777777" w:rsidR="00116149" w:rsidRPr="00BA1EF9" w:rsidRDefault="00116149" w:rsidP="00116149">
      <w:pPr>
        <w:rPr>
          <w:rFonts w:cs="Arial"/>
        </w:rPr>
      </w:pPr>
      <w:r w:rsidRPr="00D62059">
        <w:rPr>
          <w:rFonts w:cs="Arial"/>
        </w:rPr>
        <w:t xml:space="preserve">The provision of pharmaceutical services from neighbouring HWB areas is also acknowledged. </w:t>
      </w:r>
    </w:p>
    <w:p w14:paraId="4E6245EB"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Data</w:t>
      </w:r>
    </w:p>
    <w:p w14:paraId="2B21146D" w14:textId="77777777" w:rsidR="00116149" w:rsidRPr="002749EB" w:rsidRDefault="00116149" w:rsidP="00116149">
      <w:pPr>
        <w:rPr>
          <w:rFonts w:cs="Arial"/>
        </w:rPr>
      </w:pPr>
      <w:r w:rsidRPr="002749EB">
        <w:rPr>
          <w:rFonts w:cs="Arial"/>
        </w:rPr>
        <w:t>Data not provided in the PNA can be sourced from other datasets available on Open Data or partner organisations. Data used in the draft PNA has been referenced.</w:t>
      </w:r>
    </w:p>
    <w:p w14:paraId="2F195B16" w14:textId="77777777" w:rsidR="00116149" w:rsidRPr="00BA1EF9" w:rsidRDefault="00116149" w:rsidP="00116149">
      <w:pPr>
        <w:pStyle w:val="Heading2"/>
        <w:rPr>
          <w:rFonts w:ascii="Arial" w:hAnsi="Arial" w:cs="Arial"/>
          <w:sz w:val="22"/>
          <w:szCs w:val="22"/>
        </w:rPr>
      </w:pPr>
      <w:r w:rsidRPr="00BA1EF9">
        <w:rPr>
          <w:rFonts w:ascii="Arial" w:hAnsi="Arial" w:cs="Arial"/>
          <w:sz w:val="22"/>
          <w:szCs w:val="22"/>
        </w:rPr>
        <w:t>Rurality</w:t>
      </w:r>
    </w:p>
    <w:p w14:paraId="7AC82B63" w14:textId="77777777" w:rsidR="00116149" w:rsidRDefault="00116149" w:rsidP="00116149">
      <w:pPr>
        <w:rPr>
          <w:rFonts w:cs="Arial"/>
        </w:rPr>
      </w:pPr>
      <w:r>
        <w:rPr>
          <w:rFonts w:cs="Arial"/>
        </w:rPr>
        <w:t>Parts of Essex are</w:t>
      </w:r>
      <w:r w:rsidRPr="00BA1EF9">
        <w:rPr>
          <w:rFonts w:cs="Arial"/>
        </w:rPr>
        <w:t xml:space="preserve"> classed </w:t>
      </w:r>
      <w:r>
        <w:rPr>
          <w:rFonts w:cs="Arial"/>
        </w:rPr>
        <w:t xml:space="preserve">as </w:t>
      </w:r>
      <w:r w:rsidRPr="00BA1EF9">
        <w:rPr>
          <w:rFonts w:cs="Arial"/>
        </w:rPr>
        <w:t>rural are</w:t>
      </w:r>
      <w:r>
        <w:rPr>
          <w:rFonts w:cs="Arial"/>
        </w:rPr>
        <w:t>as</w:t>
      </w:r>
      <w:r w:rsidRPr="00BA1EF9">
        <w:rPr>
          <w:rFonts w:cs="Arial"/>
        </w:rPr>
        <w:t xml:space="preserve"> and travel times reflect this.</w:t>
      </w:r>
    </w:p>
    <w:p w14:paraId="6C357158" w14:textId="77777777" w:rsidR="00116149" w:rsidRPr="00D77233" w:rsidRDefault="00116149" w:rsidP="00116149">
      <w:pPr>
        <w:rPr>
          <w:rFonts w:cstheme="minorHAnsi"/>
        </w:rPr>
      </w:pPr>
      <w:r w:rsidRPr="00D77233">
        <w:rPr>
          <w:rFonts w:cstheme="minorHAnsi"/>
        </w:rPr>
        <w:t xml:space="preserve">The NHS (Pharmaceutical and Local Pharmaceutical Services) Regulations 2013, allow doctors to dispense to eligible patients in certain circumstances. In summary: </w:t>
      </w:r>
    </w:p>
    <w:p w14:paraId="594A2AE3" w14:textId="77777777" w:rsidR="00116149" w:rsidRPr="00D77233" w:rsidRDefault="00116149" w:rsidP="00116149">
      <w:pPr>
        <w:numPr>
          <w:ilvl w:val="0"/>
          <w:numId w:val="12"/>
        </w:numPr>
        <w:spacing w:after="0" w:line="240" w:lineRule="auto"/>
        <w:contextualSpacing/>
        <w:rPr>
          <w:rFonts w:cstheme="minorHAnsi"/>
        </w:rPr>
      </w:pPr>
      <w:r w:rsidRPr="00D77233">
        <w:rPr>
          <w:rFonts w:cstheme="minorHAnsi"/>
        </w:rPr>
        <w:t>Patients must live in a ‘controlled locality’ (an area which has been determined by NHS</w:t>
      </w:r>
      <w:r>
        <w:rPr>
          <w:rFonts w:cstheme="minorHAnsi"/>
        </w:rPr>
        <w:t>E&amp;I</w:t>
      </w:r>
      <w:r w:rsidRPr="00D77233">
        <w:rPr>
          <w:rFonts w:cstheme="minorHAnsi"/>
        </w:rPr>
        <w:t xml:space="preserve"> or a preceding organisation as rural in character), more than 1.6km (measured in a straight line) from a pharmacy (excluding distance selling premises) and </w:t>
      </w:r>
    </w:p>
    <w:p w14:paraId="0D5C324A" w14:textId="77777777" w:rsidR="00116149" w:rsidRPr="00D77233" w:rsidRDefault="00116149" w:rsidP="00116149">
      <w:pPr>
        <w:numPr>
          <w:ilvl w:val="0"/>
          <w:numId w:val="12"/>
        </w:numPr>
        <w:spacing w:after="0" w:line="240" w:lineRule="auto"/>
        <w:contextualSpacing/>
        <w:rPr>
          <w:rFonts w:cstheme="minorHAnsi"/>
        </w:rPr>
      </w:pPr>
      <w:r w:rsidRPr="00D77233">
        <w:rPr>
          <w:rFonts w:cstheme="minorHAnsi"/>
        </w:rPr>
        <w:t xml:space="preserve">Their practice must have premises approval and consent to dispense to that area </w:t>
      </w:r>
    </w:p>
    <w:p w14:paraId="250202F9" w14:textId="77777777" w:rsidR="00116149" w:rsidRPr="00BA1EF9" w:rsidRDefault="00116149" w:rsidP="00116149">
      <w:pPr>
        <w:rPr>
          <w:rFonts w:cs="Arial"/>
        </w:rPr>
      </w:pPr>
    </w:p>
    <w:p w14:paraId="5938C5E0" w14:textId="77777777" w:rsidR="00116149" w:rsidRDefault="00116149" w:rsidP="00116149">
      <w:pPr>
        <w:rPr>
          <w:rFonts w:cs="Arial"/>
        </w:rPr>
      </w:pPr>
      <w:r>
        <w:rPr>
          <w:rFonts w:cs="Arial"/>
        </w:rPr>
        <w:t>Residents in r</w:t>
      </w:r>
      <w:r w:rsidRPr="00BA1EF9">
        <w:rPr>
          <w:rFonts w:cs="Arial"/>
        </w:rPr>
        <w:t>ural areas have access to registering with dispensing doctor surgeries</w:t>
      </w:r>
      <w:r>
        <w:rPr>
          <w:rFonts w:cs="Arial"/>
        </w:rPr>
        <w:t xml:space="preserve"> if they meet the criteria</w:t>
      </w:r>
      <w:r w:rsidRPr="00BA1EF9">
        <w:rPr>
          <w:rFonts w:cs="Arial"/>
        </w:rPr>
        <w:t xml:space="preserve">. </w:t>
      </w:r>
    </w:p>
    <w:p w14:paraId="720BFDC9" w14:textId="77777777" w:rsidR="00116149" w:rsidRPr="00AF46B0" w:rsidRDefault="00116149" w:rsidP="00116149">
      <w:pPr>
        <w:pStyle w:val="Heading2"/>
        <w:rPr>
          <w:rFonts w:ascii="Arial" w:hAnsi="Arial" w:cs="Arial"/>
          <w:sz w:val="22"/>
          <w:szCs w:val="22"/>
        </w:rPr>
      </w:pPr>
      <w:r w:rsidRPr="00AF46B0">
        <w:rPr>
          <w:rFonts w:ascii="Arial" w:hAnsi="Arial" w:cs="Arial"/>
          <w:sz w:val="22"/>
          <w:szCs w:val="22"/>
        </w:rPr>
        <w:lastRenderedPageBreak/>
        <w:t>Choice</w:t>
      </w:r>
    </w:p>
    <w:p w14:paraId="5113F8F0" w14:textId="77777777" w:rsidR="00116149" w:rsidRDefault="00116149" w:rsidP="00116149">
      <w:pPr>
        <w:rPr>
          <w:rFonts w:cs="Arial"/>
        </w:rPr>
      </w:pPr>
      <w:r>
        <w:rPr>
          <w:rFonts w:cs="Arial"/>
        </w:rPr>
        <w:t xml:space="preserve">The PNA has determined </w:t>
      </w:r>
      <w:r w:rsidRPr="00BA1EF9">
        <w:rPr>
          <w:rFonts w:cs="Arial"/>
        </w:rPr>
        <w:t xml:space="preserve">that there is reasonable choice </w:t>
      </w:r>
      <w:proofErr w:type="gramStart"/>
      <w:r w:rsidRPr="00BA1EF9">
        <w:rPr>
          <w:rFonts w:cs="Arial"/>
        </w:rPr>
        <w:t>with regard to</w:t>
      </w:r>
      <w:proofErr w:type="gramEnd"/>
      <w:r w:rsidRPr="00BA1EF9">
        <w:rPr>
          <w:rFonts w:cs="Arial"/>
        </w:rPr>
        <w:t xml:space="preserve"> obtaining pharmaceutical services in the </w:t>
      </w:r>
      <w:r>
        <w:rPr>
          <w:rFonts w:cs="Arial"/>
        </w:rPr>
        <w:t>Essex HWB area and no gaps have been identified.</w:t>
      </w:r>
    </w:p>
    <w:p w14:paraId="0641DED7" w14:textId="77777777" w:rsidR="00116149" w:rsidRDefault="00116149" w:rsidP="00116149">
      <w:pPr>
        <w:rPr>
          <w:rFonts w:cs="Arial"/>
        </w:rPr>
      </w:pPr>
    </w:p>
    <w:p w14:paraId="42F04936" w14:textId="77777777" w:rsidR="00116149" w:rsidRDefault="00116149" w:rsidP="00116149">
      <w:pPr>
        <w:rPr>
          <w:rFonts w:cs="Arial"/>
        </w:rPr>
      </w:pPr>
    </w:p>
    <w:p w14:paraId="173564ED" w14:textId="77777777" w:rsidR="00116149" w:rsidRDefault="00116149" w:rsidP="00116149">
      <w:pPr>
        <w:rPr>
          <w:rFonts w:cs="Arial"/>
        </w:rPr>
      </w:pPr>
    </w:p>
    <w:p w14:paraId="766D966F" w14:textId="77777777" w:rsidR="00116149" w:rsidRPr="00BA1EF9" w:rsidRDefault="00116149" w:rsidP="00116149">
      <w:pPr>
        <w:rPr>
          <w:rFonts w:cs="Arial"/>
        </w:rPr>
      </w:pPr>
    </w:p>
    <w:p w14:paraId="65312552" w14:textId="77777777" w:rsidR="00116149" w:rsidRPr="00BB462D" w:rsidRDefault="00116149" w:rsidP="00116149">
      <w:pPr>
        <w:rPr>
          <w:rFonts w:cstheme="minorHAnsi"/>
        </w:rPr>
      </w:pPr>
      <w:r w:rsidRPr="00BB462D">
        <w:t xml:space="preserve">This report has been produced by the </w:t>
      </w:r>
      <w:r w:rsidRPr="00BB462D">
        <w:rPr>
          <w:rFonts w:cstheme="minorHAnsi"/>
        </w:rPr>
        <w:t>Essex County Council Public Health &amp; Public Health Intelligence Team.</w:t>
      </w:r>
    </w:p>
    <w:p w14:paraId="2971A484" w14:textId="77777777" w:rsidR="00116149" w:rsidRDefault="00116149" w:rsidP="00116149">
      <w:r w:rsidRPr="00BB462D">
        <w:rPr>
          <w:rFonts w:cstheme="minorHAnsi"/>
        </w:rPr>
        <w:t>Contact for queries</w:t>
      </w:r>
      <w:r>
        <w:rPr>
          <w:rFonts w:cstheme="minorHAnsi"/>
          <w:i/>
          <w:iCs/>
        </w:rPr>
        <w:t xml:space="preserve">: </w:t>
      </w:r>
      <w:hyperlink r:id="rId22" w:history="1">
        <w:r>
          <w:rPr>
            <w:rStyle w:val="Hyperlink"/>
            <w:rFonts w:cs="Arial"/>
          </w:rPr>
          <w:t>Public.Health@essex.gov.uk</w:t>
        </w:r>
      </w:hyperlink>
      <w:r>
        <w:rPr>
          <w:rFonts w:cs="Arial"/>
        </w:rPr>
        <w:br/>
      </w:r>
    </w:p>
    <w:p w14:paraId="6A5E45AA" w14:textId="77777777" w:rsidR="00CB22B8" w:rsidRDefault="00CB22B8"/>
    <w:sectPr w:rsidR="00CB22B8" w:rsidSect="00034616">
      <w:head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908B1" w14:textId="77777777" w:rsidR="003C2B4D" w:rsidRDefault="003C2B4D">
      <w:pPr>
        <w:spacing w:after="0" w:line="240" w:lineRule="auto"/>
      </w:pPr>
      <w:r>
        <w:separator/>
      </w:r>
    </w:p>
  </w:endnote>
  <w:endnote w:type="continuationSeparator" w:id="0">
    <w:p w14:paraId="30E13736" w14:textId="77777777" w:rsidR="003C2B4D" w:rsidRDefault="003C2B4D">
      <w:pPr>
        <w:spacing w:after="0" w:line="240" w:lineRule="auto"/>
      </w:pPr>
      <w:r>
        <w:continuationSeparator/>
      </w:r>
    </w:p>
  </w:endnote>
  <w:endnote w:type="continuationNotice" w:id="1">
    <w:p w14:paraId="39E1395A" w14:textId="77777777" w:rsidR="003C2B4D" w:rsidRDefault="003C2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8872" w14:textId="77777777" w:rsidR="003C2B4D" w:rsidRDefault="003C2B4D">
      <w:pPr>
        <w:spacing w:after="0" w:line="240" w:lineRule="auto"/>
      </w:pPr>
      <w:r>
        <w:separator/>
      </w:r>
    </w:p>
  </w:footnote>
  <w:footnote w:type="continuationSeparator" w:id="0">
    <w:p w14:paraId="595E3BFC" w14:textId="77777777" w:rsidR="003C2B4D" w:rsidRDefault="003C2B4D">
      <w:pPr>
        <w:spacing w:after="0" w:line="240" w:lineRule="auto"/>
      </w:pPr>
      <w:r>
        <w:continuationSeparator/>
      </w:r>
    </w:p>
  </w:footnote>
  <w:footnote w:type="continuationNotice" w:id="1">
    <w:p w14:paraId="4465E076" w14:textId="77777777" w:rsidR="003C2B4D" w:rsidRDefault="003C2B4D">
      <w:pPr>
        <w:spacing w:after="0" w:line="240" w:lineRule="auto"/>
      </w:pPr>
    </w:p>
  </w:footnote>
  <w:footnote w:id="2">
    <w:p w14:paraId="296855BC" w14:textId="77777777" w:rsidR="00116149" w:rsidRDefault="00116149" w:rsidP="00116149">
      <w:pPr>
        <w:pStyle w:val="FootnoteText"/>
      </w:pPr>
      <w:r>
        <w:rPr>
          <w:rStyle w:val="FootnoteReference"/>
        </w:rPr>
        <w:footnoteRef/>
      </w:r>
      <w:r>
        <w:t xml:space="preserve"> NHS (Pharmaceutical Services and Local Pharmaceutical Services) Regulations 2013,</w:t>
      </w:r>
    </w:p>
    <w:p w14:paraId="22ADC75E" w14:textId="77777777" w:rsidR="00116149" w:rsidRDefault="00116149" w:rsidP="00116149">
      <w:pPr>
        <w:pStyle w:val="FootnoteText"/>
      </w:pPr>
      <w:r>
        <w:t>as amended (the 2013 regulations)</w:t>
      </w:r>
    </w:p>
  </w:footnote>
  <w:footnote w:id="3">
    <w:p w14:paraId="7FC63238" w14:textId="77777777" w:rsidR="00116149" w:rsidRDefault="00116149" w:rsidP="00116149">
      <w:pPr>
        <w:pStyle w:val="FootnoteText"/>
      </w:pPr>
      <w:r>
        <w:rPr>
          <w:rStyle w:val="FootnoteReference"/>
        </w:rPr>
        <w:footnoteRef/>
      </w:r>
      <w:r>
        <w:t xml:space="preserve"> DHSC Pharmaceutical needs assessments Information pack for local authority health and wellbeing boards Published October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676F" w14:textId="77777777" w:rsidR="00CB22B8" w:rsidRDefault="00600CC3">
    <w:pPr>
      <w:pStyle w:val="Header"/>
    </w:pPr>
    <w:r>
      <w:t>Essex County Council</w:t>
    </w:r>
  </w:p>
</w:hdr>
</file>

<file path=word/intelligence2.xml><?xml version="1.0" encoding="utf-8"?>
<int2:intelligence xmlns:int2="http://schemas.microsoft.com/office/intelligence/2020/intelligence" xmlns:oel="http://schemas.microsoft.com/office/2019/extlst">
  <int2:observations>
    <int2:textHash int2:hashCode="X2odTYqOMDRFXS" int2:id="sn7KOHQ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033134"/>
    <w:multiLevelType w:val="hybridMultilevel"/>
    <w:tmpl w:val="877C3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A73CC"/>
    <w:multiLevelType w:val="hybridMultilevel"/>
    <w:tmpl w:val="6C0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B24775"/>
    <w:multiLevelType w:val="hybridMultilevel"/>
    <w:tmpl w:val="16120792"/>
    <w:lvl w:ilvl="0" w:tplc="34E6E9AC">
      <w:start w:val="9"/>
      <w:numFmt w:val="bullet"/>
      <w:lvlText w:val=""/>
      <w:lvlJc w:val="left"/>
      <w:pPr>
        <w:ind w:left="1440" w:hanging="72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11971139">
    <w:abstractNumId w:val="8"/>
  </w:num>
  <w:num w:numId="2" w16cid:durableId="1831675272">
    <w:abstractNumId w:val="6"/>
  </w:num>
  <w:num w:numId="3" w16cid:durableId="881208818">
    <w:abstractNumId w:val="5"/>
  </w:num>
  <w:num w:numId="4" w16cid:durableId="730929149">
    <w:abstractNumId w:val="4"/>
  </w:num>
  <w:num w:numId="5" w16cid:durableId="1155220546">
    <w:abstractNumId w:val="7"/>
  </w:num>
  <w:num w:numId="6" w16cid:durableId="1947496117">
    <w:abstractNumId w:val="3"/>
  </w:num>
  <w:num w:numId="7" w16cid:durableId="1210341242">
    <w:abstractNumId w:val="2"/>
  </w:num>
  <w:num w:numId="8" w16cid:durableId="284624790">
    <w:abstractNumId w:val="1"/>
  </w:num>
  <w:num w:numId="9" w16cid:durableId="348214076">
    <w:abstractNumId w:val="0"/>
  </w:num>
  <w:num w:numId="10" w16cid:durableId="979261237">
    <w:abstractNumId w:val="11"/>
  </w:num>
  <w:num w:numId="11" w16cid:durableId="70352303">
    <w:abstractNumId w:val="9"/>
  </w:num>
  <w:num w:numId="12" w16cid:durableId="11655105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A4C"/>
    <w:rsid w:val="00034616"/>
    <w:rsid w:val="000471BE"/>
    <w:rsid w:val="00050494"/>
    <w:rsid w:val="00056E5D"/>
    <w:rsid w:val="0006063C"/>
    <w:rsid w:val="000636CA"/>
    <w:rsid w:val="00065D59"/>
    <w:rsid w:val="000D1780"/>
    <w:rsid w:val="000D4543"/>
    <w:rsid w:val="000E6A0B"/>
    <w:rsid w:val="00101DF0"/>
    <w:rsid w:val="00107A9A"/>
    <w:rsid w:val="00113C8C"/>
    <w:rsid w:val="00116149"/>
    <w:rsid w:val="00120651"/>
    <w:rsid w:val="0015074B"/>
    <w:rsid w:val="001507B4"/>
    <w:rsid w:val="001602C0"/>
    <w:rsid w:val="00163308"/>
    <w:rsid w:val="001716D6"/>
    <w:rsid w:val="001976A5"/>
    <w:rsid w:val="001A3AB6"/>
    <w:rsid w:val="001B58FB"/>
    <w:rsid w:val="001B6732"/>
    <w:rsid w:val="001B7C27"/>
    <w:rsid w:val="001C5448"/>
    <w:rsid w:val="001D2098"/>
    <w:rsid w:val="001D6A10"/>
    <w:rsid w:val="001E58D3"/>
    <w:rsid w:val="001F0DC8"/>
    <w:rsid w:val="0021543C"/>
    <w:rsid w:val="00234A5B"/>
    <w:rsid w:val="00246C1C"/>
    <w:rsid w:val="00264594"/>
    <w:rsid w:val="00273D84"/>
    <w:rsid w:val="0029639D"/>
    <w:rsid w:val="002C2699"/>
    <w:rsid w:val="0030329F"/>
    <w:rsid w:val="0030395B"/>
    <w:rsid w:val="00304FF6"/>
    <w:rsid w:val="00307F26"/>
    <w:rsid w:val="003228AE"/>
    <w:rsid w:val="00326F90"/>
    <w:rsid w:val="003308DD"/>
    <w:rsid w:val="00343984"/>
    <w:rsid w:val="003727AB"/>
    <w:rsid w:val="003945E0"/>
    <w:rsid w:val="003B48CB"/>
    <w:rsid w:val="003C2B4D"/>
    <w:rsid w:val="003D03E0"/>
    <w:rsid w:val="003D2966"/>
    <w:rsid w:val="003E7F51"/>
    <w:rsid w:val="003F6E8F"/>
    <w:rsid w:val="00413788"/>
    <w:rsid w:val="004501B2"/>
    <w:rsid w:val="00481BB4"/>
    <w:rsid w:val="004B0118"/>
    <w:rsid w:val="004B2D24"/>
    <w:rsid w:val="004B7DCE"/>
    <w:rsid w:val="004D39AF"/>
    <w:rsid w:val="004D71CC"/>
    <w:rsid w:val="004E6E8F"/>
    <w:rsid w:val="004F5AE9"/>
    <w:rsid w:val="0053031E"/>
    <w:rsid w:val="00533FBD"/>
    <w:rsid w:val="00570881"/>
    <w:rsid w:val="00570C76"/>
    <w:rsid w:val="00574D64"/>
    <w:rsid w:val="005750D2"/>
    <w:rsid w:val="005B79F1"/>
    <w:rsid w:val="005C7DE9"/>
    <w:rsid w:val="005D311B"/>
    <w:rsid w:val="00600CC3"/>
    <w:rsid w:val="006013F8"/>
    <w:rsid w:val="00643FEA"/>
    <w:rsid w:val="006467C7"/>
    <w:rsid w:val="006518E0"/>
    <w:rsid w:val="006575CF"/>
    <w:rsid w:val="00677B39"/>
    <w:rsid w:val="00682A51"/>
    <w:rsid w:val="00682AD5"/>
    <w:rsid w:val="006927FA"/>
    <w:rsid w:val="006B0284"/>
    <w:rsid w:val="006B19E1"/>
    <w:rsid w:val="006B5A55"/>
    <w:rsid w:val="006D0C09"/>
    <w:rsid w:val="006E6C89"/>
    <w:rsid w:val="006F551F"/>
    <w:rsid w:val="00711C55"/>
    <w:rsid w:val="00713FD6"/>
    <w:rsid w:val="00715EC3"/>
    <w:rsid w:val="00741122"/>
    <w:rsid w:val="00773353"/>
    <w:rsid w:val="007770D5"/>
    <w:rsid w:val="007951AE"/>
    <w:rsid w:val="007A04CD"/>
    <w:rsid w:val="007D4199"/>
    <w:rsid w:val="007D5E98"/>
    <w:rsid w:val="007E5E38"/>
    <w:rsid w:val="007F42F9"/>
    <w:rsid w:val="0081368E"/>
    <w:rsid w:val="0083344C"/>
    <w:rsid w:val="0083366A"/>
    <w:rsid w:val="00842770"/>
    <w:rsid w:val="00855486"/>
    <w:rsid w:val="00862EB7"/>
    <w:rsid w:val="008854B9"/>
    <w:rsid w:val="008E53B4"/>
    <w:rsid w:val="00913532"/>
    <w:rsid w:val="00951B94"/>
    <w:rsid w:val="00956109"/>
    <w:rsid w:val="00976DCE"/>
    <w:rsid w:val="009842D3"/>
    <w:rsid w:val="009A0EEB"/>
    <w:rsid w:val="00A1296E"/>
    <w:rsid w:val="00A353B6"/>
    <w:rsid w:val="00A44F9D"/>
    <w:rsid w:val="00A51E6E"/>
    <w:rsid w:val="00A601B1"/>
    <w:rsid w:val="00AA1260"/>
    <w:rsid w:val="00AA1D8D"/>
    <w:rsid w:val="00AA7521"/>
    <w:rsid w:val="00AB2D08"/>
    <w:rsid w:val="00AC76A1"/>
    <w:rsid w:val="00AF5FD9"/>
    <w:rsid w:val="00B14204"/>
    <w:rsid w:val="00B46D10"/>
    <w:rsid w:val="00B47730"/>
    <w:rsid w:val="00B47E7A"/>
    <w:rsid w:val="00B524E1"/>
    <w:rsid w:val="00B641DD"/>
    <w:rsid w:val="00B924BE"/>
    <w:rsid w:val="00BB7642"/>
    <w:rsid w:val="00BC4862"/>
    <w:rsid w:val="00BD66D8"/>
    <w:rsid w:val="00BD7F66"/>
    <w:rsid w:val="00C0008E"/>
    <w:rsid w:val="00C25FD6"/>
    <w:rsid w:val="00C320F8"/>
    <w:rsid w:val="00C36743"/>
    <w:rsid w:val="00C539A9"/>
    <w:rsid w:val="00C94657"/>
    <w:rsid w:val="00CB0664"/>
    <w:rsid w:val="00CB22B8"/>
    <w:rsid w:val="00CB6B95"/>
    <w:rsid w:val="00D021B3"/>
    <w:rsid w:val="00D061C8"/>
    <w:rsid w:val="00D20682"/>
    <w:rsid w:val="00D4630F"/>
    <w:rsid w:val="00D56D19"/>
    <w:rsid w:val="00D56FFB"/>
    <w:rsid w:val="00D61420"/>
    <w:rsid w:val="00D65C4A"/>
    <w:rsid w:val="00D7450E"/>
    <w:rsid w:val="00D83202"/>
    <w:rsid w:val="00D95E20"/>
    <w:rsid w:val="00DB280E"/>
    <w:rsid w:val="00DE696C"/>
    <w:rsid w:val="00E004A7"/>
    <w:rsid w:val="00E00A0F"/>
    <w:rsid w:val="00E11610"/>
    <w:rsid w:val="00E414DC"/>
    <w:rsid w:val="00E54703"/>
    <w:rsid w:val="00E563D1"/>
    <w:rsid w:val="00EA142E"/>
    <w:rsid w:val="00EB431D"/>
    <w:rsid w:val="00EC7AA7"/>
    <w:rsid w:val="00EC7B9E"/>
    <w:rsid w:val="00ED102F"/>
    <w:rsid w:val="00EE1CA5"/>
    <w:rsid w:val="00F52350"/>
    <w:rsid w:val="00F52CE8"/>
    <w:rsid w:val="00F57E6D"/>
    <w:rsid w:val="00F7124E"/>
    <w:rsid w:val="00F87BC1"/>
    <w:rsid w:val="00FB17AB"/>
    <w:rsid w:val="00FB1A45"/>
    <w:rsid w:val="00FC693F"/>
    <w:rsid w:val="07813C94"/>
    <w:rsid w:val="0A49592E"/>
    <w:rsid w:val="163F14DC"/>
    <w:rsid w:val="18AB5690"/>
    <w:rsid w:val="191636B8"/>
    <w:rsid w:val="206C3FD6"/>
    <w:rsid w:val="30359ABF"/>
    <w:rsid w:val="33D79E97"/>
    <w:rsid w:val="38B946F1"/>
    <w:rsid w:val="395FECCE"/>
    <w:rsid w:val="3DA241AF"/>
    <w:rsid w:val="412D951C"/>
    <w:rsid w:val="45F81868"/>
    <w:rsid w:val="48D08178"/>
    <w:rsid w:val="4EF1C069"/>
    <w:rsid w:val="50AC0E8C"/>
    <w:rsid w:val="50E0794A"/>
    <w:rsid w:val="56D220F9"/>
    <w:rsid w:val="5974A206"/>
    <w:rsid w:val="5DAB6550"/>
    <w:rsid w:val="6047185A"/>
    <w:rsid w:val="644BE6D6"/>
    <w:rsid w:val="66AF344D"/>
    <w:rsid w:val="672D1116"/>
    <w:rsid w:val="68C6F5EB"/>
    <w:rsid w:val="705BED4D"/>
    <w:rsid w:val="724151C9"/>
    <w:rsid w:val="73462990"/>
    <w:rsid w:val="738B9A9E"/>
    <w:rsid w:val="7C0687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3B48B"/>
  <w14:defaultImageDpi w14:val="300"/>
  <w15:docId w15:val="{A4B7769D-AAC3-4C8D-91C6-2D4E45E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D08"/>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basedOn w:val="Normal"/>
    <w:link w:val="FootnoteTextChar"/>
    <w:uiPriority w:val="99"/>
    <w:unhideWhenUsed/>
    <w:rsid w:val="00116149"/>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rsid w:val="00116149"/>
    <w:rPr>
      <w:rFonts w:ascii="Arial" w:eastAsiaTheme="minorHAnsi" w:hAnsi="Arial"/>
      <w:sz w:val="20"/>
      <w:szCs w:val="20"/>
      <w:lang w:val="en-GB"/>
    </w:rPr>
  </w:style>
  <w:style w:type="character" w:styleId="FootnoteReference">
    <w:name w:val="footnote reference"/>
    <w:basedOn w:val="DefaultParagraphFont"/>
    <w:uiPriority w:val="99"/>
    <w:semiHidden/>
    <w:unhideWhenUsed/>
    <w:rsid w:val="00116149"/>
    <w:rPr>
      <w:vertAlign w:val="superscript"/>
    </w:rPr>
  </w:style>
  <w:style w:type="character" w:styleId="Hyperlink">
    <w:name w:val="Hyperlink"/>
    <w:basedOn w:val="DefaultParagraphFont"/>
    <w:uiPriority w:val="99"/>
    <w:unhideWhenUsed/>
    <w:rsid w:val="00116149"/>
    <w:rPr>
      <w:color w:val="0000FF"/>
      <w:u w:val="single"/>
    </w:rPr>
  </w:style>
  <w:style w:type="character" w:customStyle="1" w:styleId="normaltextrun">
    <w:name w:val="normaltextrun"/>
    <w:basedOn w:val="DefaultParagraphFont"/>
    <w:rsid w:val="001161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8783">
      <w:bodyDiv w:val="1"/>
      <w:marLeft w:val="0"/>
      <w:marRight w:val="0"/>
      <w:marTop w:val="0"/>
      <w:marBottom w:val="0"/>
      <w:divBdr>
        <w:top w:val="none" w:sz="0" w:space="0" w:color="auto"/>
        <w:left w:val="none" w:sz="0" w:space="0" w:color="auto"/>
        <w:bottom w:val="none" w:sz="0" w:space="0" w:color="auto"/>
        <w:right w:val="none" w:sz="0" w:space="0" w:color="auto"/>
      </w:divBdr>
      <w:divsChild>
        <w:div w:id="413403507">
          <w:marLeft w:val="0"/>
          <w:marRight w:val="0"/>
          <w:marTop w:val="0"/>
          <w:marBottom w:val="0"/>
          <w:divBdr>
            <w:top w:val="none" w:sz="0" w:space="0" w:color="auto"/>
            <w:left w:val="none" w:sz="0" w:space="0" w:color="auto"/>
            <w:bottom w:val="none" w:sz="0" w:space="0" w:color="auto"/>
            <w:right w:val="none" w:sz="0" w:space="0" w:color="auto"/>
          </w:divBdr>
        </w:div>
      </w:divsChild>
    </w:div>
    <w:div w:id="323554337">
      <w:bodyDiv w:val="1"/>
      <w:marLeft w:val="0"/>
      <w:marRight w:val="0"/>
      <w:marTop w:val="0"/>
      <w:marBottom w:val="0"/>
      <w:divBdr>
        <w:top w:val="none" w:sz="0" w:space="0" w:color="auto"/>
        <w:left w:val="none" w:sz="0" w:space="0" w:color="auto"/>
        <w:bottom w:val="none" w:sz="0" w:space="0" w:color="auto"/>
        <w:right w:val="none" w:sz="0" w:space="0" w:color="auto"/>
      </w:divBdr>
      <w:divsChild>
        <w:div w:id="1628121028">
          <w:marLeft w:val="0"/>
          <w:marRight w:val="0"/>
          <w:marTop w:val="0"/>
          <w:marBottom w:val="0"/>
          <w:divBdr>
            <w:top w:val="none" w:sz="0" w:space="0" w:color="auto"/>
            <w:left w:val="none" w:sz="0" w:space="0" w:color="auto"/>
            <w:bottom w:val="none" w:sz="0" w:space="0" w:color="auto"/>
            <w:right w:val="none" w:sz="0" w:space="0" w:color="auto"/>
          </w:divBdr>
        </w:div>
      </w:divsChild>
    </w:div>
    <w:div w:id="428552189">
      <w:bodyDiv w:val="1"/>
      <w:marLeft w:val="0"/>
      <w:marRight w:val="0"/>
      <w:marTop w:val="0"/>
      <w:marBottom w:val="0"/>
      <w:divBdr>
        <w:top w:val="none" w:sz="0" w:space="0" w:color="auto"/>
        <w:left w:val="none" w:sz="0" w:space="0" w:color="auto"/>
        <w:bottom w:val="none" w:sz="0" w:space="0" w:color="auto"/>
        <w:right w:val="none" w:sz="0" w:space="0" w:color="auto"/>
      </w:divBdr>
      <w:divsChild>
        <w:div w:id="1506240630">
          <w:marLeft w:val="0"/>
          <w:marRight w:val="0"/>
          <w:marTop w:val="0"/>
          <w:marBottom w:val="0"/>
          <w:divBdr>
            <w:top w:val="none" w:sz="0" w:space="0" w:color="auto"/>
            <w:left w:val="none" w:sz="0" w:space="0" w:color="auto"/>
            <w:bottom w:val="none" w:sz="0" w:space="0" w:color="auto"/>
            <w:right w:val="none" w:sz="0" w:space="0" w:color="auto"/>
          </w:divBdr>
        </w:div>
      </w:divsChild>
    </w:div>
    <w:div w:id="839583110">
      <w:bodyDiv w:val="1"/>
      <w:marLeft w:val="0"/>
      <w:marRight w:val="0"/>
      <w:marTop w:val="0"/>
      <w:marBottom w:val="0"/>
      <w:divBdr>
        <w:top w:val="none" w:sz="0" w:space="0" w:color="auto"/>
        <w:left w:val="none" w:sz="0" w:space="0" w:color="auto"/>
        <w:bottom w:val="none" w:sz="0" w:space="0" w:color="auto"/>
        <w:right w:val="none" w:sz="0" w:space="0" w:color="auto"/>
      </w:divBdr>
      <w:divsChild>
        <w:div w:id="1798718994">
          <w:marLeft w:val="0"/>
          <w:marRight w:val="0"/>
          <w:marTop w:val="0"/>
          <w:marBottom w:val="0"/>
          <w:divBdr>
            <w:top w:val="none" w:sz="0" w:space="0" w:color="auto"/>
            <w:left w:val="none" w:sz="0" w:space="0" w:color="auto"/>
            <w:bottom w:val="none" w:sz="0" w:space="0" w:color="auto"/>
            <w:right w:val="none" w:sz="0" w:space="0" w:color="auto"/>
          </w:divBdr>
        </w:div>
      </w:divsChild>
    </w:div>
    <w:div w:id="1270770686">
      <w:bodyDiv w:val="1"/>
      <w:marLeft w:val="0"/>
      <w:marRight w:val="0"/>
      <w:marTop w:val="0"/>
      <w:marBottom w:val="0"/>
      <w:divBdr>
        <w:top w:val="none" w:sz="0" w:space="0" w:color="auto"/>
        <w:left w:val="none" w:sz="0" w:space="0" w:color="auto"/>
        <w:bottom w:val="none" w:sz="0" w:space="0" w:color="auto"/>
        <w:right w:val="none" w:sz="0" w:space="0" w:color="auto"/>
      </w:divBdr>
      <w:divsChild>
        <w:div w:id="465899660">
          <w:marLeft w:val="0"/>
          <w:marRight w:val="0"/>
          <w:marTop w:val="0"/>
          <w:marBottom w:val="0"/>
          <w:divBdr>
            <w:top w:val="none" w:sz="0" w:space="0" w:color="auto"/>
            <w:left w:val="none" w:sz="0" w:space="0" w:color="auto"/>
            <w:bottom w:val="none" w:sz="0" w:space="0" w:color="auto"/>
            <w:right w:val="none" w:sz="0" w:space="0" w:color="auto"/>
          </w:divBdr>
        </w:div>
      </w:divsChild>
    </w:div>
    <w:div w:id="1332563277">
      <w:bodyDiv w:val="1"/>
      <w:marLeft w:val="0"/>
      <w:marRight w:val="0"/>
      <w:marTop w:val="0"/>
      <w:marBottom w:val="0"/>
      <w:divBdr>
        <w:top w:val="none" w:sz="0" w:space="0" w:color="auto"/>
        <w:left w:val="none" w:sz="0" w:space="0" w:color="auto"/>
        <w:bottom w:val="none" w:sz="0" w:space="0" w:color="auto"/>
        <w:right w:val="none" w:sz="0" w:space="0" w:color="auto"/>
      </w:divBdr>
      <w:divsChild>
        <w:div w:id="1361781818">
          <w:marLeft w:val="0"/>
          <w:marRight w:val="0"/>
          <w:marTop w:val="0"/>
          <w:marBottom w:val="0"/>
          <w:divBdr>
            <w:top w:val="none" w:sz="0" w:space="0" w:color="auto"/>
            <w:left w:val="none" w:sz="0" w:space="0" w:color="auto"/>
            <w:bottom w:val="none" w:sz="0" w:space="0" w:color="auto"/>
            <w:right w:val="none" w:sz="0" w:space="0" w:color="auto"/>
          </w:divBdr>
        </w:div>
      </w:divsChild>
    </w:div>
    <w:div w:id="1350716045">
      <w:bodyDiv w:val="1"/>
      <w:marLeft w:val="0"/>
      <w:marRight w:val="0"/>
      <w:marTop w:val="0"/>
      <w:marBottom w:val="0"/>
      <w:divBdr>
        <w:top w:val="none" w:sz="0" w:space="0" w:color="auto"/>
        <w:left w:val="none" w:sz="0" w:space="0" w:color="auto"/>
        <w:bottom w:val="none" w:sz="0" w:space="0" w:color="auto"/>
        <w:right w:val="none" w:sz="0" w:space="0" w:color="auto"/>
      </w:divBdr>
      <w:divsChild>
        <w:div w:id="2071416169">
          <w:marLeft w:val="0"/>
          <w:marRight w:val="0"/>
          <w:marTop w:val="0"/>
          <w:marBottom w:val="0"/>
          <w:divBdr>
            <w:top w:val="none" w:sz="0" w:space="0" w:color="auto"/>
            <w:left w:val="none" w:sz="0" w:space="0" w:color="auto"/>
            <w:bottom w:val="none" w:sz="0" w:space="0" w:color="auto"/>
            <w:right w:val="none" w:sz="0" w:space="0" w:color="auto"/>
          </w:divBdr>
        </w:div>
      </w:divsChild>
    </w:div>
    <w:div w:id="1414277542">
      <w:bodyDiv w:val="1"/>
      <w:marLeft w:val="0"/>
      <w:marRight w:val="0"/>
      <w:marTop w:val="0"/>
      <w:marBottom w:val="0"/>
      <w:divBdr>
        <w:top w:val="none" w:sz="0" w:space="0" w:color="auto"/>
        <w:left w:val="none" w:sz="0" w:space="0" w:color="auto"/>
        <w:bottom w:val="none" w:sz="0" w:space="0" w:color="auto"/>
        <w:right w:val="none" w:sz="0" w:space="0" w:color="auto"/>
      </w:divBdr>
      <w:divsChild>
        <w:div w:id="92239776">
          <w:marLeft w:val="0"/>
          <w:marRight w:val="0"/>
          <w:marTop w:val="0"/>
          <w:marBottom w:val="0"/>
          <w:divBdr>
            <w:top w:val="none" w:sz="0" w:space="0" w:color="auto"/>
            <w:left w:val="none" w:sz="0" w:space="0" w:color="auto"/>
            <w:bottom w:val="none" w:sz="0" w:space="0" w:color="auto"/>
            <w:right w:val="none" w:sz="0" w:space="0" w:color="auto"/>
          </w:divBdr>
        </w:div>
      </w:divsChild>
    </w:div>
    <w:div w:id="1517111147">
      <w:bodyDiv w:val="1"/>
      <w:marLeft w:val="0"/>
      <w:marRight w:val="0"/>
      <w:marTop w:val="0"/>
      <w:marBottom w:val="0"/>
      <w:divBdr>
        <w:top w:val="none" w:sz="0" w:space="0" w:color="auto"/>
        <w:left w:val="none" w:sz="0" w:space="0" w:color="auto"/>
        <w:bottom w:val="none" w:sz="0" w:space="0" w:color="auto"/>
        <w:right w:val="none" w:sz="0" w:space="0" w:color="auto"/>
      </w:divBdr>
      <w:divsChild>
        <w:div w:id="1211962595">
          <w:marLeft w:val="0"/>
          <w:marRight w:val="0"/>
          <w:marTop w:val="0"/>
          <w:marBottom w:val="0"/>
          <w:divBdr>
            <w:top w:val="none" w:sz="0" w:space="0" w:color="auto"/>
            <w:left w:val="none" w:sz="0" w:space="0" w:color="auto"/>
            <w:bottom w:val="none" w:sz="0" w:space="0" w:color="auto"/>
            <w:right w:val="none" w:sz="0" w:space="0" w:color="auto"/>
          </w:divBdr>
        </w:div>
      </w:divsChild>
    </w:div>
    <w:div w:id="1541673023">
      <w:bodyDiv w:val="1"/>
      <w:marLeft w:val="0"/>
      <w:marRight w:val="0"/>
      <w:marTop w:val="0"/>
      <w:marBottom w:val="0"/>
      <w:divBdr>
        <w:top w:val="none" w:sz="0" w:space="0" w:color="auto"/>
        <w:left w:val="none" w:sz="0" w:space="0" w:color="auto"/>
        <w:bottom w:val="none" w:sz="0" w:space="0" w:color="auto"/>
        <w:right w:val="none" w:sz="0" w:space="0" w:color="auto"/>
      </w:divBdr>
      <w:divsChild>
        <w:div w:id="256524044">
          <w:marLeft w:val="0"/>
          <w:marRight w:val="0"/>
          <w:marTop w:val="0"/>
          <w:marBottom w:val="0"/>
          <w:divBdr>
            <w:top w:val="none" w:sz="0" w:space="0" w:color="auto"/>
            <w:left w:val="none" w:sz="0" w:space="0" w:color="auto"/>
            <w:bottom w:val="none" w:sz="0" w:space="0" w:color="auto"/>
            <w:right w:val="none" w:sz="0" w:space="0" w:color="auto"/>
          </w:divBdr>
        </w:div>
      </w:divsChild>
    </w:div>
    <w:div w:id="1929583135">
      <w:bodyDiv w:val="1"/>
      <w:marLeft w:val="0"/>
      <w:marRight w:val="0"/>
      <w:marTop w:val="0"/>
      <w:marBottom w:val="0"/>
      <w:divBdr>
        <w:top w:val="none" w:sz="0" w:space="0" w:color="auto"/>
        <w:left w:val="none" w:sz="0" w:space="0" w:color="auto"/>
        <w:bottom w:val="none" w:sz="0" w:space="0" w:color="auto"/>
        <w:right w:val="none" w:sz="0" w:space="0" w:color="auto"/>
      </w:divBdr>
      <w:divsChild>
        <w:div w:id="106544610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england.contactus@nhs.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Public.Health@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460C087B96C4BA3BB573F7DEC496B" ma:contentTypeVersion="6" ma:contentTypeDescription="Create a new document." ma:contentTypeScope="" ma:versionID="c2b39f744b6bc675004ff78b6d740a88">
  <xsd:schema xmlns:xsd="http://www.w3.org/2001/XMLSchema" xmlns:xs="http://www.w3.org/2001/XMLSchema" xmlns:p="http://schemas.microsoft.com/office/2006/metadata/properties" xmlns:ns2="a6331767-30b0-47db-82f1-84236034b8fb" targetNamespace="http://schemas.microsoft.com/office/2006/metadata/properties" ma:root="true" ma:fieldsID="bae6b4d6c66a8bb8c5e1012556821157" ns2:_="">
    <xsd:import namespace="a6331767-30b0-47db-82f1-84236034b8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331767-30b0-47db-82f1-8423603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ECB12-1EBE-4FFA-9C38-AD87CFED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331767-30b0-47db-82f1-8423603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076301-6D1A-46F9-946D-3B327917EBDE}">
  <ds:schemaRefs>
    <ds:schemaRef ds:uri="a6331767-30b0-47db-82f1-84236034b8fb"/>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8DE64E3-3967-4365-BEC5-5BCDFD7FD119}">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3424</Words>
  <Characters>19522</Characters>
  <Application>Microsoft Office Word</Application>
  <DocSecurity>0</DocSecurity>
  <Lines>162</Lines>
  <Paragraphs>45</Paragraphs>
  <ScaleCrop>false</ScaleCrop>
  <Manager/>
  <Company/>
  <LinksUpToDate>false</LinksUpToDate>
  <CharactersWithSpaces>22901</CharactersWithSpaces>
  <SharedDoc>false</SharedDoc>
  <HyperlinkBase/>
  <HLinks>
    <vt:vector size="12" baseType="variant">
      <vt:variant>
        <vt:i4>6029428</vt:i4>
      </vt:variant>
      <vt:variant>
        <vt:i4>3</vt:i4>
      </vt:variant>
      <vt:variant>
        <vt:i4>0</vt:i4>
      </vt:variant>
      <vt:variant>
        <vt:i4>5</vt:i4>
      </vt:variant>
      <vt:variant>
        <vt:lpwstr>mailto:Public.Health@essex.gov.uk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Shaun Cook - Senior Analyst</cp:lastModifiedBy>
  <cp:revision>2</cp:revision>
  <dcterms:created xsi:type="dcterms:W3CDTF">2025-09-23T10:28:00Z</dcterms:created>
  <dcterms:modified xsi:type="dcterms:W3CDTF">2025-09-23T10:28:00Z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2025-08-15T09:18:58Z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4c374c4d-ddf5-47ad-8229-cbc7ae7b04b2</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ontentTypeId">
    <vt:lpwstr>0x0101008A2460C087B96C4BA3BB573F7DEC496B</vt:lpwstr>
  </property>
</Properties>
</file>