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48CB" w14:textId="77777777" w:rsidR="00AE7855" w:rsidRPr="00192ECD" w:rsidRDefault="00AE7855" w:rsidP="00AE7855">
      <w:pPr>
        <w:rPr>
          <w:color w:val="000000" w:themeColor="text1"/>
        </w:rPr>
      </w:pPr>
    </w:p>
    <w:p w14:paraId="3DBA7E38" w14:textId="77777777" w:rsidR="00AE7855" w:rsidRPr="00192ECD" w:rsidRDefault="00AE7855" w:rsidP="00AE7855">
      <w:pPr>
        <w:rPr>
          <w:color w:val="000000" w:themeColor="text1"/>
        </w:rPr>
      </w:pPr>
    </w:p>
    <w:p w14:paraId="7FE89653" w14:textId="77777777" w:rsidR="00AE7855" w:rsidRPr="004A6A3F" w:rsidRDefault="00AE7855" w:rsidP="00AE7855">
      <w:pPr>
        <w:rPr>
          <w:rFonts w:eastAsia="Arial Unicode MS" w:cstheme="minorHAnsi"/>
          <w:b/>
          <w:sz w:val="52"/>
          <w:szCs w:val="52"/>
          <w:lang w:eastAsia="zh-TW"/>
        </w:rPr>
      </w:pPr>
      <w:r w:rsidRPr="004A6A3F">
        <w:rPr>
          <w:rFonts w:eastAsia="Arial Unicode MS" w:cstheme="minorHAnsi"/>
          <w:b/>
          <w:sz w:val="52"/>
          <w:szCs w:val="52"/>
          <w:lang w:eastAsia="zh-TW"/>
        </w:rPr>
        <w:t>‘Left behind’ areas in Essex</w:t>
      </w:r>
    </w:p>
    <w:p w14:paraId="42162960" w14:textId="1D7167DA" w:rsidR="00AE7855" w:rsidRPr="00192ECD" w:rsidRDefault="005D6ADE" w:rsidP="00AE7855">
      <w:pPr>
        <w:rPr>
          <w:rFonts w:eastAsiaTheme="majorEastAsia" w:cstheme="majorBidi"/>
          <w:color w:val="000000" w:themeColor="text1"/>
          <w:sz w:val="32"/>
          <w:szCs w:val="32"/>
        </w:rPr>
      </w:pPr>
      <w:r w:rsidRPr="005D6ADE">
        <w:rPr>
          <w:rFonts w:eastAsiaTheme="majorEastAsia" w:cstheme="majorBidi"/>
          <w:color w:val="000000" w:themeColor="text1"/>
          <w:sz w:val="48"/>
          <w:szCs w:val="48"/>
        </w:rPr>
        <w:t>Understand the factors that might cause a place to be ‘left behind’</w:t>
      </w:r>
      <w:r w:rsidR="00AE7855" w:rsidRPr="00192ECD">
        <w:rPr>
          <w:noProof/>
          <w:color w:val="000000" w:themeColor="text1"/>
          <w:lang w:eastAsia="en-GB"/>
        </w:rPr>
        <w:drawing>
          <wp:anchor distT="0" distB="0" distL="114300" distR="114300" simplePos="0" relativeHeight="251659264" behindDoc="0" locked="0" layoutInCell="1" allowOverlap="1" wp14:anchorId="0EBD03FF" wp14:editId="044EF846">
            <wp:simplePos x="0" y="0"/>
            <wp:positionH relativeFrom="column">
              <wp:posOffset>8243</wp:posOffset>
            </wp:positionH>
            <wp:positionV relativeFrom="paragraph">
              <wp:posOffset>3563608</wp:posOffset>
            </wp:positionV>
            <wp:extent cx="1511935" cy="56007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477" t="10220" r="73529" b="83768"/>
                    <a:stretch>
                      <a:fillRect/>
                    </a:stretch>
                  </pic:blipFill>
                  <pic:spPr bwMode="auto">
                    <a:xfrm>
                      <a:off x="0" y="0"/>
                      <a:ext cx="1511935" cy="560070"/>
                    </a:xfrm>
                    <a:prstGeom prst="rect">
                      <a:avLst/>
                    </a:prstGeom>
                    <a:noFill/>
                  </pic:spPr>
                </pic:pic>
              </a:graphicData>
            </a:graphic>
          </wp:anchor>
        </w:drawing>
      </w:r>
      <w:r w:rsidR="00AE7855" w:rsidRPr="00192ECD">
        <w:rPr>
          <w:color w:val="000000" w:themeColor="text1"/>
        </w:rPr>
        <w:br w:type="page"/>
      </w:r>
    </w:p>
    <w:bookmarkStart w:id="0" w:name="_Toc71790724" w:displacedByCustomXml="next"/>
    <w:sdt>
      <w:sdtPr>
        <w:rPr>
          <w:rFonts w:asciiTheme="minorHAnsi" w:eastAsiaTheme="minorHAnsi" w:hAnsiTheme="minorHAnsi" w:cstheme="minorBidi"/>
          <w:color w:val="000000" w:themeColor="text1"/>
          <w:sz w:val="22"/>
          <w:szCs w:val="22"/>
        </w:rPr>
        <w:id w:val="-1264220678"/>
        <w:docPartObj>
          <w:docPartGallery w:val="Table of Contents"/>
          <w:docPartUnique/>
        </w:docPartObj>
      </w:sdtPr>
      <w:sdtEndPr>
        <w:rPr>
          <w:rFonts w:ascii="Century Gothic" w:hAnsi="Century Gothic"/>
          <w:noProof/>
          <w:sz w:val="20"/>
        </w:rPr>
      </w:sdtEndPr>
      <w:sdtContent>
        <w:p w14:paraId="673E1C8B" w14:textId="77777777" w:rsidR="00AE7855" w:rsidRDefault="00AE7855" w:rsidP="00AE7855">
          <w:pPr>
            <w:pStyle w:val="Heading1"/>
            <w:rPr>
              <w:color w:val="000000" w:themeColor="text1"/>
            </w:rPr>
          </w:pPr>
          <w:r w:rsidRPr="00192ECD">
            <w:rPr>
              <w:color w:val="000000" w:themeColor="text1"/>
            </w:rPr>
            <w:t>Contents</w:t>
          </w:r>
          <w:bookmarkEnd w:id="0"/>
        </w:p>
        <w:p w14:paraId="54D9E413" w14:textId="77777777" w:rsidR="00AE7855" w:rsidRPr="00ED5537" w:rsidRDefault="00AE7855" w:rsidP="00AE7855"/>
        <w:p w14:paraId="4A01640E" w14:textId="6C7B7D7F" w:rsidR="000C17E1" w:rsidRDefault="00AE7855">
          <w:pPr>
            <w:pStyle w:val="TOC1"/>
            <w:tabs>
              <w:tab w:val="right" w:leader="dot" w:pos="9016"/>
            </w:tabs>
            <w:rPr>
              <w:rFonts w:asciiTheme="minorHAnsi" w:eastAsiaTheme="minorEastAsia" w:hAnsiTheme="minorHAnsi"/>
              <w:noProof/>
              <w:sz w:val="22"/>
              <w:lang w:eastAsia="en-GB"/>
            </w:rPr>
          </w:pPr>
          <w:r w:rsidRPr="00192ECD">
            <w:rPr>
              <w:b/>
              <w:bCs/>
              <w:noProof/>
              <w:color w:val="000000" w:themeColor="text1"/>
            </w:rPr>
            <w:fldChar w:fldCharType="begin"/>
          </w:r>
          <w:r w:rsidRPr="00192ECD">
            <w:rPr>
              <w:b/>
              <w:bCs/>
              <w:noProof/>
              <w:color w:val="000000" w:themeColor="text1"/>
            </w:rPr>
            <w:instrText xml:space="preserve"> TOC \o "1-3" \h \z \u </w:instrText>
          </w:r>
          <w:r w:rsidRPr="00192ECD">
            <w:rPr>
              <w:b/>
              <w:bCs/>
              <w:noProof/>
              <w:color w:val="000000" w:themeColor="text1"/>
            </w:rPr>
            <w:fldChar w:fldCharType="separate"/>
          </w:r>
          <w:hyperlink w:anchor="_Toc71790724" w:history="1">
            <w:r w:rsidR="000C17E1" w:rsidRPr="00EB4961">
              <w:rPr>
                <w:rStyle w:val="Hyperlink"/>
                <w:noProof/>
              </w:rPr>
              <w:t>Contents</w:t>
            </w:r>
            <w:r w:rsidR="000C17E1">
              <w:rPr>
                <w:noProof/>
                <w:webHidden/>
              </w:rPr>
              <w:tab/>
            </w:r>
            <w:r w:rsidR="000C17E1">
              <w:rPr>
                <w:noProof/>
                <w:webHidden/>
              </w:rPr>
              <w:fldChar w:fldCharType="begin"/>
            </w:r>
            <w:r w:rsidR="000C17E1">
              <w:rPr>
                <w:noProof/>
                <w:webHidden/>
              </w:rPr>
              <w:instrText xml:space="preserve"> PAGEREF _Toc71790724 \h </w:instrText>
            </w:r>
            <w:r w:rsidR="000C17E1">
              <w:rPr>
                <w:noProof/>
                <w:webHidden/>
              </w:rPr>
            </w:r>
            <w:r w:rsidR="000C17E1">
              <w:rPr>
                <w:noProof/>
                <w:webHidden/>
              </w:rPr>
              <w:fldChar w:fldCharType="separate"/>
            </w:r>
            <w:r w:rsidR="000C17E1">
              <w:rPr>
                <w:noProof/>
                <w:webHidden/>
              </w:rPr>
              <w:t>2</w:t>
            </w:r>
            <w:r w:rsidR="000C17E1">
              <w:rPr>
                <w:noProof/>
                <w:webHidden/>
              </w:rPr>
              <w:fldChar w:fldCharType="end"/>
            </w:r>
          </w:hyperlink>
        </w:p>
        <w:p w14:paraId="326857C9" w14:textId="3422E6B3" w:rsidR="000C17E1" w:rsidRDefault="009D69E3">
          <w:pPr>
            <w:pStyle w:val="TOC1"/>
            <w:tabs>
              <w:tab w:val="right" w:leader="dot" w:pos="9016"/>
            </w:tabs>
            <w:rPr>
              <w:rFonts w:asciiTheme="minorHAnsi" w:eastAsiaTheme="minorEastAsia" w:hAnsiTheme="minorHAnsi"/>
              <w:noProof/>
              <w:sz w:val="22"/>
              <w:lang w:eastAsia="en-GB"/>
            </w:rPr>
          </w:pPr>
          <w:hyperlink w:anchor="_Toc71790725" w:history="1">
            <w:r w:rsidR="000C17E1" w:rsidRPr="00EB4961">
              <w:rPr>
                <w:rStyle w:val="Hyperlink"/>
                <w:noProof/>
              </w:rPr>
              <w:t>Introduction</w:t>
            </w:r>
            <w:r w:rsidR="000C17E1">
              <w:rPr>
                <w:noProof/>
                <w:webHidden/>
              </w:rPr>
              <w:tab/>
            </w:r>
            <w:r w:rsidR="000C17E1">
              <w:rPr>
                <w:noProof/>
                <w:webHidden/>
              </w:rPr>
              <w:fldChar w:fldCharType="begin"/>
            </w:r>
            <w:r w:rsidR="000C17E1">
              <w:rPr>
                <w:noProof/>
                <w:webHidden/>
              </w:rPr>
              <w:instrText xml:space="preserve"> PAGEREF _Toc71790725 \h </w:instrText>
            </w:r>
            <w:r w:rsidR="000C17E1">
              <w:rPr>
                <w:noProof/>
                <w:webHidden/>
              </w:rPr>
            </w:r>
            <w:r w:rsidR="000C17E1">
              <w:rPr>
                <w:noProof/>
                <w:webHidden/>
              </w:rPr>
              <w:fldChar w:fldCharType="separate"/>
            </w:r>
            <w:r w:rsidR="000C17E1">
              <w:rPr>
                <w:noProof/>
                <w:webHidden/>
              </w:rPr>
              <w:t>3</w:t>
            </w:r>
            <w:r w:rsidR="000C17E1">
              <w:rPr>
                <w:noProof/>
                <w:webHidden/>
              </w:rPr>
              <w:fldChar w:fldCharType="end"/>
            </w:r>
          </w:hyperlink>
        </w:p>
        <w:p w14:paraId="67FC86AB" w14:textId="5F3A61AE" w:rsidR="000C17E1" w:rsidRDefault="009D69E3">
          <w:pPr>
            <w:pStyle w:val="TOC2"/>
            <w:tabs>
              <w:tab w:val="right" w:leader="dot" w:pos="9016"/>
            </w:tabs>
            <w:rPr>
              <w:rFonts w:asciiTheme="minorHAnsi" w:eastAsiaTheme="minorEastAsia" w:hAnsiTheme="minorHAnsi"/>
              <w:noProof/>
              <w:sz w:val="22"/>
              <w:lang w:eastAsia="en-GB"/>
            </w:rPr>
          </w:pPr>
          <w:hyperlink w:anchor="_Toc71790726" w:history="1">
            <w:r w:rsidR="000C17E1" w:rsidRPr="00EB4961">
              <w:rPr>
                <w:rStyle w:val="Hyperlink"/>
                <w:noProof/>
              </w:rPr>
              <w:t>Context of the review</w:t>
            </w:r>
            <w:r w:rsidR="000C17E1">
              <w:rPr>
                <w:noProof/>
                <w:webHidden/>
              </w:rPr>
              <w:tab/>
            </w:r>
            <w:r w:rsidR="000C17E1">
              <w:rPr>
                <w:noProof/>
                <w:webHidden/>
              </w:rPr>
              <w:fldChar w:fldCharType="begin"/>
            </w:r>
            <w:r w:rsidR="000C17E1">
              <w:rPr>
                <w:noProof/>
                <w:webHidden/>
              </w:rPr>
              <w:instrText xml:space="preserve"> PAGEREF _Toc71790726 \h </w:instrText>
            </w:r>
            <w:r w:rsidR="000C17E1">
              <w:rPr>
                <w:noProof/>
                <w:webHidden/>
              </w:rPr>
            </w:r>
            <w:r w:rsidR="000C17E1">
              <w:rPr>
                <w:noProof/>
                <w:webHidden/>
              </w:rPr>
              <w:fldChar w:fldCharType="separate"/>
            </w:r>
            <w:r w:rsidR="000C17E1">
              <w:rPr>
                <w:noProof/>
                <w:webHidden/>
              </w:rPr>
              <w:t>3</w:t>
            </w:r>
            <w:r w:rsidR="000C17E1">
              <w:rPr>
                <w:noProof/>
                <w:webHidden/>
              </w:rPr>
              <w:fldChar w:fldCharType="end"/>
            </w:r>
          </w:hyperlink>
        </w:p>
        <w:p w14:paraId="5DC7475B" w14:textId="65DAE70F" w:rsidR="000C17E1" w:rsidRDefault="009D69E3">
          <w:pPr>
            <w:pStyle w:val="TOC2"/>
            <w:tabs>
              <w:tab w:val="right" w:leader="dot" w:pos="9016"/>
            </w:tabs>
            <w:rPr>
              <w:rFonts w:asciiTheme="minorHAnsi" w:eastAsiaTheme="minorEastAsia" w:hAnsiTheme="minorHAnsi"/>
              <w:noProof/>
              <w:sz w:val="22"/>
              <w:lang w:eastAsia="en-GB"/>
            </w:rPr>
          </w:pPr>
          <w:hyperlink w:anchor="_Toc71790727" w:history="1">
            <w:r w:rsidR="000C17E1" w:rsidRPr="00EB4961">
              <w:rPr>
                <w:rStyle w:val="Hyperlink"/>
                <w:rFonts w:eastAsia="Arial Unicode MS"/>
                <w:noProof/>
                <w:lang w:eastAsia="zh-TW"/>
              </w:rPr>
              <w:t xml:space="preserve">Phase 2: </w:t>
            </w:r>
            <w:r w:rsidR="000C17E1" w:rsidRPr="00EB4961">
              <w:rPr>
                <w:rStyle w:val="Hyperlink"/>
                <w:noProof/>
              </w:rPr>
              <w:t>Understand the factors that might cause a place to be ‘left behind’</w:t>
            </w:r>
            <w:r w:rsidR="000C17E1">
              <w:rPr>
                <w:noProof/>
                <w:webHidden/>
              </w:rPr>
              <w:tab/>
            </w:r>
            <w:r w:rsidR="000C17E1">
              <w:rPr>
                <w:noProof/>
                <w:webHidden/>
              </w:rPr>
              <w:fldChar w:fldCharType="begin"/>
            </w:r>
            <w:r w:rsidR="000C17E1">
              <w:rPr>
                <w:noProof/>
                <w:webHidden/>
              </w:rPr>
              <w:instrText xml:space="preserve"> PAGEREF _Toc71790727 \h </w:instrText>
            </w:r>
            <w:r w:rsidR="000C17E1">
              <w:rPr>
                <w:noProof/>
                <w:webHidden/>
              </w:rPr>
            </w:r>
            <w:r w:rsidR="000C17E1">
              <w:rPr>
                <w:noProof/>
                <w:webHidden/>
              </w:rPr>
              <w:fldChar w:fldCharType="separate"/>
            </w:r>
            <w:r w:rsidR="000C17E1">
              <w:rPr>
                <w:noProof/>
                <w:webHidden/>
              </w:rPr>
              <w:t>4</w:t>
            </w:r>
            <w:r w:rsidR="000C17E1">
              <w:rPr>
                <w:noProof/>
                <w:webHidden/>
              </w:rPr>
              <w:fldChar w:fldCharType="end"/>
            </w:r>
          </w:hyperlink>
        </w:p>
        <w:p w14:paraId="410943DA" w14:textId="33C58964" w:rsidR="000C17E1" w:rsidRDefault="009D69E3">
          <w:pPr>
            <w:pStyle w:val="TOC1"/>
            <w:tabs>
              <w:tab w:val="right" w:leader="dot" w:pos="9016"/>
            </w:tabs>
            <w:rPr>
              <w:rFonts w:asciiTheme="minorHAnsi" w:eastAsiaTheme="minorEastAsia" w:hAnsiTheme="minorHAnsi"/>
              <w:noProof/>
              <w:sz w:val="22"/>
              <w:lang w:eastAsia="en-GB"/>
            </w:rPr>
          </w:pPr>
          <w:hyperlink w:anchor="_Toc71790728" w:history="1">
            <w:r w:rsidR="000C17E1" w:rsidRPr="00EB4961">
              <w:rPr>
                <w:rStyle w:val="Hyperlink"/>
                <w:rFonts w:eastAsia="Arial Unicode MS"/>
                <w:noProof/>
                <w:lang w:val="en-US"/>
              </w:rPr>
              <w:t>Section 1: Methodology</w:t>
            </w:r>
            <w:r w:rsidR="000C17E1">
              <w:rPr>
                <w:noProof/>
                <w:webHidden/>
              </w:rPr>
              <w:tab/>
            </w:r>
            <w:r w:rsidR="000C17E1">
              <w:rPr>
                <w:noProof/>
                <w:webHidden/>
              </w:rPr>
              <w:fldChar w:fldCharType="begin"/>
            </w:r>
            <w:r w:rsidR="000C17E1">
              <w:rPr>
                <w:noProof/>
                <w:webHidden/>
              </w:rPr>
              <w:instrText xml:space="preserve"> PAGEREF _Toc71790728 \h </w:instrText>
            </w:r>
            <w:r w:rsidR="000C17E1">
              <w:rPr>
                <w:noProof/>
                <w:webHidden/>
              </w:rPr>
            </w:r>
            <w:r w:rsidR="000C17E1">
              <w:rPr>
                <w:noProof/>
                <w:webHidden/>
              </w:rPr>
              <w:fldChar w:fldCharType="separate"/>
            </w:r>
            <w:r w:rsidR="000C17E1">
              <w:rPr>
                <w:noProof/>
                <w:webHidden/>
              </w:rPr>
              <w:t>5</w:t>
            </w:r>
            <w:r w:rsidR="000C17E1">
              <w:rPr>
                <w:noProof/>
                <w:webHidden/>
              </w:rPr>
              <w:fldChar w:fldCharType="end"/>
            </w:r>
          </w:hyperlink>
        </w:p>
        <w:p w14:paraId="1B7CDB36" w14:textId="6A4535EE" w:rsidR="000C17E1" w:rsidRDefault="009D69E3">
          <w:pPr>
            <w:pStyle w:val="TOC2"/>
            <w:tabs>
              <w:tab w:val="right" w:leader="dot" w:pos="9016"/>
            </w:tabs>
            <w:rPr>
              <w:rFonts w:asciiTheme="minorHAnsi" w:eastAsiaTheme="minorEastAsia" w:hAnsiTheme="minorHAnsi"/>
              <w:noProof/>
              <w:sz w:val="22"/>
              <w:lang w:eastAsia="en-GB"/>
            </w:rPr>
          </w:pPr>
          <w:hyperlink w:anchor="_Toc71790729" w:history="1">
            <w:r w:rsidR="000C17E1" w:rsidRPr="00EB4961">
              <w:rPr>
                <w:rStyle w:val="Hyperlink"/>
                <w:noProof/>
              </w:rPr>
              <w:t>Logistic regression has been used to identify key factors</w:t>
            </w:r>
            <w:r w:rsidR="000C17E1">
              <w:rPr>
                <w:noProof/>
                <w:webHidden/>
              </w:rPr>
              <w:tab/>
            </w:r>
            <w:r w:rsidR="000C17E1">
              <w:rPr>
                <w:noProof/>
                <w:webHidden/>
              </w:rPr>
              <w:fldChar w:fldCharType="begin"/>
            </w:r>
            <w:r w:rsidR="000C17E1">
              <w:rPr>
                <w:noProof/>
                <w:webHidden/>
              </w:rPr>
              <w:instrText xml:space="preserve"> PAGEREF _Toc71790729 \h </w:instrText>
            </w:r>
            <w:r w:rsidR="000C17E1">
              <w:rPr>
                <w:noProof/>
                <w:webHidden/>
              </w:rPr>
            </w:r>
            <w:r w:rsidR="000C17E1">
              <w:rPr>
                <w:noProof/>
                <w:webHidden/>
              </w:rPr>
              <w:fldChar w:fldCharType="separate"/>
            </w:r>
            <w:r w:rsidR="000C17E1">
              <w:rPr>
                <w:noProof/>
                <w:webHidden/>
              </w:rPr>
              <w:t>5</w:t>
            </w:r>
            <w:r w:rsidR="000C17E1">
              <w:rPr>
                <w:noProof/>
                <w:webHidden/>
              </w:rPr>
              <w:fldChar w:fldCharType="end"/>
            </w:r>
          </w:hyperlink>
        </w:p>
        <w:p w14:paraId="1FF2785E" w14:textId="73462EA1" w:rsidR="000C17E1" w:rsidRDefault="009D69E3">
          <w:pPr>
            <w:pStyle w:val="TOC2"/>
            <w:tabs>
              <w:tab w:val="right" w:leader="dot" w:pos="9016"/>
            </w:tabs>
            <w:rPr>
              <w:rFonts w:asciiTheme="minorHAnsi" w:eastAsiaTheme="minorEastAsia" w:hAnsiTheme="minorHAnsi"/>
              <w:noProof/>
              <w:sz w:val="22"/>
              <w:lang w:eastAsia="en-GB"/>
            </w:rPr>
          </w:pPr>
          <w:hyperlink w:anchor="_Toc71790730" w:history="1">
            <w:r w:rsidR="000C17E1" w:rsidRPr="00EB4961">
              <w:rPr>
                <w:rStyle w:val="Hyperlink"/>
                <w:noProof/>
              </w:rPr>
              <w:t>Choosing the indicators to include in a model</w:t>
            </w:r>
            <w:r w:rsidR="000C17E1">
              <w:rPr>
                <w:noProof/>
                <w:webHidden/>
              </w:rPr>
              <w:tab/>
            </w:r>
            <w:r w:rsidR="000C17E1">
              <w:rPr>
                <w:noProof/>
                <w:webHidden/>
              </w:rPr>
              <w:fldChar w:fldCharType="begin"/>
            </w:r>
            <w:r w:rsidR="000C17E1">
              <w:rPr>
                <w:noProof/>
                <w:webHidden/>
              </w:rPr>
              <w:instrText xml:space="preserve"> PAGEREF _Toc71790730 \h </w:instrText>
            </w:r>
            <w:r w:rsidR="000C17E1">
              <w:rPr>
                <w:noProof/>
                <w:webHidden/>
              </w:rPr>
            </w:r>
            <w:r w:rsidR="000C17E1">
              <w:rPr>
                <w:noProof/>
                <w:webHidden/>
              </w:rPr>
              <w:fldChar w:fldCharType="separate"/>
            </w:r>
            <w:r w:rsidR="000C17E1">
              <w:rPr>
                <w:noProof/>
                <w:webHidden/>
              </w:rPr>
              <w:t>5</w:t>
            </w:r>
            <w:r w:rsidR="000C17E1">
              <w:rPr>
                <w:noProof/>
                <w:webHidden/>
              </w:rPr>
              <w:fldChar w:fldCharType="end"/>
            </w:r>
          </w:hyperlink>
        </w:p>
        <w:p w14:paraId="34006825" w14:textId="6537C618" w:rsidR="000C17E1" w:rsidRDefault="009D69E3">
          <w:pPr>
            <w:pStyle w:val="TOC2"/>
            <w:tabs>
              <w:tab w:val="right" w:leader="dot" w:pos="9016"/>
            </w:tabs>
            <w:rPr>
              <w:rFonts w:asciiTheme="minorHAnsi" w:eastAsiaTheme="minorEastAsia" w:hAnsiTheme="minorHAnsi"/>
              <w:noProof/>
              <w:sz w:val="22"/>
              <w:lang w:eastAsia="en-GB"/>
            </w:rPr>
          </w:pPr>
          <w:hyperlink w:anchor="_Toc71790731" w:history="1">
            <w:r w:rsidR="000C17E1" w:rsidRPr="00EB4961">
              <w:rPr>
                <w:rStyle w:val="Hyperlink"/>
                <w:noProof/>
              </w:rPr>
              <w:t>The initial long-list</w:t>
            </w:r>
            <w:r w:rsidR="000C17E1">
              <w:rPr>
                <w:noProof/>
                <w:webHidden/>
              </w:rPr>
              <w:tab/>
            </w:r>
            <w:r w:rsidR="000C17E1">
              <w:rPr>
                <w:noProof/>
                <w:webHidden/>
              </w:rPr>
              <w:fldChar w:fldCharType="begin"/>
            </w:r>
            <w:r w:rsidR="000C17E1">
              <w:rPr>
                <w:noProof/>
                <w:webHidden/>
              </w:rPr>
              <w:instrText xml:space="preserve"> PAGEREF _Toc71790731 \h </w:instrText>
            </w:r>
            <w:r w:rsidR="000C17E1">
              <w:rPr>
                <w:noProof/>
                <w:webHidden/>
              </w:rPr>
            </w:r>
            <w:r w:rsidR="000C17E1">
              <w:rPr>
                <w:noProof/>
                <w:webHidden/>
              </w:rPr>
              <w:fldChar w:fldCharType="separate"/>
            </w:r>
            <w:r w:rsidR="000C17E1">
              <w:rPr>
                <w:noProof/>
                <w:webHidden/>
              </w:rPr>
              <w:t>5</w:t>
            </w:r>
            <w:r w:rsidR="000C17E1">
              <w:rPr>
                <w:noProof/>
                <w:webHidden/>
              </w:rPr>
              <w:fldChar w:fldCharType="end"/>
            </w:r>
          </w:hyperlink>
        </w:p>
        <w:p w14:paraId="0EA81D8C" w14:textId="6EEF6BA1" w:rsidR="000C17E1" w:rsidRDefault="009D69E3">
          <w:pPr>
            <w:pStyle w:val="TOC2"/>
            <w:tabs>
              <w:tab w:val="right" w:leader="dot" w:pos="9016"/>
            </w:tabs>
            <w:rPr>
              <w:rFonts w:asciiTheme="minorHAnsi" w:eastAsiaTheme="minorEastAsia" w:hAnsiTheme="minorHAnsi"/>
              <w:noProof/>
              <w:sz w:val="22"/>
              <w:lang w:eastAsia="en-GB"/>
            </w:rPr>
          </w:pPr>
          <w:hyperlink w:anchor="_Toc71790732" w:history="1">
            <w:r w:rsidR="000C17E1" w:rsidRPr="00EB4961">
              <w:rPr>
                <w:rStyle w:val="Hyperlink"/>
                <w:noProof/>
              </w:rPr>
              <w:t>Excluding highly correlated variables</w:t>
            </w:r>
            <w:r w:rsidR="000C17E1">
              <w:rPr>
                <w:noProof/>
                <w:webHidden/>
              </w:rPr>
              <w:tab/>
            </w:r>
            <w:r w:rsidR="000C17E1">
              <w:rPr>
                <w:noProof/>
                <w:webHidden/>
              </w:rPr>
              <w:fldChar w:fldCharType="begin"/>
            </w:r>
            <w:r w:rsidR="000C17E1">
              <w:rPr>
                <w:noProof/>
                <w:webHidden/>
              </w:rPr>
              <w:instrText xml:space="preserve"> PAGEREF _Toc71790732 \h </w:instrText>
            </w:r>
            <w:r w:rsidR="000C17E1">
              <w:rPr>
                <w:noProof/>
                <w:webHidden/>
              </w:rPr>
            </w:r>
            <w:r w:rsidR="000C17E1">
              <w:rPr>
                <w:noProof/>
                <w:webHidden/>
              </w:rPr>
              <w:fldChar w:fldCharType="separate"/>
            </w:r>
            <w:r w:rsidR="000C17E1">
              <w:rPr>
                <w:noProof/>
                <w:webHidden/>
              </w:rPr>
              <w:t>6</w:t>
            </w:r>
            <w:r w:rsidR="000C17E1">
              <w:rPr>
                <w:noProof/>
                <w:webHidden/>
              </w:rPr>
              <w:fldChar w:fldCharType="end"/>
            </w:r>
          </w:hyperlink>
        </w:p>
        <w:p w14:paraId="62824FFC" w14:textId="19E6F585" w:rsidR="000C17E1" w:rsidRDefault="009D69E3">
          <w:pPr>
            <w:pStyle w:val="TOC2"/>
            <w:tabs>
              <w:tab w:val="right" w:leader="dot" w:pos="9016"/>
            </w:tabs>
            <w:rPr>
              <w:rFonts w:asciiTheme="minorHAnsi" w:eastAsiaTheme="minorEastAsia" w:hAnsiTheme="minorHAnsi"/>
              <w:noProof/>
              <w:sz w:val="22"/>
              <w:lang w:eastAsia="en-GB"/>
            </w:rPr>
          </w:pPr>
          <w:hyperlink w:anchor="_Toc71790733" w:history="1">
            <w:r w:rsidR="000C17E1" w:rsidRPr="00EB4961">
              <w:rPr>
                <w:rStyle w:val="Hyperlink"/>
                <w:noProof/>
              </w:rPr>
              <w:t>Entering the indicators into the model</w:t>
            </w:r>
            <w:r w:rsidR="000C17E1">
              <w:rPr>
                <w:noProof/>
                <w:webHidden/>
              </w:rPr>
              <w:tab/>
            </w:r>
            <w:r w:rsidR="000C17E1">
              <w:rPr>
                <w:noProof/>
                <w:webHidden/>
              </w:rPr>
              <w:fldChar w:fldCharType="begin"/>
            </w:r>
            <w:r w:rsidR="000C17E1">
              <w:rPr>
                <w:noProof/>
                <w:webHidden/>
              </w:rPr>
              <w:instrText xml:space="preserve"> PAGEREF _Toc71790733 \h </w:instrText>
            </w:r>
            <w:r w:rsidR="000C17E1">
              <w:rPr>
                <w:noProof/>
                <w:webHidden/>
              </w:rPr>
            </w:r>
            <w:r w:rsidR="000C17E1">
              <w:rPr>
                <w:noProof/>
                <w:webHidden/>
              </w:rPr>
              <w:fldChar w:fldCharType="separate"/>
            </w:r>
            <w:r w:rsidR="000C17E1">
              <w:rPr>
                <w:noProof/>
                <w:webHidden/>
              </w:rPr>
              <w:t>7</w:t>
            </w:r>
            <w:r w:rsidR="000C17E1">
              <w:rPr>
                <w:noProof/>
                <w:webHidden/>
              </w:rPr>
              <w:fldChar w:fldCharType="end"/>
            </w:r>
          </w:hyperlink>
        </w:p>
        <w:p w14:paraId="3C43655E" w14:textId="37A87B87" w:rsidR="000C17E1" w:rsidRDefault="009D69E3">
          <w:pPr>
            <w:pStyle w:val="TOC2"/>
            <w:tabs>
              <w:tab w:val="right" w:leader="dot" w:pos="9016"/>
            </w:tabs>
            <w:rPr>
              <w:rFonts w:asciiTheme="minorHAnsi" w:eastAsiaTheme="minorEastAsia" w:hAnsiTheme="minorHAnsi"/>
              <w:noProof/>
              <w:sz w:val="22"/>
              <w:lang w:eastAsia="en-GB"/>
            </w:rPr>
          </w:pPr>
          <w:hyperlink w:anchor="_Toc71790734" w:history="1">
            <w:r w:rsidR="000C17E1" w:rsidRPr="00EB4961">
              <w:rPr>
                <w:rStyle w:val="Hyperlink"/>
                <w:noProof/>
              </w:rPr>
              <w:t>Exclude variables with confidence intervals</w:t>
            </w:r>
            <w:r w:rsidR="000C17E1">
              <w:rPr>
                <w:noProof/>
                <w:webHidden/>
              </w:rPr>
              <w:tab/>
            </w:r>
            <w:r w:rsidR="000C17E1">
              <w:rPr>
                <w:noProof/>
                <w:webHidden/>
              </w:rPr>
              <w:fldChar w:fldCharType="begin"/>
            </w:r>
            <w:r w:rsidR="000C17E1">
              <w:rPr>
                <w:noProof/>
                <w:webHidden/>
              </w:rPr>
              <w:instrText xml:space="preserve"> PAGEREF _Toc71790734 \h </w:instrText>
            </w:r>
            <w:r w:rsidR="000C17E1">
              <w:rPr>
                <w:noProof/>
                <w:webHidden/>
              </w:rPr>
            </w:r>
            <w:r w:rsidR="000C17E1">
              <w:rPr>
                <w:noProof/>
                <w:webHidden/>
              </w:rPr>
              <w:fldChar w:fldCharType="separate"/>
            </w:r>
            <w:r w:rsidR="000C17E1">
              <w:rPr>
                <w:noProof/>
                <w:webHidden/>
              </w:rPr>
              <w:t>7</w:t>
            </w:r>
            <w:r w:rsidR="000C17E1">
              <w:rPr>
                <w:noProof/>
                <w:webHidden/>
              </w:rPr>
              <w:fldChar w:fldCharType="end"/>
            </w:r>
          </w:hyperlink>
        </w:p>
        <w:p w14:paraId="0094936E" w14:textId="04C2EE63" w:rsidR="000C17E1" w:rsidRDefault="009D69E3">
          <w:pPr>
            <w:pStyle w:val="TOC2"/>
            <w:tabs>
              <w:tab w:val="right" w:leader="dot" w:pos="9016"/>
            </w:tabs>
            <w:rPr>
              <w:rFonts w:asciiTheme="minorHAnsi" w:eastAsiaTheme="minorEastAsia" w:hAnsiTheme="minorHAnsi"/>
              <w:noProof/>
              <w:sz w:val="22"/>
              <w:lang w:eastAsia="en-GB"/>
            </w:rPr>
          </w:pPr>
          <w:hyperlink w:anchor="_Toc71790735" w:history="1">
            <w:r w:rsidR="000C17E1" w:rsidRPr="00EB4961">
              <w:rPr>
                <w:rStyle w:val="Hyperlink"/>
                <w:noProof/>
              </w:rPr>
              <w:t>Exclude variables that are not ‘significant’</w:t>
            </w:r>
            <w:r w:rsidR="000C17E1">
              <w:rPr>
                <w:noProof/>
                <w:webHidden/>
              </w:rPr>
              <w:tab/>
            </w:r>
            <w:r w:rsidR="000C17E1">
              <w:rPr>
                <w:noProof/>
                <w:webHidden/>
              </w:rPr>
              <w:fldChar w:fldCharType="begin"/>
            </w:r>
            <w:r w:rsidR="000C17E1">
              <w:rPr>
                <w:noProof/>
                <w:webHidden/>
              </w:rPr>
              <w:instrText xml:space="preserve"> PAGEREF _Toc71790735 \h </w:instrText>
            </w:r>
            <w:r w:rsidR="000C17E1">
              <w:rPr>
                <w:noProof/>
                <w:webHidden/>
              </w:rPr>
            </w:r>
            <w:r w:rsidR="000C17E1">
              <w:rPr>
                <w:noProof/>
                <w:webHidden/>
              </w:rPr>
              <w:fldChar w:fldCharType="separate"/>
            </w:r>
            <w:r w:rsidR="000C17E1">
              <w:rPr>
                <w:noProof/>
                <w:webHidden/>
              </w:rPr>
              <w:t>7</w:t>
            </w:r>
            <w:r w:rsidR="000C17E1">
              <w:rPr>
                <w:noProof/>
                <w:webHidden/>
              </w:rPr>
              <w:fldChar w:fldCharType="end"/>
            </w:r>
          </w:hyperlink>
        </w:p>
        <w:p w14:paraId="5EE892FD" w14:textId="656510E1" w:rsidR="000C17E1" w:rsidRDefault="009D69E3">
          <w:pPr>
            <w:pStyle w:val="TOC2"/>
            <w:tabs>
              <w:tab w:val="right" w:leader="dot" w:pos="9016"/>
            </w:tabs>
            <w:rPr>
              <w:rFonts w:asciiTheme="minorHAnsi" w:eastAsiaTheme="minorEastAsia" w:hAnsiTheme="minorHAnsi"/>
              <w:noProof/>
              <w:sz w:val="22"/>
              <w:lang w:eastAsia="en-GB"/>
            </w:rPr>
          </w:pPr>
          <w:hyperlink w:anchor="_Toc71790736" w:history="1">
            <w:r w:rsidR="000C17E1" w:rsidRPr="00EB4961">
              <w:rPr>
                <w:rStyle w:val="Hyperlink"/>
                <w:noProof/>
              </w:rPr>
              <w:t>Short-list of indicators used in the model</w:t>
            </w:r>
            <w:r w:rsidR="000C17E1">
              <w:rPr>
                <w:noProof/>
                <w:webHidden/>
              </w:rPr>
              <w:tab/>
            </w:r>
            <w:r w:rsidR="000C17E1">
              <w:rPr>
                <w:noProof/>
                <w:webHidden/>
              </w:rPr>
              <w:fldChar w:fldCharType="begin"/>
            </w:r>
            <w:r w:rsidR="000C17E1">
              <w:rPr>
                <w:noProof/>
                <w:webHidden/>
              </w:rPr>
              <w:instrText xml:space="preserve"> PAGEREF _Toc71790736 \h </w:instrText>
            </w:r>
            <w:r w:rsidR="000C17E1">
              <w:rPr>
                <w:noProof/>
                <w:webHidden/>
              </w:rPr>
            </w:r>
            <w:r w:rsidR="000C17E1">
              <w:rPr>
                <w:noProof/>
                <w:webHidden/>
              </w:rPr>
              <w:fldChar w:fldCharType="separate"/>
            </w:r>
            <w:r w:rsidR="000C17E1">
              <w:rPr>
                <w:noProof/>
                <w:webHidden/>
              </w:rPr>
              <w:t>7</w:t>
            </w:r>
            <w:r w:rsidR="000C17E1">
              <w:rPr>
                <w:noProof/>
                <w:webHidden/>
              </w:rPr>
              <w:fldChar w:fldCharType="end"/>
            </w:r>
          </w:hyperlink>
        </w:p>
        <w:p w14:paraId="1B5BDE50" w14:textId="541C7935" w:rsidR="000C17E1" w:rsidRDefault="009D69E3">
          <w:pPr>
            <w:pStyle w:val="TOC2"/>
            <w:tabs>
              <w:tab w:val="right" w:leader="dot" w:pos="9016"/>
            </w:tabs>
            <w:rPr>
              <w:rFonts w:asciiTheme="minorHAnsi" w:eastAsiaTheme="minorEastAsia" w:hAnsiTheme="minorHAnsi"/>
              <w:noProof/>
              <w:sz w:val="22"/>
              <w:lang w:eastAsia="en-GB"/>
            </w:rPr>
          </w:pPr>
          <w:hyperlink w:anchor="_Toc71790737" w:history="1">
            <w:r w:rsidR="000C17E1" w:rsidRPr="00EB4961">
              <w:rPr>
                <w:rStyle w:val="Hyperlink"/>
                <w:noProof/>
              </w:rPr>
              <w:t>The final syntax</w:t>
            </w:r>
            <w:r w:rsidR="000C17E1">
              <w:rPr>
                <w:noProof/>
                <w:webHidden/>
              </w:rPr>
              <w:tab/>
            </w:r>
            <w:r w:rsidR="000C17E1">
              <w:rPr>
                <w:noProof/>
                <w:webHidden/>
              </w:rPr>
              <w:fldChar w:fldCharType="begin"/>
            </w:r>
            <w:r w:rsidR="000C17E1">
              <w:rPr>
                <w:noProof/>
                <w:webHidden/>
              </w:rPr>
              <w:instrText xml:space="preserve"> PAGEREF _Toc71790737 \h </w:instrText>
            </w:r>
            <w:r w:rsidR="000C17E1">
              <w:rPr>
                <w:noProof/>
                <w:webHidden/>
              </w:rPr>
            </w:r>
            <w:r w:rsidR="000C17E1">
              <w:rPr>
                <w:noProof/>
                <w:webHidden/>
              </w:rPr>
              <w:fldChar w:fldCharType="separate"/>
            </w:r>
            <w:r w:rsidR="000C17E1">
              <w:rPr>
                <w:noProof/>
                <w:webHidden/>
              </w:rPr>
              <w:t>8</w:t>
            </w:r>
            <w:r w:rsidR="000C17E1">
              <w:rPr>
                <w:noProof/>
                <w:webHidden/>
              </w:rPr>
              <w:fldChar w:fldCharType="end"/>
            </w:r>
          </w:hyperlink>
        </w:p>
        <w:p w14:paraId="2E6C5F4E" w14:textId="1B461368" w:rsidR="000C17E1" w:rsidRDefault="009D69E3">
          <w:pPr>
            <w:pStyle w:val="TOC1"/>
            <w:tabs>
              <w:tab w:val="right" w:leader="dot" w:pos="9016"/>
            </w:tabs>
            <w:rPr>
              <w:rFonts w:asciiTheme="minorHAnsi" w:eastAsiaTheme="minorEastAsia" w:hAnsiTheme="minorHAnsi"/>
              <w:noProof/>
              <w:sz w:val="22"/>
              <w:lang w:eastAsia="en-GB"/>
            </w:rPr>
          </w:pPr>
          <w:hyperlink w:anchor="_Toc71790738" w:history="1">
            <w:r w:rsidR="000C17E1" w:rsidRPr="00EB4961">
              <w:rPr>
                <w:rStyle w:val="Hyperlink"/>
                <w:noProof/>
                <w:lang w:val="en-US"/>
              </w:rPr>
              <w:t>Section 2: The results</w:t>
            </w:r>
            <w:r w:rsidR="000C17E1">
              <w:rPr>
                <w:noProof/>
                <w:webHidden/>
              </w:rPr>
              <w:tab/>
            </w:r>
            <w:r w:rsidR="000C17E1">
              <w:rPr>
                <w:noProof/>
                <w:webHidden/>
              </w:rPr>
              <w:fldChar w:fldCharType="begin"/>
            </w:r>
            <w:r w:rsidR="000C17E1">
              <w:rPr>
                <w:noProof/>
                <w:webHidden/>
              </w:rPr>
              <w:instrText xml:space="preserve"> PAGEREF _Toc71790738 \h </w:instrText>
            </w:r>
            <w:r w:rsidR="000C17E1">
              <w:rPr>
                <w:noProof/>
                <w:webHidden/>
              </w:rPr>
            </w:r>
            <w:r w:rsidR="000C17E1">
              <w:rPr>
                <w:noProof/>
                <w:webHidden/>
              </w:rPr>
              <w:fldChar w:fldCharType="separate"/>
            </w:r>
            <w:r w:rsidR="000C17E1">
              <w:rPr>
                <w:noProof/>
                <w:webHidden/>
              </w:rPr>
              <w:t>9</w:t>
            </w:r>
            <w:r w:rsidR="000C17E1">
              <w:rPr>
                <w:noProof/>
                <w:webHidden/>
              </w:rPr>
              <w:fldChar w:fldCharType="end"/>
            </w:r>
          </w:hyperlink>
        </w:p>
        <w:p w14:paraId="0E910EAD" w14:textId="02A9D249" w:rsidR="000C17E1" w:rsidRDefault="009D69E3">
          <w:pPr>
            <w:pStyle w:val="TOC2"/>
            <w:tabs>
              <w:tab w:val="right" w:leader="dot" w:pos="9016"/>
            </w:tabs>
            <w:rPr>
              <w:rFonts w:asciiTheme="minorHAnsi" w:eastAsiaTheme="minorEastAsia" w:hAnsiTheme="minorHAnsi"/>
              <w:noProof/>
              <w:sz w:val="22"/>
              <w:lang w:eastAsia="en-GB"/>
            </w:rPr>
          </w:pPr>
          <w:hyperlink w:anchor="_Toc71790739" w:history="1">
            <w:r w:rsidR="000C17E1" w:rsidRPr="00EB4961">
              <w:rPr>
                <w:rStyle w:val="Hyperlink"/>
                <w:noProof/>
                <w:lang w:val="en-US"/>
              </w:rPr>
              <w:t>Interpreting the models</w:t>
            </w:r>
            <w:r w:rsidR="000C17E1">
              <w:rPr>
                <w:noProof/>
                <w:webHidden/>
              </w:rPr>
              <w:tab/>
            </w:r>
            <w:r w:rsidR="000C17E1">
              <w:rPr>
                <w:noProof/>
                <w:webHidden/>
              </w:rPr>
              <w:fldChar w:fldCharType="begin"/>
            </w:r>
            <w:r w:rsidR="000C17E1">
              <w:rPr>
                <w:noProof/>
                <w:webHidden/>
              </w:rPr>
              <w:instrText xml:space="preserve"> PAGEREF _Toc71790739 \h </w:instrText>
            </w:r>
            <w:r w:rsidR="000C17E1">
              <w:rPr>
                <w:noProof/>
                <w:webHidden/>
              </w:rPr>
            </w:r>
            <w:r w:rsidR="000C17E1">
              <w:rPr>
                <w:noProof/>
                <w:webHidden/>
              </w:rPr>
              <w:fldChar w:fldCharType="separate"/>
            </w:r>
            <w:r w:rsidR="000C17E1">
              <w:rPr>
                <w:noProof/>
                <w:webHidden/>
              </w:rPr>
              <w:t>9</w:t>
            </w:r>
            <w:r w:rsidR="000C17E1">
              <w:rPr>
                <w:noProof/>
                <w:webHidden/>
              </w:rPr>
              <w:fldChar w:fldCharType="end"/>
            </w:r>
          </w:hyperlink>
        </w:p>
        <w:p w14:paraId="6DECC66E" w14:textId="15359EFF" w:rsidR="000C17E1" w:rsidRDefault="009D69E3">
          <w:pPr>
            <w:pStyle w:val="TOC1"/>
            <w:tabs>
              <w:tab w:val="right" w:leader="dot" w:pos="9016"/>
            </w:tabs>
            <w:rPr>
              <w:rFonts w:asciiTheme="minorHAnsi" w:eastAsiaTheme="minorEastAsia" w:hAnsiTheme="minorHAnsi"/>
              <w:noProof/>
              <w:sz w:val="22"/>
              <w:lang w:eastAsia="en-GB"/>
            </w:rPr>
          </w:pPr>
          <w:hyperlink w:anchor="_Toc71790740" w:history="1">
            <w:r w:rsidR="000C17E1" w:rsidRPr="00EB4961">
              <w:rPr>
                <w:rStyle w:val="Hyperlink"/>
                <w:noProof/>
                <w:lang w:val="en-US"/>
              </w:rPr>
              <w:t>Section 3: Areas in Essex that are potentially at greater risk of being identified as ‘left-behind’</w:t>
            </w:r>
            <w:r w:rsidR="000C17E1">
              <w:rPr>
                <w:noProof/>
                <w:webHidden/>
              </w:rPr>
              <w:tab/>
            </w:r>
            <w:r w:rsidR="000C17E1">
              <w:rPr>
                <w:noProof/>
                <w:webHidden/>
              </w:rPr>
              <w:fldChar w:fldCharType="begin"/>
            </w:r>
            <w:r w:rsidR="000C17E1">
              <w:rPr>
                <w:noProof/>
                <w:webHidden/>
              </w:rPr>
              <w:instrText xml:space="preserve"> PAGEREF _Toc71790740 \h </w:instrText>
            </w:r>
            <w:r w:rsidR="000C17E1">
              <w:rPr>
                <w:noProof/>
                <w:webHidden/>
              </w:rPr>
            </w:r>
            <w:r w:rsidR="000C17E1">
              <w:rPr>
                <w:noProof/>
                <w:webHidden/>
              </w:rPr>
              <w:fldChar w:fldCharType="separate"/>
            </w:r>
            <w:r w:rsidR="000C17E1">
              <w:rPr>
                <w:noProof/>
                <w:webHidden/>
              </w:rPr>
              <w:t>11</w:t>
            </w:r>
            <w:r w:rsidR="000C17E1">
              <w:rPr>
                <w:noProof/>
                <w:webHidden/>
              </w:rPr>
              <w:fldChar w:fldCharType="end"/>
            </w:r>
          </w:hyperlink>
        </w:p>
        <w:p w14:paraId="2F856405" w14:textId="7F4D214C" w:rsidR="000C17E1" w:rsidRDefault="009D69E3">
          <w:pPr>
            <w:pStyle w:val="TOC2"/>
            <w:tabs>
              <w:tab w:val="right" w:leader="dot" w:pos="9016"/>
            </w:tabs>
            <w:rPr>
              <w:rFonts w:asciiTheme="minorHAnsi" w:eastAsiaTheme="minorEastAsia" w:hAnsiTheme="minorHAnsi"/>
              <w:noProof/>
              <w:sz w:val="22"/>
              <w:lang w:eastAsia="en-GB"/>
            </w:rPr>
          </w:pPr>
          <w:hyperlink w:anchor="_Toc71790741" w:history="1">
            <w:r w:rsidR="000C17E1" w:rsidRPr="00EB4961">
              <w:rPr>
                <w:rStyle w:val="Hyperlink"/>
                <w:noProof/>
              </w:rPr>
              <w:t>Unemployment rate among older people</w:t>
            </w:r>
            <w:r w:rsidR="000C17E1">
              <w:rPr>
                <w:noProof/>
                <w:webHidden/>
              </w:rPr>
              <w:tab/>
            </w:r>
            <w:r w:rsidR="000C17E1">
              <w:rPr>
                <w:noProof/>
                <w:webHidden/>
              </w:rPr>
              <w:fldChar w:fldCharType="begin"/>
            </w:r>
            <w:r w:rsidR="000C17E1">
              <w:rPr>
                <w:noProof/>
                <w:webHidden/>
              </w:rPr>
              <w:instrText xml:space="preserve"> PAGEREF _Toc71790741 \h </w:instrText>
            </w:r>
            <w:r w:rsidR="000C17E1">
              <w:rPr>
                <w:noProof/>
                <w:webHidden/>
              </w:rPr>
            </w:r>
            <w:r w:rsidR="000C17E1">
              <w:rPr>
                <w:noProof/>
                <w:webHidden/>
              </w:rPr>
              <w:fldChar w:fldCharType="separate"/>
            </w:r>
            <w:r w:rsidR="000C17E1">
              <w:rPr>
                <w:noProof/>
                <w:webHidden/>
              </w:rPr>
              <w:t>11</w:t>
            </w:r>
            <w:r w:rsidR="000C17E1">
              <w:rPr>
                <w:noProof/>
                <w:webHidden/>
              </w:rPr>
              <w:fldChar w:fldCharType="end"/>
            </w:r>
          </w:hyperlink>
        </w:p>
        <w:p w14:paraId="2B5AE99C" w14:textId="782A799C" w:rsidR="000C17E1" w:rsidRDefault="009D69E3">
          <w:pPr>
            <w:pStyle w:val="TOC2"/>
            <w:tabs>
              <w:tab w:val="right" w:leader="dot" w:pos="9016"/>
            </w:tabs>
            <w:rPr>
              <w:rFonts w:asciiTheme="minorHAnsi" w:eastAsiaTheme="minorEastAsia" w:hAnsiTheme="minorHAnsi"/>
              <w:noProof/>
              <w:sz w:val="22"/>
              <w:lang w:eastAsia="en-GB"/>
            </w:rPr>
          </w:pPr>
          <w:hyperlink w:anchor="_Toc71790742" w:history="1">
            <w:r w:rsidR="000C17E1" w:rsidRPr="00EB4961">
              <w:rPr>
                <w:rStyle w:val="Hyperlink"/>
                <w:noProof/>
              </w:rPr>
              <w:t>Children (aged 0-15) with a limiting long-term illness</w:t>
            </w:r>
            <w:r w:rsidR="000C17E1">
              <w:rPr>
                <w:noProof/>
                <w:webHidden/>
              </w:rPr>
              <w:tab/>
            </w:r>
            <w:r w:rsidR="000C17E1">
              <w:rPr>
                <w:noProof/>
                <w:webHidden/>
              </w:rPr>
              <w:fldChar w:fldCharType="begin"/>
            </w:r>
            <w:r w:rsidR="000C17E1">
              <w:rPr>
                <w:noProof/>
                <w:webHidden/>
              </w:rPr>
              <w:instrText xml:space="preserve"> PAGEREF _Toc71790742 \h </w:instrText>
            </w:r>
            <w:r w:rsidR="000C17E1">
              <w:rPr>
                <w:noProof/>
                <w:webHidden/>
              </w:rPr>
            </w:r>
            <w:r w:rsidR="000C17E1">
              <w:rPr>
                <w:noProof/>
                <w:webHidden/>
              </w:rPr>
              <w:fldChar w:fldCharType="separate"/>
            </w:r>
            <w:r w:rsidR="000C17E1">
              <w:rPr>
                <w:noProof/>
                <w:webHidden/>
              </w:rPr>
              <w:t>12</w:t>
            </w:r>
            <w:r w:rsidR="000C17E1">
              <w:rPr>
                <w:noProof/>
                <w:webHidden/>
              </w:rPr>
              <w:fldChar w:fldCharType="end"/>
            </w:r>
          </w:hyperlink>
        </w:p>
        <w:p w14:paraId="59C0DEAF" w14:textId="7CB52FC7" w:rsidR="000C17E1" w:rsidRDefault="009D69E3">
          <w:pPr>
            <w:pStyle w:val="TOC2"/>
            <w:tabs>
              <w:tab w:val="right" w:leader="dot" w:pos="9016"/>
            </w:tabs>
            <w:rPr>
              <w:rFonts w:asciiTheme="minorHAnsi" w:eastAsiaTheme="minorEastAsia" w:hAnsiTheme="minorHAnsi"/>
              <w:noProof/>
              <w:sz w:val="22"/>
              <w:lang w:eastAsia="en-GB"/>
            </w:rPr>
          </w:pPr>
          <w:hyperlink w:anchor="_Toc71790743" w:history="1">
            <w:r w:rsidR="000C17E1" w:rsidRPr="00EB4961">
              <w:rPr>
                <w:rStyle w:val="Hyperlink"/>
                <w:noProof/>
                <w:lang w:val="en-US"/>
              </w:rPr>
              <w:t>In-commuters</w:t>
            </w:r>
            <w:r w:rsidR="000C17E1">
              <w:rPr>
                <w:noProof/>
                <w:webHidden/>
              </w:rPr>
              <w:tab/>
            </w:r>
            <w:r w:rsidR="000C17E1">
              <w:rPr>
                <w:noProof/>
                <w:webHidden/>
              </w:rPr>
              <w:fldChar w:fldCharType="begin"/>
            </w:r>
            <w:r w:rsidR="000C17E1">
              <w:rPr>
                <w:noProof/>
                <w:webHidden/>
              </w:rPr>
              <w:instrText xml:space="preserve"> PAGEREF _Toc71790743 \h </w:instrText>
            </w:r>
            <w:r w:rsidR="000C17E1">
              <w:rPr>
                <w:noProof/>
                <w:webHidden/>
              </w:rPr>
            </w:r>
            <w:r w:rsidR="000C17E1">
              <w:rPr>
                <w:noProof/>
                <w:webHidden/>
              </w:rPr>
              <w:fldChar w:fldCharType="separate"/>
            </w:r>
            <w:r w:rsidR="000C17E1">
              <w:rPr>
                <w:noProof/>
                <w:webHidden/>
              </w:rPr>
              <w:t>13</w:t>
            </w:r>
            <w:r w:rsidR="000C17E1">
              <w:rPr>
                <w:noProof/>
                <w:webHidden/>
              </w:rPr>
              <w:fldChar w:fldCharType="end"/>
            </w:r>
          </w:hyperlink>
        </w:p>
        <w:p w14:paraId="572BD7AF" w14:textId="03D76132" w:rsidR="000C17E1" w:rsidRDefault="009D69E3">
          <w:pPr>
            <w:pStyle w:val="TOC2"/>
            <w:tabs>
              <w:tab w:val="right" w:leader="dot" w:pos="9016"/>
            </w:tabs>
            <w:rPr>
              <w:rFonts w:asciiTheme="minorHAnsi" w:eastAsiaTheme="minorEastAsia" w:hAnsiTheme="minorHAnsi"/>
              <w:noProof/>
              <w:sz w:val="22"/>
              <w:lang w:eastAsia="en-GB"/>
            </w:rPr>
          </w:pPr>
          <w:hyperlink w:anchor="_Toc71790744" w:history="1">
            <w:r w:rsidR="000C17E1" w:rsidRPr="00EB4961">
              <w:rPr>
                <w:rStyle w:val="Hyperlink"/>
                <w:noProof/>
                <w:lang w:val="en-US"/>
              </w:rPr>
              <w:t>People holding degree or higher level qualifications</w:t>
            </w:r>
            <w:r w:rsidR="000C17E1">
              <w:rPr>
                <w:noProof/>
                <w:webHidden/>
              </w:rPr>
              <w:tab/>
            </w:r>
            <w:r w:rsidR="000C17E1">
              <w:rPr>
                <w:noProof/>
                <w:webHidden/>
              </w:rPr>
              <w:fldChar w:fldCharType="begin"/>
            </w:r>
            <w:r w:rsidR="000C17E1">
              <w:rPr>
                <w:noProof/>
                <w:webHidden/>
              </w:rPr>
              <w:instrText xml:space="preserve"> PAGEREF _Toc71790744 \h </w:instrText>
            </w:r>
            <w:r w:rsidR="000C17E1">
              <w:rPr>
                <w:noProof/>
                <w:webHidden/>
              </w:rPr>
            </w:r>
            <w:r w:rsidR="000C17E1">
              <w:rPr>
                <w:noProof/>
                <w:webHidden/>
              </w:rPr>
              <w:fldChar w:fldCharType="separate"/>
            </w:r>
            <w:r w:rsidR="000C17E1">
              <w:rPr>
                <w:noProof/>
                <w:webHidden/>
              </w:rPr>
              <w:t>13</w:t>
            </w:r>
            <w:r w:rsidR="000C17E1">
              <w:rPr>
                <w:noProof/>
                <w:webHidden/>
              </w:rPr>
              <w:fldChar w:fldCharType="end"/>
            </w:r>
          </w:hyperlink>
        </w:p>
        <w:p w14:paraId="47FE34EF" w14:textId="5200FC83" w:rsidR="000C17E1" w:rsidRDefault="009D69E3">
          <w:pPr>
            <w:pStyle w:val="TOC2"/>
            <w:tabs>
              <w:tab w:val="right" w:leader="dot" w:pos="9016"/>
            </w:tabs>
            <w:rPr>
              <w:rFonts w:asciiTheme="minorHAnsi" w:eastAsiaTheme="minorEastAsia" w:hAnsiTheme="minorHAnsi"/>
              <w:noProof/>
              <w:sz w:val="22"/>
              <w:lang w:eastAsia="en-GB"/>
            </w:rPr>
          </w:pPr>
          <w:hyperlink w:anchor="_Toc71790745" w:history="1">
            <w:r w:rsidR="000C17E1" w:rsidRPr="00EB4961">
              <w:rPr>
                <w:rStyle w:val="Hyperlink"/>
                <w:noProof/>
                <w:lang w:val="en-US"/>
              </w:rPr>
              <w:t>Wards experiencing multiple challenges on high risk factors</w:t>
            </w:r>
            <w:r w:rsidR="000C17E1">
              <w:rPr>
                <w:noProof/>
                <w:webHidden/>
              </w:rPr>
              <w:tab/>
            </w:r>
            <w:r w:rsidR="000C17E1">
              <w:rPr>
                <w:noProof/>
                <w:webHidden/>
              </w:rPr>
              <w:fldChar w:fldCharType="begin"/>
            </w:r>
            <w:r w:rsidR="000C17E1">
              <w:rPr>
                <w:noProof/>
                <w:webHidden/>
              </w:rPr>
              <w:instrText xml:space="preserve"> PAGEREF _Toc71790745 \h </w:instrText>
            </w:r>
            <w:r w:rsidR="000C17E1">
              <w:rPr>
                <w:noProof/>
                <w:webHidden/>
              </w:rPr>
            </w:r>
            <w:r w:rsidR="000C17E1">
              <w:rPr>
                <w:noProof/>
                <w:webHidden/>
              </w:rPr>
              <w:fldChar w:fldCharType="separate"/>
            </w:r>
            <w:r w:rsidR="000C17E1">
              <w:rPr>
                <w:noProof/>
                <w:webHidden/>
              </w:rPr>
              <w:t>14</w:t>
            </w:r>
            <w:r w:rsidR="000C17E1">
              <w:rPr>
                <w:noProof/>
                <w:webHidden/>
              </w:rPr>
              <w:fldChar w:fldCharType="end"/>
            </w:r>
          </w:hyperlink>
        </w:p>
        <w:p w14:paraId="7E417EED" w14:textId="28E9EEC7" w:rsidR="000C17E1" w:rsidRDefault="009D69E3">
          <w:pPr>
            <w:pStyle w:val="TOC1"/>
            <w:tabs>
              <w:tab w:val="right" w:leader="dot" w:pos="9016"/>
            </w:tabs>
            <w:rPr>
              <w:rFonts w:asciiTheme="minorHAnsi" w:eastAsiaTheme="minorEastAsia" w:hAnsiTheme="minorHAnsi"/>
              <w:noProof/>
              <w:sz w:val="22"/>
              <w:lang w:eastAsia="en-GB"/>
            </w:rPr>
          </w:pPr>
          <w:hyperlink w:anchor="_Toc71790746" w:history="1">
            <w:r w:rsidR="000C17E1" w:rsidRPr="00EB4961">
              <w:rPr>
                <w:rStyle w:val="Hyperlink"/>
                <w:noProof/>
              </w:rPr>
              <w:t>Appendix A: The initial long-list</w:t>
            </w:r>
            <w:r w:rsidR="000C17E1">
              <w:rPr>
                <w:noProof/>
                <w:webHidden/>
              </w:rPr>
              <w:tab/>
            </w:r>
            <w:r w:rsidR="000C17E1">
              <w:rPr>
                <w:noProof/>
                <w:webHidden/>
              </w:rPr>
              <w:fldChar w:fldCharType="begin"/>
            </w:r>
            <w:r w:rsidR="000C17E1">
              <w:rPr>
                <w:noProof/>
                <w:webHidden/>
              </w:rPr>
              <w:instrText xml:space="preserve"> PAGEREF _Toc71790746 \h </w:instrText>
            </w:r>
            <w:r w:rsidR="000C17E1">
              <w:rPr>
                <w:noProof/>
                <w:webHidden/>
              </w:rPr>
            </w:r>
            <w:r w:rsidR="000C17E1">
              <w:rPr>
                <w:noProof/>
                <w:webHidden/>
              </w:rPr>
              <w:fldChar w:fldCharType="separate"/>
            </w:r>
            <w:r w:rsidR="000C17E1">
              <w:rPr>
                <w:noProof/>
                <w:webHidden/>
              </w:rPr>
              <w:t>16</w:t>
            </w:r>
            <w:r w:rsidR="000C17E1">
              <w:rPr>
                <w:noProof/>
                <w:webHidden/>
              </w:rPr>
              <w:fldChar w:fldCharType="end"/>
            </w:r>
          </w:hyperlink>
        </w:p>
        <w:p w14:paraId="31AF3C97" w14:textId="27B1D978" w:rsidR="000C17E1" w:rsidRDefault="009D69E3">
          <w:pPr>
            <w:pStyle w:val="TOC1"/>
            <w:tabs>
              <w:tab w:val="right" w:leader="dot" w:pos="9016"/>
            </w:tabs>
            <w:rPr>
              <w:rFonts w:asciiTheme="minorHAnsi" w:eastAsiaTheme="minorEastAsia" w:hAnsiTheme="minorHAnsi"/>
              <w:noProof/>
              <w:sz w:val="22"/>
              <w:lang w:eastAsia="en-GB"/>
            </w:rPr>
          </w:pPr>
          <w:hyperlink w:anchor="_Toc71790747" w:history="1">
            <w:r w:rsidR="000C17E1" w:rsidRPr="00EB4961">
              <w:rPr>
                <w:rStyle w:val="Hyperlink"/>
                <w:noProof/>
              </w:rPr>
              <w:t>Appendix B Left-behind areas in Essex</w:t>
            </w:r>
            <w:r w:rsidR="000C17E1">
              <w:rPr>
                <w:noProof/>
                <w:webHidden/>
              </w:rPr>
              <w:tab/>
            </w:r>
            <w:r w:rsidR="000C17E1">
              <w:rPr>
                <w:noProof/>
                <w:webHidden/>
              </w:rPr>
              <w:fldChar w:fldCharType="begin"/>
            </w:r>
            <w:r w:rsidR="000C17E1">
              <w:rPr>
                <w:noProof/>
                <w:webHidden/>
              </w:rPr>
              <w:instrText xml:space="preserve"> PAGEREF _Toc71790747 \h </w:instrText>
            </w:r>
            <w:r w:rsidR="000C17E1">
              <w:rPr>
                <w:noProof/>
                <w:webHidden/>
              </w:rPr>
            </w:r>
            <w:r w:rsidR="000C17E1">
              <w:rPr>
                <w:noProof/>
                <w:webHidden/>
              </w:rPr>
              <w:fldChar w:fldCharType="separate"/>
            </w:r>
            <w:r w:rsidR="000C17E1">
              <w:rPr>
                <w:noProof/>
                <w:webHidden/>
              </w:rPr>
              <w:t>21</w:t>
            </w:r>
            <w:r w:rsidR="000C17E1">
              <w:rPr>
                <w:noProof/>
                <w:webHidden/>
              </w:rPr>
              <w:fldChar w:fldCharType="end"/>
            </w:r>
          </w:hyperlink>
        </w:p>
        <w:p w14:paraId="1D1B7376" w14:textId="2AB43550" w:rsidR="00AE7855" w:rsidRPr="00192ECD" w:rsidRDefault="00AE7855" w:rsidP="00AE7855">
          <w:pPr>
            <w:rPr>
              <w:color w:val="000000" w:themeColor="text1"/>
            </w:rPr>
          </w:pPr>
          <w:r w:rsidRPr="00192ECD">
            <w:rPr>
              <w:noProof/>
              <w:color w:val="000000" w:themeColor="text1"/>
            </w:rPr>
            <w:fldChar w:fldCharType="end"/>
          </w:r>
        </w:p>
      </w:sdtContent>
    </w:sdt>
    <w:p w14:paraId="4129496A" w14:textId="77777777" w:rsidR="00AE7855" w:rsidRPr="00192ECD" w:rsidRDefault="00AE7855" w:rsidP="00AE7855">
      <w:pPr>
        <w:rPr>
          <w:color w:val="000000" w:themeColor="text1"/>
        </w:rPr>
      </w:pPr>
    </w:p>
    <w:p w14:paraId="67F22F49" w14:textId="77777777" w:rsidR="00AE7855" w:rsidRPr="00192ECD" w:rsidRDefault="00AE7855" w:rsidP="00AE7855">
      <w:pPr>
        <w:rPr>
          <w:rFonts w:eastAsiaTheme="majorEastAsia" w:cstheme="majorBidi"/>
          <w:color w:val="000000" w:themeColor="text1"/>
          <w:sz w:val="32"/>
          <w:szCs w:val="32"/>
        </w:rPr>
      </w:pPr>
      <w:r w:rsidRPr="00192ECD">
        <w:rPr>
          <w:color w:val="000000" w:themeColor="text1"/>
        </w:rPr>
        <w:br w:type="page"/>
      </w:r>
    </w:p>
    <w:p w14:paraId="510D042C" w14:textId="77777777" w:rsidR="00AE7855" w:rsidRPr="00192ECD" w:rsidRDefault="00AE7855" w:rsidP="00AE7855">
      <w:pPr>
        <w:pStyle w:val="Heading1"/>
        <w:rPr>
          <w:color w:val="000000" w:themeColor="text1"/>
        </w:rPr>
      </w:pPr>
      <w:bookmarkStart w:id="1" w:name="_Toc71790725"/>
      <w:r w:rsidRPr="00192ECD">
        <w:rPr>
          <w:color w:val="000000" w:themeColor="text1"/>
        </w:rPr>
        <w:lastRenderedPageBreak/>
        <w:t>Introduction</w:t>
      </w:r>
      <w:bookmarkEnd w:id="1"/>
    </w:p>
    <w:p w14:paraId="7B65E11A" w14:textId="14D6B4CB" w:rsidR="00AE7855" w:rsidRDefault="00AE7855" w:rsidP="00AE7855">
      <w:pPr>
        <w:rPr>
          <w:color w:val="000000" w:themeColor="text1"/>
        </w:rPr>
      </w:pPr>
    </w:p>
    <w:p w14:paraId="61743ACB" w14:textId="77777777" w:rsidR="008820F3" w:rsidRDefault="008820F3" w:rsidP="00AA354C">
      <w:pPr>
        <w:tabs>
          <w:tab w:val="left" w:pos="794"/>
          <w:tab w:val="num" w:pos="1154"/>
        </w:tabs>
        <w:rPr>
          <w:rFonts w:eastAsia="Arial Unicode MS" w:cstheme="minorHAnsi"/>
          <w:lang w:eastAsia="zh-TW"/>
        </w:rPr>
      </w:pPr>
      <w:bookmarkStart w:id="2" w:name="_Toc289694091"/>
      <w:bookmarkStart w:id="3" w:name="_Toc288646629"/>
      <w:r>
        <w:t xml:space="preserve">The </w:t>
      </w:r>
      <w:r w:rsidRPr="00F73CB3">
        <w:rPr>
          <w:rFonts w:eastAsia="Arial Unicode MS" w:cstheme="minorHAnsi"/>
          <w:lang w:eastAsia="zh-TW"/>
        </w:rPr>
        <w:t>‘</w:t>
      </w:r>
      <w:r w:rsidRPr="008820F3">
        <w:rPr>
          <w:rFonts w:eastAsia="Arial Unicode MS" w:cstheme="minorHAnsi"/>
          <w:i/>
          <w:iCs/>
          <w:lang w:eastAsia="zh-TW"/>
        </w:rPr>
        <w:t>Left behind’ areas in Essex</w:t>
      </w:r>
      <w:r>
        <w:t xml:space="preserve"> review seeks</w:t>
      </w:r>
      <w:r w:rsidR="00F73CB3">
        <w:t xml:space="preserve"> to </w:t>
      </w:r>
      <w:r>
        <w:rPr>
          <w:rFonts w:eastAsia="Arial Unicode MS" w:cstheme="minorHAnsi"/>
          <w:lang w:eastAsia="zh-TW"/>
        </w:rPr>
        <w:t xml:space="preserve">provide a detailed quantitative </w:t>
      </w:r>
      <w:r w:rsidR="00F73CB3" w:rsidRPr="004A6A3F">
        <w:rPr>
          <w:rFonts w:eastAsia="Arial Unicode MS" w:cstheme="minorHAnsi"/>
          <w:lang w:eastAsia="zh-TW"/>
        </w:rPr>
        <w:t xml:space="preserve">contextual </w:t>
      </w:r>
      <w:r>
        <w:rPr>
          <w:rFonts w:eastAsia="Arial Unicode MS" w:cstheme="minorHAnsi"/>
          <w:lang w:eastAsia="zh-TW"/>
        </w:rPr>
        <w:t>profile</w:t>
      </w:r>
      <w:r w:rsidR="00F73CB3" w:rsidRPr="004A6A3F">
        <w:rPr>
          <w:rFonts w:eastAsia="Arial Unicode MS" w:cstheme="minorHAnsi"/>
          <w:lang w:eastAsia="zh-TW"/>
        </w:rPr>
        <w:t xml:space="preserve"> of </w:t>
      </w:r>
      <w:r>
        <w:rPr>
          <w:rFonts w:eastAsia="Arial Unicode MS" w:cstheme="minorHAnsi"/>
          <w:lang w:eastAsia="zh-TW"/>
        </w:rPr>
        <w:t xml:space="preserve">the </w:t>
      </w:r>
      <w:r w:rsidR="00F73CB3" w:rsidRPr="004A6A3F">
        <w:rPr>
          <w:rFonts w:eastAsia="Arial Unicode MS" w:cstheme="minorHAnsi"/>
          <w:lang w:eastAsia="zh-TW"/>
        </w:rPr>
        <w:t xml:space="preserve">communities </w:t>
      </w:r>
      <w:r>
        <w:rPr>
          <w:rFonts w:eastAsia="Arial Unicode MS" w:cstheme="minorHAnsi"/>
          <w:lang w:eastAsia="zh-TW"/>
        </w:rPr>
        <w:t xml:space="preserve">living </w:t>
      </w:r>
      <w:r w:rsidR="00F73CB3" w:rsidRPr="004A6A3F">
        <w:rPr>
          <w:rFonts w:eastAsia="Arial Unicode MS" w:cstheme="minorHAnsi"/>
          <w:lang w:eastAsia="zh-TW"/>
        </w:rPr>
        <w:t xml:space="preserve">in </w:t>
      </w:r>
      <w:r>
        <w:rPr>
          <w:rFonts w:eastAsia="Arial Unicode MS" w:cstheme="minorHAnsi"/>
          <w:lang w:eastAsia="zh-TW"/>
        </w:rPr>
        <w:t>Essex,</w:t>
      </w:r>
      <w:r w:rsidR="00F73CB3">
        <w:rPr>
          <w:rFonts w:eastAsia="Arial Unicode MS" w:cstheme="minorHAnsi"/>
          <w:lang w:eastAsia="zh-TW"/>
        </w:rPr>
        <w:t xml:space="preserve"> </w:t>
      </w:r>
      <w:r w:rsidR="00F73CB3" w:rsidRPr="004A6A3F">
        <w:rPr>
          <w:rFonts w:eastAsia="Arial Unicode MS" w:cstheme="minorHAnsi"/>
          <w:lang w:eastAsia="zh-TW"/>
        </w:rPr>
        <w:t>particularly those categorised as ‘left behind’.</w:t>
      </w:r>
      <w:r w:rsidR="00F73CB3">
        <w:rPr>
          <w:rFonts w:eastAsia="Arial Unicode MS" w:cstheme="minorHAnsi"/>
          <w:lang w:eastAsia="zh-TW"/>
        </w:rPr>
        <w:t xml:space="preserve"> </w:t>
      </w:r>
    </w:p>
    <w:p w14:paraId="5AF81CD5" w14:textId="1EB5D827" w:rsidR="00F73CB3" w:rsidRDefault="00F73CB3" w:rsidP="00AA354C">
      <w:pPr>
        <w:tabs>
          <w:tab w:val="left" w:pos="794"/>
          <w:tab w:val="num" w:pos="1154"/>
        </w:tabs>
        <w:rPr>
          <w:rFonts w:eastAsia="Arial Unicode MS" w:cstheme="minorHAnsi"/>
          <w:lang w:eastAsia="zh-TW"/>
        </w:rPr>
      </w:pPr>
      <w:r>
        <w:t>In commissioning th</w:t>
      </w:r>
      <w:r w:rsidR="008820F3">
        <w:t>is</w:t>
      </w:r>
      <w:r>
        <w:t xml:space="preserve"> </w:t>
      </w:r>
      <w:r w:rsidR="008820F3">
        <w:rPr>
          <w:rFonts w:eastAsia="Arial Unicode MS" w:cstheme="minorHAnsi"/>
          <w:lang w:eastAsia="zh-TW"/>
        </w:rPr>
        <w:t>review</w:t>
      </w:r>
      <w:r>
        <w:rPr>
          <w:rFonts w:eastAsia="Arial Unicode MS" w:cstheme="minorHAnsi"/>
          <w:lang w:eastAsia="zh-TW"/>
        </w:rPr>
        <w:t xml:space="preserve">, </w:t>
      </w:r>
      <w:r w:rsidR="00660B3E">
        <w:rPr>
          <w:rFonts w:eastAsia="Arial Unicode MS" w:cstheme="minorHAnsi"/>
          <w:lang w:eastAsia="zh-TW"/>
        </w:rPr>
        <w:t xml:space="preserve">Essex CC are seeking to broaden and deepen their understanding of </w:t>
      </w:r>
      <w:r w:rsidR="000A4621">
        <w:rPr>
          <w:rFonts w:eastAsia="Arial Unicode MS" w:cstheme="minorHAnsi"/>
          <w:lang w:eastAsia="zh-TW"/>
        </w:rPr>
        <w:t xml:space="preserve">the </w:t>
      </w:r>
      <w:r w:rsidR="00660B3E">
        <w:rPr>
          <w:rFonts w:eastAsia="Arial Unicode MS" w:cstheme="minorHAnsi"/>
          <w:lang w:eastAsia="zh-TW"/>
        </w:rPr>
        <w:t xml:space="preserve">needs and challenges in their communities, extending the scope of </w:t>
      </w:r>
      <w:r w:rsidR="008820F3">
        <w:rPr>
          <w:rFonts w:eastAsia="Arial Unicode MS" w:cstheme="minorHAnsi"/>
          <w:lang w:eastAsia="zh-TW"/>
        </w:rPr>
        <w:t>the data exploration</w:t>
      </w:r>
      <w:r w:rsidR="00660B3E">
        <w:rPr>
          <w:rFonts w:eastAsia="Arial Unicode MS" w:cstheme="minorHAnsi"/>
          <w:lang w:eastAsia="zh-TW"/>
        </w:rPr>
        <w:t xml:space="preserve"> beyond conventional socio-economic measures to </w:t>
      </w:r>
      <w:r w:rsidR="008820F3">
        <w:rPr>
          <w:rFonts w:eastAsia="Arial Unicode MS" w:cstheme="minorHAnsi"/>
          <w:lang w:eastAsia="zh-TW"/>
        </w:rPr>
        <w:t>cover</w:t>
      </w:r>
      <w:r w:rsidR="00660B3E">
        <w:rPr>
          <w:rFonts w:eastAsia="Arial Unicode MS" w:cstheme="minorHAnsi"/>
          <w:lang w:eastAsia="zh-TW"/>
        </w:rPr>
        <w:t xml:space="preserve"> </w:t>
      </w:r>
      <w:r>
        <w:rPr>
          <w:rFonts w:eastAsia="Arial Unicode MS" w:cstheme="minorHAnsi"/>
          <w:lang w:eastAsia="zh-TW"/>
        </w:rPr>
        <w:t>challenges concerning the strength of their community and civic assets</w:t>
      </w:r>
      <w:r w:rsidR="00660B3E">
        <w:rPr>
          <w:rFonts w:eastAsia="Arial Unicode MS" w:cstheme="minorHAnsi"/>
          <w:lang w:eastAsia="zh-TW"/>
        </w:rPr>
        <w:t xml:space="preserve">, connectivity and social isolation, the </w:t>
      </w:r>
      <w:r w:rsidR="008820F3">
        <w:rPr>
          <w:rFonts w:eastAsia="Arial Unicode MS" w:cstheme="minorHAnsi"/>
          <w:lang w:eastAsia="zh-TW"/>
        </w:rPr>
        <w:t>activity of</w:t>
      </w:r>
      <w:r w:rsidR="00660B3E">
        <w:rPr>
          <w:rFonts w:eastAsia="Arial Unicode MS" w:cstheme="minorHAnsi"/>
          <w:lang w:eastAsia="zh-TW"/>
        </w:rPr>
        <w:t xml:space="preserve"> the third sector and extent of civic participation</w:t>
      </w:r>
      <w:r w:rsidR="008820F3">
        <w:rPr>
          <w:rFonts w:eastAsia="Arial Unicode MS" w:cstheme="minorHAnsi"/>
          <w:lang w:eastAsia="zh-TW"/>
        </w:rPr>
        <w:t xml:space="preserve"> in local neighbourhoods in Essex</w:t>
      </w:r>
      <w:r>
        <w:rPr>
          <w:rFonts w:eastAsia="Arial Unicode MS" w:cstheme="minorHAnsi"/>
          <w:lang w:eastAsia="zh-TW"/>
        </w:rPr>
        <w:t xml:space="preserve">. </w:t>
      </w:r>
    </w:p>
    <w:p w14:paraId="1D1A169C" w14:textId="1FFD0478" w:rsidR="008820F3" w:rsidRDefault="008820F3" w:rsidP="00AA354C">
      <w:pPr>
        <w:tabs>
          <w:tab w:val="left" w:pos="794"/>
          <w:tab w:val="num" w:pos="1154"/>
        </w:tabs>
      </w:pPr>
    </w:p>
    <w:p w14:paraId="48A12A90" w14:textId="0E240CFA" w:rsidR="00C90E42" w:rsidRDefault="00C90E42" w:rsidP="00AA354C">
      <w:pPr>
        <w:pStyle w:val="Heading2"/>
      </w:pPr>
      <w:bookmarkStart w:id="4" w:name="_Toc71790726"/>
      <w:r>
        <w:t>Context of the review</w:t>
      </w:r>
      <w:bookmarkEnd w:id="4"/>
    </w:p>
    <w:p w14:paraId="12B75602" w14:textId="77777777" w:rsidR="00465B9F" w:rsidRDefault="00660B3E" w:rsidP="00AA354C">
      <w:pPr>
        <w:pStyle w:val="NormalWeb"/>
        <w:spacing w:before="300" w:beforeAutospacing="0"/>
        <w:rPr>
          <w:rFonts w:ascii="Century Gothic" w:eastAsia="Arial Unicode MS" w:hAnsi="Century Gothic" w:cstheme="minorHAnsi"/>
          <w:sz w:val="20"/>
          <w:szCs w:val="20"/>
          <w:lang w:eastAsia="zh-TW"/>
        </w:rPr>
      </w:pPr>
      <w:r w:rsidRPr="00C90E42">
        <w:rPr>
          <w:rFonts w:ascii="Century Gothic" w:eastAsia="Arial Unicode MS" w:hAnsi="Century Gothic" w:cstheme="minorHAnsi"/>
          <w:sz w:val="20"/>
          <w:szCs w:val="20"/>
          <w:lang w:eastAsia="zh-TW"/>
        </w:rPr>
        <w:t>The IMD has provided extensive and detailed information about deprivation in Essex but does not provide a complete picture of the county in terms of the places that are ‘left behind’, and the underlying factors which contribute to community need.</w:t>
      </w:r>
      <w:r w:rsidR="00C90E42">
        <w:rPr>
          <w:rFonts w:ascii="Century Gothic" w:eastAsia="Arial Unicode MS" w:hAnsi="Century Gothic" w:cstheme="minorHAnsi"/>
          <w:sz w:val="20"/>
          <w:szCs w:val="20"/>
          <w:lang w:eastAsia="zh-TW"/>
        </w:rPr>
        <w:t xml:space="preserve"> </w:t>
      </w:r>
    </w:p>
    <w:p w14:paraId="12D98718" w14:textId="41C5BF68" w:rsidR="00465B9F" w:rsidRDefault="00C90E42" w:rsidP="00AA354C">
      <w:pPr>
        <w:pStyle w:val="NormalWeb"/>
        <w:spacing w:before="300" w:beforeAutospacing="0"/>
        <w:rPr>
          <w:rFonts w:ascii="Century Gothic" w:eastAsia="Arial Unicode MS" w:hAnsi="Century Gothic" w:cstheme="minorHAnsi"/>
          <w:sz w:val="20"/>
          <w:szCs w:val="20"/>
          <w:lang w:eastAsia="zh-TW"/>
        </w:rPr>
      </w:pPr>
      <w:r w:rsidRPr="00C90E42">
        <w:rPr>
          <w:rFonts w:ascii="Century Gothic" w:eastAsia="Arial Unicode MS" w:hAnsi="Century Gothic" w:cstheme="minorHAnsi"/>
          <w:sz w:val="20"/>
          <w:szCs w:val="20"/>
          <w:lang w:eastAsia="zh-TW"/>
        </w:rPr>
        <w:t xml:space="preserve">Qualitative research has indicated that </w:t>
      </w:r>
      <w:r w:rsidR="000A4621">
        <w:rPr>
          <w:rFonts w:ascii="Century Gothic" w:eastAsia="Arial Unicode MS" w:hAnsi="Century Gothic" w:cstheme="minorHAnsi"/>
          <w:sz w:val="20"/>
          <w:szCs w:val="20"/>
          <w:lang w:eastAsia="zh-TW"/>
        </w:rPr>
        <w:t xml:space="preserve">a </w:t>
      </w:r>
      <w:r w:rsidRPr="00C90E42">
        <w:rPr>
          <w:rFonts w:ascii="Century Gothic" w:eastAsia="Arial Unicode MS" w:hAnsi="Century Gothic" w:cstheme="minorHAnsi"/>
          <w:sz w:val="20"/>
          <w:szCs w:val="20"/>
          <w:lang w:eastAsia="zh-TW"/>
        </w:rPr>
        <w:t xml:space="preserve">lack of spaces to meet and poor connectivity </w:t>
      </w:r>
      <w:r w:rsidR="000A4621">
        <w:rPr>
          <w:rFonts w:ascii="Century Gothic" w:eastAsia="Arial Unicode MS" w:hAnsi="Century Gothic" w:cstheme="minorHAnsi"/>
          <w:sz w:val="20"/>
          <w:szCs w:val="20"/>
          <w:lang w:eastAsia="zh-TW"/>
        </w:rPr>
        <w:t xml:space="preserve">are </w:t>
      </w:r>
      <w:r w:rsidRPr="00C90E42">
        <w:rPr>
          <w:rFonts w:ascii="Century Gothic" w:eastAsia="Arial Unicode MS" w:hAnsi="Century Gothic" w:cstheme="minorHAnsi"/>
          <w:sz w:val="20"/>
          <w:szCs w:val="20"/>
          <w:lang w:eastAsia="zh-TW"/>
        </w:rPr>
        <w:t>key priority issues for local residents in establishing health</w:t>
      </w:r>
      <w:r w:rsidR="000A4621">
        <w:rPr>
          <w:rFonts w:ascii="Century Gothic" w:eastAsia="Arial Unicode MS" w:hAnsi="Century Gothic" w:cstheme="minorHAnsi"/>
          <w:sz w:val="20"/>
          <w:szCs w:val="20"/>
          <w:lang w:eastAsia="zh-TW"/>
        </w:rPr>
        <w:t>y</w:t>
      </w:r>
      <w:r w:rsidRPr="00C90E42">
        <w:rPr>
          <w:rFonts w:ascii="Century Gothic" w:eastAsia="Arial Unicode MS" w:hAnsi="Century Gothic" w:cstheme="minorHAnsi"/>
          <w:sz w:val="20"/>
          <w:szCs w:val="20"/>
          <w:lang w:eastAsia="zh-TW"/>
        </w:rPr>
        <w:t xml:space="preserve"> communities, while an active and engaged community was seen as a necessary ingredient to help affect meaningful change and address challenges</w:t>
      </w:r>
      <w:r w:rsidR="008609C7" w:rsidRPr="00C90E42">
        <w:rPr>
          <w:rStyle w:val="FootnoteReference"/>
          <w:rFonts w:ascii="Century Gothic" w:hAnsi="Century Gothic"/>
          <w:color w:val="212529"/>
          <w:sz w:val="20"/>
          <w:szCs w:val="20"/>
        </w:rPr>
        <w:footnoteReference w:id="2"/>
      </w:r>
      <w:r>
        <w:rPr>
          <w:rFonts w:ascii="Century Gothic" w:eastAsia="Arial Unicode MS" w:hAnsi="Century Gothic" w:cstheme="minorHAnsi"/>
          <w:sz w:val="20"/>
          <w:szCs w:val="20"/>
          <w:lang w:eastAsia="zh-TW"/>
        </w:rPr>
        <w:t xml:space="preserve">. </w:t>
      </w:r>
    </w:p>
    <w:p w14:paraId="784B1B84" w14:textId="340415FE" w:rsidR="00465B9F" w:rsidRDefault="00C90E42" w:rsidP="00AA354C">
      <w:pPr>
        <w:pStyle w:val="NormalWeb"/>
        <w:spacing w:before="300" w:beforeAutospacing="0"/>
        <w:rPr>
          <w:rFonts w:ascii="Century Gothic" w:hAnsi="Century Gothic"/>
          <w:color w:val="212529"/>
          <w:sz w:val="20"/>
          <w:szCs w:val="20"/>
        </w:rPr>
      </w:pPr>
      <w:r w:rsidRPr="00C90E42">
        <w:rPr>
          <w:rFonts w:ascii="Century Gothic" w:eastAsia="Arial Unicode MS" w:hAnsi="Century Gothic" w:cstheme="minorHAnsi"/>
          <w:sz w:val="20"/>
          <w:szCs w:val="20"/>
          <w:lang w:eastAsia="zh-TW"/>
        </w:rPr>
        <w:t xml:space="preserve">In order to capture these facets of community need – OCSI developed a </w:t>
      </w:r>
      <w:r w:rsidRPr="000A4621">
        <w:rPr>
          <w:rFonts w:ascii="Century Gothic" w:eastAsia="Arial Unicode MS" w:hAnsi="Century Gothic" w:cstheme="minorHAnsi"/>
          <w:b/>
          <w:bCs/>
          <w:sz w:val="20"/>
          <w:szCs w:val="20"/>
          <w:lang w:eastAsia="zh-TW"/>
        </w:rPr>
        <w:t>Community Needs Index</w:t>
      </w:r>
      <w:r w:rsidRPr="00C90E42">
        <w:rPr>
          <w:rFonts w:ascii="Century Gothic" w:eastAsia="Arial Unicode MS" w:hAnsi="Century Gothic" w:cstheme="minorHAnsi"/>
          <w:sz w:val="20"/>
          <w:szCs w:val="20"/>
          <w:lang w:eastAsia="zh-TW"/>
        </w:rPr>
        <w:t>, to measure the extent to which areas are lacking in civic assets, social and physical connections, social infrastructure, a thriving third sector or engaged citizens. The subsequent research project</w:t>
      </w:r>
      <w:r>
        <w:rPr>
          <w:rFonts w:ascii="Century Gothic" w:eastAsia="Arial Unicode MS" w:hAnsi="Century Gothic" w:cstheme="minorHAnsi"/>
          <w:sz w:val="20"/>
          <w:szCs w:val="20"/>
          <w:lang w:eastAsia="zh-TW"/>
        </w:rPr>
        <w:t xml:space="preserve"> </w:t>
      </w:r>
      <w:r w:rsidRPr="00C90E42">
        <w:rPr>
          <w:rFonts w:ascii="Century Gothic" w:hAnsi="Century Gothic"/>
          <w:color w:val="212529"/>
          <w:sz w:val="20"/>
          <w:szCs w:val="20"/>
        </w:rPr>
        <w:t xml:space="preserve">developed by OCSI and Local Trust: </w:t>
      </w:r>
      <w:r w:rsidRPr="00C90E42">
        <w:rPr>
          <w:rFonts w:ascii="Century Gothic" w:hAnsi="Century Gothic"/>
          <w:i/>
          <w:iCs/>
          <w:color w:val="212529"/>
          <w:sz w:val="20"/>
          <w:szCs w:val="20"/>
        </w:rPr>
        <w:t>Left behind? Understanding communities on the edge</w:t>
      </w:r>
      <w:r w:rsidRPr="00C90E42">
        <w:rPr>
          <w:rStyle w:val="FootnoteReference"/>
          <w:rFonts w:ascii="Century Gothic" w:hAnsi="Century Gothic"/>
          <w:color w:val="212529"/>
          <w:sz w:val="20"/>
          <w:szCs w:val="20"/>
        </w:rPr>
        <w:footnoteReference w:id="3"/>
      </w:r>
      <w:r w:rsidRPr="00C90E42">
        <w:rPr>
          <w:rFonts w:ascii="Century Gothic" w:hAnsi="Century Gothic"/>
          <w:color w:val="212529"/>
          <w:sz w:val="20"/>
          <w:szCs w:val="20"/>
        </w:rPr>
        <w:t xml:space="preserve"> sort to explore the difference that </w:t>
      </w:r>
      <w:r w:rsidRPr="00E57683">
        <w:rPr>
          <w:rFonts w:ascii="Century Gothic" w:hAnsi="Century Gothic"/>
          <w:color w:val="212529"/>
          <w:sz w:val="20"/>
          <w:szCs w:val="20"/>
        </w:rPr>
        <w:t>community need</w:t>
      </w:r>
      <w:r w:rsidRPr="00C90E42">
        <w:rPr>
          <w:rFonts w:ascii="Century Gothic" w:hAnsi="Century Gothic"/>
          <w:color w:val="212529"/>
          <w:sz w:val="20"/>
          <w:szCs w:val="20"/>
        </w:rPr>
        <w:t xml:space="preserve"> makes to outcomes in deprived communities – in other words</w:t>
      </w:r>
      <w:r w:rsidR="00465B9F">
        <w:rPr>
          <w:rFonts w:ascii="Century Gothic" w:hAnsi="Century Gothic"/>
          <w:color w:val="212529"/>
          <w:sz w:val="20"/>
          <w:szCs w:val="20"/>
        </w:rPr>
        <w:t>,</w:t>
      </w:r>
      <w:r w:rsidRPr="00C90E42">
        <w:rPr>
          <w:rFonts w:ascii="Century Gothic" w:hAnsi="Century Gothic"/>
          <w:color w:val="212529"/>
          <w:sz w:val="20"/>
          <w:szCs w:val="20"/>
        </w:rPr>
        <w:t xml:space="preserve"> do deprived areas with high levels of community need experience worse outcomes than those in deprived areas with stronger civic and community assets</w:t>
      </w:r>
      <w:r w:rsidR="00465B9F">
        <w:rPr>
          <w:rFonts w:ascii="Century Gothic" w:hAnsi="Century Gothic"/>
          <w:color w:val="212529"/>
          <w:sz w:val="20"/>
          <w:szCs w:val="20"/>
        </w:rPr>
        <w:t>?</w:t>
      </w:r>
    </w:p>
    <w:p w14:paraId="336F9D91" w14:textId="2AFA1CE7" w:rsidR="00C90E42" w:rsidRPr="00C90E42" w:rsidRDefault="00C90E42" w:rsidP="00AA354C">
      <w:pPr>
        <w:pStyle w:val="NormalWeb"/>
        <w:spacing w:before="300" w:beforeAutospacing="0"/>
        <w:rPr>
          <w:rFonts w:ascii="Century Gothic" w:hAnsi="Century Gothic"/>
          <w:color w:val="212529"/>
          <w:sz w:val="20"/>
          <w:szCs w:val="20"/>
        </w:rPr>
      </w:pPr>
      <w:r w:rsidRPr="00C90E42">
        <w:rPr>
          <w:rFonts w:ascii="Century Gothic" w:hAnsi="Century Gothic"/>
          <w:color w:val="212529"/>
          <w:sz w:val="20"/>
          <w:szCs w:val="20"/>
        </w:rPr>
        <w:t>The research indicated that social infrastructure – defined as places and spaces to meet, connectivity (physical and digital) and community engagement – is a key determinant in the prospects of areas, with areas lacking in these assets experienc</w:t>
      </w:r>
      <w:r w:rsidR="00036D5F">
        <w:rPr>
          <w:rFonts w:ascii="Century Gothic" w:hAnsi="Century Gothic"/>
          <w:color w:val="212529"/>
          <w:sz w:val="20"/>
          <w:szCs w:val="20"/>
        </w:rPr>
        <w:t>ing</w:t>
      </w:r>
      <w:r w:rsidRPr="00C90E42">
        <w:rPr>
          <w:rFonts w:ascii="Century Gothic" w:hAnsi="Century Gothic"/>
          <w:color w:val="212529"/>
          <w:sz w:val="20"/>
          <w:szCs w:val="20"/>
        </w:rPr>
        <w:t xml:space="preserve"> markedly worse socio-economic outcomes than the residents of other equally deprived areas. The areas which experience high levels of deprivation on the one hand and high levels of community need</w:t>
      </w:r>
      <w:r w:rsidR="000D6056">
        <w:rPr>
          <w:rFonts w:ascii="Century Gothic" w:hAnsi="Century Gothic"/>
          <w:color w:val="212529"/>
          <w:sz w:val="20"/>
          <w:szCs w:val="20"/>
        </w:rPr>
        <w:t>,</w:t>
      </w:r>
      <w:r w:rsidRPr="00C90E42">
        <w:rPr>
          <w:rFonts w:ascii="Century Gothic" w:hAnsi="Century Gothic"/>
          <w:color w:val="212529"/>
          <w:sz w:val="20"/>
          <w:szCs w:val="20"/>
        </w:rPr>
        <w:t xml:space="preserve"> poor community and civic infrastructure, relative isolation and low levels of participation and engagement in the wider community on the other hand were identified in the research as </w:t>
      </w:r>
      <w:r w:rsidRPr="000A4621">
        <w:rPr>
          <w:rFonts w:ascii="Century Gothic" w:hAnsi="Century Gothic"/>
          <w:b/>
          <w:bCs/>
          <w:color w:val="212529"/>
          <w:sz w:val="20"/>
          <w:szCs w:val="20"/>
        </w:rPr>
        <w:t>‘left-behind’ areas.</w:t>
      </w:r>
    </w:p>
    <w:p w14:paraId="2134B224" w14:textId="5833876F" w:rsidR="008820F3" w:rsidRPr="00465B9F" w:rsidRDefault="00C90E42" w:rsidP="00AA354C">
      <w:pPr>
        <w:pStyle w:val="NormalWeb"/>
        <w:spacing w:before="300" w:beforeAutospacing="0"/>
        <w:rPr>
          <w:rFonts w:ascii="Century Gothic" w:hAnsi="Century Gothic"/>
          <w:color w:val="212529"/>
          <w:sz w:val="20"/>
          <w:szCs w:val="20"/>
        </w:rPr>
      </w:pPr>
      <w:r w:rsidRPr="00C90E42">
        <w:rPr>
          <w:rFonts w:ascii="Century Gothic" w:hAnsi="Century Gothic"/>
          <w:color w:val="212529"/>
          <w:sz w:val="20"/>
          <w:szCs w:val="20"/>
        </w:rPr>
        <w:t xml:space="preserve">This </w:t>
      </w:r>
      <w:r w:rsidR="000A4621">
        <w:rPr>
          <w:rFonts w:ascii="Century Gothic" w:hAnsi="Century Gothic"/>
          <w:color w:val="212529"/>
          <w:sz w:val="20"/>
          <w:szCs w:val="20"/>
        </w:rPr>
        <w:t>review</w:t>
      </w:r>
      <w:r w:rsidRPr="00C90E42">
        <w:rPr>
          <w:rFonts w:ascii="Century Gothic" w:hAnsi="Century Gothic"/>
          <w:color w:val="212529"/>
          <w:sz w:val="20"/>
          <w:szCs w:val="20"/>
        </w:rPr>
        <w:t xml:space="preserve"> seeks to build on this research</w:t>
      </w:r>
      <w:r w:rsidR="000A4621">
        <w:rPr>
          <w:rFonts w:ascii="Century Gothic" w:hAnsi="Century Gothic"/>
          <w:color w:val="212529"/>
          <w:sz w:val="20"/>
          <w:szCs w:val="20"/>
        </w:rPr>
        <w:t>,</w:t>
      </w:r>
      <w:r w:rsidRPr="00C90E42">
        <w:rPr>
          <w:rFonts w:ascii="Century Gothic" w:hAnsi="Century Gothic"/>
          <w:color w:val="212529"/>
          <w:sz w:val="20"/>
          <w:szCs w:val="20"/>
        </w:rPr>
        <w:t xml:space="preserve"> looking at the extent of </w:t>
      </w:r>
      <w:r w:rsidR="00E57683">
        <w:rPr>
          <w:rFonts w:ascii="Century Gothic" w:hAnsi="Century Gothic"/>
          <w:color w:val="212529"/>
          <w:sz w:val="20"/>
          <w:szCs w:val="20"/>
        </w:rPr>
        <w:t>c</w:t>
      </w:r>
      <w:r w:rsidRPr="00C90E42">
        <w:rPr>
          <w:rFonts w:ascii="Century Gothic" w:hAnsi="Century Gothic"/>
          <w:color w:val="212529"/>
          <w:sz w:val="20"/>
          <w:szCs w:val="20"/>
        </w:rPr>
        <w:t xml:space="preserve">ommunity </w:t>
      </w:r>
      <w:r w:rsidR="00E57683">
        <w:rPr>
          <w:rFonts w:ascii="Century Gothic" w:hAnsi="Century Gothic"/>
          <w:color w:val="212529"/>
          <w:sz w:val="20"/>
          <w:szCs w:val="20"/>
        </w:rPr>
        <w:t>n</w:t>
      </w:r>
      <w:r w:rsidRPr="00C90E42">
        <w:rPr>
          <w:rFonts w:ascii="Century Gothic" w:hAnsi="Century Gothic"/>
          <w:color w:val="212529"/>
          <w:sz w:val="20"/>
          <w:szCs w:val="20"/>
        </w:rPr>
        <w:t>eed in</w:t>
      </w:r>
      <w:r w:rsidR="000A4621">
        <w:rPr>
          <w:rFonts w:ascii="Century Gothic" w:hAnsi="Century Gothic"/>
          <w:color w:val="212529"/>
          <w:sz w:val="20"/>
          <w:szCs w:val="20"/>
        </w:rPr>
        <w:t xml:space="preserve"> the context of</w:t>
      </w:r>
      <w:r w:rsidRPr="00C90E42">
        <w:rPr>
          <w:rFonts w:ascii="Century Gothic" w:hAnsi="Century Gothic"/>
          <w:color w:val="212529"/>
          <w:sz w:val="20"/>
          <w:szCs w:val="20"/>
        </w:rPr>
        <w:t xml:space="preserve"> </w:t>
      </w:r>
      <w:r w:rsidR="000A4621">
        <w:rPr>
          <w:rFonts w:ascii="Century Gothic" w:hAnsi="Century Gothic"/>
          <w:color w:val="212529"/>
          <w:sz w:val="20"/>
          <w:szCs w:val="20"/>
        </w:rPr>
        <w:t>the towns and neighbourhoods in Essex. The review looks at</w:t>
      </w:r>
      <w:r w:rsidRPr="00C90E42">
        <w:rPr>
          <w:rFonts w:ascii="Century Gothic" w:hAnsi="Century Gothic"/>
          <w:color w:val="212529"/>
          <w:sz w:val="20"/>
          <w:szCs w:val="20"/>
        </w:rPr>
        <w:t xml:space="preserve"> the drivers and predictors of that need and the extent to which ‘left-behind</w:t>
      </w:r>
      <w:r w:rsidR="00036D5F">
        <w:rPr>
          <w:rFonts w:ascii="Century Gothic" w:hAnsi="Century Gothic"/>
          <w:color w:val="212529"/>
          <w:sz w:val="20"/>
          <w:szCs w:val="20"/>
        </w:rPr>
        <w:t>’</w:t>
      </w:r>
      <w:r w:rsidRPr="00C90E42">
        <w:rPr>
          <w:rFonts w:ascii="Century Gothic" w:hAnsi="Century Gothic"/>
          <w:color w:val="212529"/>
          <w:sz w:val="20"/>
          <w:szCs w:val="20"/>
        </w:rPr>
        <w:t xml:space="preserve"> areas in Essex (areas that experience both high </w:t>
      </w:r>
      <w:r w:rsidR="00E57683">
        <w:rPr>
          <w:rFonts w:ascii="Century Gothic" w:hAnsi="Century Gothic"/>
          <w:color w:val="212529"/>
          <w:sz w:val="20"/>
          <w:szCs w:val="20"/>
        </w:rPr>
        <w:t>c</w:t>
      </w:r>
      <w:r w:rsidRPr="00C90E42">
        <w:rPr>
          <w:rFonts w:ascii="Century Gothic" w:hAnsi="Century Gothic"/>
          <w:color w:val="212529"/>
          <w:sz w:val="20"/>
          <w:szCs w:val="20"/>
        </w:rPr>
        <w:t xml:space="preserve">ommunity </w:t>
      </w:r>
      <w:r w:rsidR="00E57683">
        <w:rPr>
          <w:rFonts w:ascii="Century Gothic" w:hAnsi="Century Gothic"/>
          <w:color w:val="212529"/>
          <w:sz w:val="20"/>
          <w:szCs w:val="20"/>
        </w:rPr>
        <w:t>n</w:t>
      </w:r>
      <w:r w:rsidRPr="00C90E42">
        <w:rPr>
          <w:rFonts w:ascii="Century Gothic" w:hAnsi="Century Gothic"/>
          <w:color w:val="212529"/>
          <w:sz w:val="20"/>
          <w:szCs w:val="20"/>
        </w:rPr>
        <w:t>eed and high multiple deprivation) experience worse outcomes than other neighbourhoods in the county.</w:t>
      </w:r>
      <w:r w:rsidR="005072BC" w:rsidRPr="00C90E42">
        <w:rPr>
          <w:rFonts w:ascii="Century Gothic" w:hAnsi="Century Gothic"/>
          <w:color w:val="212529"/>
          <w:sz w:val="20"/>
          <w:szCs w:val="20"/>
        </w:rPr>
        <w:t xml:space="preserve"> </w:t>
      </w:r>
    </w:p>
    <w:p w14:paraId="7B76EE24" w14:textId="506D1D49" w:rsidR="00F73CB3" w:rsidRDefault="00F73CB3" w:rsidP="00AA354C">
      <w:pPr>
        <w:tabs>
          <w:tab w:val="left" w:pos="794"/>
          <w:tab w:val="num" w:pos="1154"/>
        </w:tabs>
      </w:pPr>
      <w:r>
        <w:t xml:space="preserve">The Review has </w:t>
      </w:r>
      <w:r w:rsidR="003B48C9">
        <w:t>three</w:t>
      </w:r>
      <w:r>
        <w:t xml:space="preserve"> distinct phases:</w:t>
      </w:r>
    </w:p>
    <w:p w14:paraId="2F0D1567" w14:textId="6F534EF0" w:rsidR="003B48C9" w:rsidRPr="003B48C9" w:rsidRDefault="00F73CB3" w:rsidP="003573C8">
      <w:pPr>
        <w:pStyle w:val="ListParagraph"/>
        <w:numPr>
          <w:ilvl w:val="0"/>
          <w:numId w:val="17"/>
        </w:numPr>
      </w:pPr>
      <w:r w:rsidRPr="003B48C9">
        <w:t xml:space="preserve">Phase 1: </w:t>
      </w:r>
      <w:r w:rsidR="003B48C9" w:rsidRPr="003B48C9">
        <w:t>Seek a better understanding of</w:t>
      </w:r>
      <w:r w:rsidR="00465B9F">
        <w:t xml:space="preserve"> </w:t>
      </w:r>
      <w:r w:rsidR="00E57683">
        <w:t>c</w:t>
      </w:r>
      <w:r w:rsidR="00465B9F">
        <w:t xml:space="preserve">ommunity </w:t>
      </w:r>
      <w:r w:rsidR="00E57683">
        <w:t>n</w:t>
      </w:r>
      <w:r w:rsidR="00465B9F">
        <w:t>eed in Essex,</w:t>
      </w:r>
      <w:r w:rsidR="003B48C9" w:rsidRPr="003B48C9">
        <w:t xml:space="preserve"> the extent to which Essex is ‘left behind’ and the drivers that contribute towards this. </w:t>
      </w:r>
    </w:p>
    <w:p w14:paraId="7DCF5466" w14:textId="7B2F9B13" w:rsidR="00F73CB3" w:rsidRPr="003B48C9" w:rsidRDefault="00F73CB3" w:rsidP="003573C8">
      <w:pPr>
        <w:pStyle w:val="ListParagraph"/>
        <w:numPr>
          <w:ilvl w:val="0"/>
          <w:numId w:val="17"/>
        </w:numPr>
      </w:pPr>
      <w:r w:rsidRPr="003B48C9">
        <w:t xml:space="preserve">Phase 2: </w:t>
      </w:r>
      <w:r w:rsidR="003B48C9" w:rsidRPr="003B48C9">
        <w:t>Understand the factors that might cause a place to be ‘left behind’</w:t>
      </w:r>
    </w:p>
    <w:p w14:paraId="7B4A600D" w14:textId="55B06A0B" w:rsidR="00C90E42" w:rsidRDefault="003B48C9" w:rsidP="003573C8">
      <w:pPr>
        <w:pStyle w:val="ListParagraph"/>
        <w:numPr>
          <w:ilvl w:val="0"/>
          <w:numId w:val="17"/>
        </w:numPr>
      </w:pPr>
      <w:r w:rsidRPr="003B48C9">
        <w:lastRenderedPageBreak/>
        <w:t>Phase 3: To understand the impact and effect on communities of those specific places that are ‘left behind’ in Essex, and comparator areas</w:t>
      </w:r>
      <w:r w:rsidR="00465B9F">
        <w:t>.</w:t>
      </w:r>
    </w:p>
    <w:p w14:paraId="2CCF67FC" w14:textId="77777777" w:rsidR="00465B9F" w:rsidRPr="00465B9F" w:rsidRDefault="00465B9F" w:rsidP="00465B9F"/>
    <w:p w14:paraId="7E343B64" w14:textId="3293B4E8" w:rsidR="00C90E42" w:rsidRDefault="00C90E42" w:rsidP="00C90E42">
      <w:pPr>
        <w:pStyle w:val="Heading2"/>
        <w:rPr>
          <w:rFonts w:eastAsia="Arial Unicode MS"/>
          <w:lang w:eastAsia="zh-TW"/>
        </w:rPr>
      </w:pPr>
      <w:bookmarkStart w:id="5" w:name="_Toc71790727"/>
      <w:r>
        <w:rPr>
          <w:rFonts w:eastAsia="Arial Unicode MS"/>
          <w:lang w:eastAsia="zh-TW"/>
        </w:rPr>
        <w:t xml:space="preserve">Phase </w:t>
      </w:r>
      <w:r w:rsidR="005D6ADE">
        <w:rPr>
          <w:rFonts w:eastAsia="Arial Unicode MS"/>
          <w:lang w:eastAsia="zh-TW"/>
        </w:rPr>
        <w:t>2</w:t>
      </w:r>
      <w:r>
        <w:rPr>
          <w:rFonts w:eastAsia="Arial Unicode MS"/>
          <w:lang w:eastAsia="zh-TW"/>
        </w:rPr>
        <w:t xml:space="preserve">: </w:t>
      </w:r>
      <w:r w:rsidR="005D6ADE" w:rsidRPr="005D6ADE">
        <w:t>Understand the factors that might cause a place to be ‘left behind’</w:t>
      </w:r>
      <w:bookmarkEnd w:id="5"/>
    </w:p>
    <w:p w14:paraId="24BBE574" w14:textId="0994EFB4" w:rsidR="00F73CB3" w:rsidRDefault="003B48C9" w:rsidP="00AA354C">
      <w:pPr>
        <w:tabs>
          <w:tab w:val="left" w:pos="794"/>
        </w:tabs>
        <w:spacing w:before="120" w:after="120"/>
        <w:rPr>
          <w:rFonts w:eastAsia="Arial Unicode MS" w:cstheme="minorHAnsi"/>
          <w:i/>
          <w:iCs/>
          <w:lang w:eastAsia="zh-TW"/>
        </w:rPr>
      </w:pPr>
      <w:r>
        <w:rPr>
          <w:rFonts w:eastAsia="Arial Unicode MS" w:cstheme="minorHAnsi"/>
          <w:lang w:eastAsia="zh-TW"/>
        </w:rPr>
        <w:t xml:space="preserve">This report </w:t>
      </w:r>
      <w:r w:rsidR="008820F3">
        <w:rPr>
          <w:rFonts w:eastAsia="Arial Unicode MS" w:cstheme="minorHAnsi"/>
          <w:lang w:eastAsia="zh-TW"/>
        </w:rPr>
        <w:t>forms the primary</w:t>
      </w:r>
      <w:r>
        <w:rPr>
          <w:rFonts w:eastAsia="Arial Unicode MS" w:cstheme="minorHAnsi"/>
          <w:lang w:eastAsia="zh-TW"/>
        </w:rPr>
        <w:t xml:space="preserve"> output from Phase </w:t>
      </w:r>
      <w:r w:rsidR="005D6ADE">
        <w:rPr>
          <w:rFonts w:eastAsia="Arial Unicode MS" w:cstheme="minorHAnsi"/>
          <w:lang w:eastAsia="zh-TW"/>
        </w:rPr>
        <w:t>2</w:t>
      </w:r>
      <w:r w:rsidR="008820F3">
        <w:rPr>
          <w:rFonts w:eastAsia="Arial Unicode MS" w:cstheme="minorHAnsi"/>
          <w:lang w:eastAsia="zh-TW"/>
        </w:rPr>
        <w:t xml:space="preserve"> of the research.</w:t>
      </w:r>
    </w:p>
    <w:bookmarkEnd w:id="2"/>
    <w:bookmarkEnd w:id="3"/>
    <w:p w14:paraId="36DD605A" w14:textId="785C0814" w:rsidR="005D6ADE" w:rsidRDefault="00943607" w:rsidP="00AA354C">
      <w:pPr>
        <w:tabs>
          <w:tab w:val="left" w:pos="794"/>
        </w:tabs>
        <w:spacing w:before="120" w:after="120"/>
        <w:rPr>
          <w:rFonts w:eastAsia="Arial Unicode MS" w:cstheme="minorHAnsi"/>
          <w:lang w:eastAsia="zh-TW"/>
        </w:rPr>
      </w:pPr>
      <w:r w:rsidRPr="004A6A3F">
        <w:rPr>
          <w:rFonts w:eastAsia="Arial Unicode MS" w:cstheme="minorHAnsi"/>
          <w:lang w:eastAsia="zh-TW"/>
        </w:rPr>
        <w:t xml:space="preserve">Our objective in this </w:t>
      </w:r>
      <w:r>
        <w:rPr>
          <w:rFonts w:eastAsia="Arial Unicode MS" w:cstheme="minorHAnsi"/>
          <w:lang w:eastAsia="zh-TW"/>
        </w:rPr>
        <w:t>phase</w:t>
      </w:r>
      <w:r w:rsidRPr="004A6A3F">
        <w:rPr>
          <w:rFonts w:eastAsia="Arial Unicode MS" w:cstheme="minorHAnsi"/>
          <w:lang w:eastAsia="zh-TW"/>
        </w:rPr>
        <w:t xml:space="preserve"> is</w:t>
      </w:r>
      <w:r w:rsidR="005D6ADE">
        <w:rPr>
          <w:rFonts w:eastAsia="Arial Unicode MS" w:cstheme="minorHAnsi"/>
          <w:lang w:eastAsia="zh-TW"/>
        </w:rPr>
        <w:t xml:space="preserve"> to identify whether there are a particular set of socio-demographic characteristics that may contribute towards an area being at greater risk of being identified as ‘left-behind’. </w:t>
      </w:r>
      <w:r w:rsidR="00BB4C43">
        <w:rPr>
          <w:rFonts w:eastAsia="Arial Unicode MS" w:cstheme="minorHAnsi"/>
          <w:lang w:eastAsia="zh-TW"/>
        </w:rPr>
        <w:t>The purpose of this analysis is to identify risk factors to help inform where early interventions and additional support may help prevent further areas in Essex from being identified as ‘left-behind’.</w:t>
      </w:r>
    </w:p>
    <w:p w14:paraId="75A717B5" w14:textId="3862003F" w:rsidR="00BA393D" w:rsidRDefault="00BA393D" w:rsidP="00AA354C">
      <w:pPr>
        <w:tabs>
          <w:tab w:val="left" w:pos="794"/>
        </w:tabs>
        <w:spacing w:before="120" w:after="120"/>
        <w:rPr>
          <w:rFonts w:eastAsia="Arial Unicode MS" w:cstheme="minorHAnsi"/>
          <w:lang w:eastAsia="zh-TW"/>
        </w:rPr>
      </w:pPr>
      <w:r>
        <w:rPr>
          <w:rFonts w:eastAsia="Arial Unicode MS" w:cstheme="minorHAnsi"/>
          <w:lang w:eastAsia="zh-TW"/>
        </w:rPr>
        <w:t xml:space="preserve">In order to address this question, we have examined a range of socio-economic indicators to determine whether there are notable differences in the demographic and social make-up of </w:t>
      </w:r>
      <w:r w:rsidR="00036D5F">
        <w:rPr>
          <w:rFonts w:eastAsia="Arial Unicode MS" w:cstheme="minorHAnsi"/>
          <w:lang w:eastAsia="zh-TW"/>
        </w:rPr>
        <w:t>‘</w:t>
      </w:r>
      <w:r>
        <w:rPr>
          <w:rFonts w:eastAsia="Arial Unicode MS" w:cstheme="minorHAnsi"/>
          <w:lang w:eastAsia="zh-TW"/>
        </w:rPr>
        <w:t xml:space="preserve">left-behind’ areas compared with non-left-behind areas. Where we have identified notable differences, we </w:t>
      </w:r>
      <w:r w:rsidR="005126E3">
        <w:rPr>
          <w:rFonts w:eastAsia="Arial Unicode MS" w:cstheme="minorHAnsi"/>
          <w:lang w:eastAsia="zh-TW"/>
        </w:rPr>
        <w:t>have then incorporated these indicators into a predictive model to</w:t>
      </w:r>
      <w:r>
        <w:rPr>
          <w:rFonts w:eastAsia="Arial Unicode MS" w:cstheme="minorHAnsi"/>
          <w:lang w:eastAsia="zh-TW"/>
        </w:rPr>
        <w:t xml:space="preserve"> examine the extent to which these differences contribute to areas being identified as ‘left-behind’. </w:t>
      </w:r>
    </w:p>
    <w:p w14:paraId="7D7E0738" w14:textId="484E02F6" w:rsidR="005D6ADE" w:rsidRDefault="005D6ADE" w:rsidP="003E13B2">
      <w:pPr>
        <w:rPr>
          <w:lang w:eastAsia="zh-TW"/>
        </w:rPr>
      </w:pPr>
      <w:r w:rsidRPr="004A6A3F">
        <w:rPr>
          <w:lang w:eastAsia="zh-TW"/>
        </w:rPr>
        <w:t xml:space="preserve">The techniques are based on identifying a set of input indicators (variously known as the ‘predictor’, ‘independent’ or ‘proxy’ variables) to predict the ‘outcome’ (or ‘dependent’, ‘to-be-predicted’ variables) for the cases (in this case, </w:t>
      </w:r>
      <w:r w:rsidR="005126E3">
        <w:rPr>
          <w:lang w:eastAsia="zh-TW"/>
        </w:rPr>
        <w:t>whether or not an area is ‘left-behind’</w:t>
      </w:r>
      <w:r w:rsidRPr="004A6A3F">
        <w:rPr>
          <w:lang w:eastAsia="zh-TW"/>
        </w:rPr>
        <w:t xml:space="preserve">). </w:t>
      </w:r>
    </w:p>
    <w:p w14:paraId="73D46C09" w14:textId="77777777" w:rsidR="003E13B2" w:rsidRPr="004A6A3F" w:rsidRDefault="003E13B2" w:rsidP="003E13B2">
      <w:pPr>
        <w:rPr>
          <w:lang w:eastAsia="zh-TW"/>
        </w:rPr>
      </w:pPr>
    </w:p>
    <w:p w14:paraId="66E7EECB" w14:textId="7EE91C1D" w:rsidR="005D6ADE" w:rsidRPr="004A6A3F" w:rsidRDefault="005126E3" w:rsidP="003E13B2">
      <w:pPr>
        <w:rPr>
          <w:lang w:eastAsia="zh-TW"/>
        </w:rPr>
      </w:pPr>
      <w:r>
        <w:rPr>
          <w:lang w:eastAsia="zh-TW"/>
        </w:rPr>
        <w:t xml:space="preserve">The model we have adopted is a logistic regression model which predicts the odds in which </w:t>
      </w:r>
      <w:r w:rsidR="003E13B2">
        <w:rPr>
          <w:lang w:eastAsia="zh-TW"/>
        </w:rPr>
        <w:t>an identified set of</w:t>
      </w:r>
      <w:r>
        <w:rPr>
          <w:lang w:eastAsia="zh-TW"/>
        </w:rPr>
        <w:t xml:space="preserve"> </w:t>
      </w:r>
      <w:r w:rsidR="005D6ADE" w:rsidRPr="004A6A3F">
        <w:rPr>
          <w:lang w:eastAsia="zh-TW"/>
        </w:rPr>
        <w:t xml:space="preserve">inputted socio-economic variables </w:t>
      </w:r>
      <w:r>
        <w:rPr>
          <w:lang w:eastAsia="zh-TW"/>
        </w:rPr>
        <w:t xml:space="preserve">predict an outcome, </w:t>
      </w:r>
      <w:r w:rsidR="003E13B2">
        <w:rPr>
          <w:lang w:eastAsia="zh-TW"/>
        </w:rPr>
        <w:t>with the aim of</w:t>
      </w:r>
      <w:r>
        <w:rPr>
          <w:lang w:eastAsia="zh-TW"/>
        </w:rPr>
        <w:t xml:space="preserve"> identify</w:t>
      </w:r>
      <w:r w:rsidR="003E13B2">
        <w:rPr>
          <w:lang w:eastAsia="zh-TW"/>
        </w:rPr>
        <w:t>ing</w:t>
      </w:r>
      <w:r>
        <w:rPr>
          <w:lang w:eastAsia="zh-TW"/>
        </w:rPr>
        <w:t xml:space="preserve"> </w:t>
      </w:r>
      <w:r w:rsidR="005D6ADE" w:rsidRPr="004A6A3F">
        <w:rPr>
          <w:lang w:eastAsia="zh-TW"/>
        </w:rPr>
        <w:t xml:space="preserve">the socio-economic factors that have the biggest impact on levels of </w:t>
      </w:r>
      <w:r w:rsidR="00BB4C43">
        <w:rPr>
          <w:lang w:eastAsia="zh-TW"/>
        </w:rPr>
        <w:t>need in the area.</w:t>
      </w:r>
      <w:r w:rsidR="005D6ADE" w:rsidRPr="004A6A3F">
        <w:rPr>
          <w:lang w:eastAsia="zh-TW"/>
        </w:rPr>
        <w:t xml:space="preserve"> </w:t>
      </w:r>
    </w:p>
    <w:p w14:paraId="6AC0E0E6" w14:textId="7B6DDFE4" w:rsidR="005D6ADE" w:rsidRPr="004A6A3F" w:rsidRDefault="005D6ADE" w:rsidP="005D6ADE">
      <w:pPr>
        <w:tabs>
          <w:tab w:val="left" w:pos="794"/>
        </w:tabs>
        <w:spacing w:before="120" w:after="120" w:line="300" w:lineRule="exact"/>
        <w:rPr>
          <w:rFonts w:eastAsia="Arial Unicode MS" w:cstheme="minorHAnsi"/>
          <w:lang w:eastAsia="zh-TW"/>
        </w:rPr>
      </w:pPr>
      <w:r w:rsidRPr="004A6A3F">
        <w:rPr>
          <w:rFonts w:eastAsia="Arial Unicode MS" w:cstheme="minorHAnsi"/>
          <w:lang w:eastAsia="zh-TW"/>
        </w:rPr>
        <w:t xml:space="preserve">A multi-staged approach </w:t>
      </w:r>
      <w:r w:rsidR="005126E3">
        <w:rPr>
          <w:rFonts w:eastAsia="Arial Unicode MS" w:cstheme="minorHAnsi"/>
          <w:lang w:eastAsia="zh-TW"/>
        </w:rPr>
        <w:t xml:space="preserve">has been applied </w:t>
      </w:r>
      <w:r w:rsidRPr="004A6A3F">
        <w:rPr>
          <w:rFonts w:eastAsia="Arial Unicode MS" w:cstheme="minorHAnsi"/>
          <w:lang w:eastAsia="zh-TW"/>
        </w:rPr>
        <w:t xml:space="preserve">to develop the model: </w:t>
      </w:r>
    </w:p>
    <w:p w14:paraId="0480BAC4" w14:textId="77777777" w:rsidR="005D6ADE" w:rsidRPr="004A6A3F" w:rsidRDefault="005D6ADE" w:rsidP="003573C8">
      <w:pPr>
        <w:numPr>
          <w:ilvl w:val="0"/>
          <w:numId w:val="16"/>
        </w:numPr>
        <w:spacing w:line="300" w:lineRule="exact"/>
        <w:ind w:left="1139" w:hanging="357"/>
        <w:rPr>
          <w:rFonts w:eastAsia="Arial Unicode MS" w:cstheme="minorHAnsi"/>
          <w:lang w:val="en-US"/>
        </w:rPr>
      </w:pPr>
      <w:r w:rsidRPr="004A6A3F">
        <w:rPr>
          <w:rFonts w:eastAsia="Arial Unicode MS" w:cstheme="minorHAnsi"/>
        </w:rPr>
        <w:t>Identify suggested set of predictive variables to input</w:t>
      </w:r>
      <w:r w:rsidRPr="004A6A3F">
        <w:rPr>
          <w:rFonts w:eastAsia="Arial Unicode MS" w:cstheme="minorHAnsi"/>
          <w:vertAlign w:val="superscript"/>
        </w:rPr>
        <w:footnoteReference w:id="4"/>
      </w:r>
      <w:r w:rsidRPr="004A6A3F">
        <w:rPr>
          <w:rFonts w:eastAsia="Arial Unicode MS" w:cstheme="minorHAnsi"/>
        </w:rPr>
        <w:t>.</w:t>
      </w:r>
    </w:p>
    <w:p w14:paraId="59899132" w14:textId="5A0BFF86" w:rsidR="005D6ADE" w:rsidRPr="004A6A3F" w:rsidRDefault="005D6ADE" w:rsidP="003573C8">
      <w:pPr>
        <w:numPr>
          <w:ilvl w:val="0"/>
          <w:numId w:val="16"/>
        </w:numPr>
        <w:spacing w:line="300" w:lineRule="exact"/>
        <w:ind w:left="1139" w:hanging="357"/>
        <w:rPr>
          <w:rFonts w:eastAsia="PMingLiU" w:cstheme="minorHAnsi"/>
          <w:lang w:val="en-US"/>
        </w:rPr>
      </w:pPr>
      <w:r w:rsidRPr="004A6A3F">
        <w:rPr>
          <w:rFonts w:eastAsia="Arial Unicode MS" w:cstheme="minorHAnsi"/>
        </w:rPr>
        <w:t xml:space="preserve">Testing input predictor indicators to see the extent to which they </w:t>
      </w:r>
      <w:r w:rsidR="005126E3">
        <w:rPr>
          <w:rFonts w:eastAsia="Arial Unicode MS" w:cstheme="minorHAnsi"/>
        </w:rPr>
        <w:t>predict whether an area</w:t>
      </w:r>
      <w:r w:rsidR="0076109A">
        <w:rPr>
          <w:rFonts w:eastAsia="Arial Unicode MS" w:cstheme="minorHAnsi"/>
        </w:rPr>
        <w:t xml:space="preserve"> is ‘left-behind’</w:t>
      </w:r>
      <w:r w:rsidR="009D69E3">
        <w:rPr>
          <w:rFonts w:eastAsia="Arial Unicode MS" w:cstheme="minorHAnsi"/>
        </w:rPr>
        <w:t>.</w:t>
      </w:r>
    </w:p>
    <w:p w14:paraId="0D941A83" w14:textId="2961FCFD" w:rsidR="005D6ADE" w:rsidRPr="00FB15FC" w:rsidRDefault="005D6ADE" w:rsidP="003573C8">
      <w:pPr>
        <w:numPr>
          <w:ilvl w:val="0"/>
          <w:numId w:val="16"/>
        </w:numPr>
        <w:spacing w:line="300" w:lineRule="exact"/>
        <w:ind w:left="1139" w:hanging="357"/>
        <w:rPr>
          <w:rFonts w:eastAsia="PMingLiU" w:cstheme="minorHAnsi"/>
          <w:lang w:val="en-US"/>
        </w:rPr>
      </w:pPr>
      <w:r w:rsidRPr="004A6A3F">
        <w:rPr>
          <w:rFonts w:eastAsia="Arial Unicode MS" w:cstheme="minorHAnsi"/>
        </w:rPr>
        <w:t>Summarise the factors that have biggest impact</w:t>
      </w:r>
      <w:r w:rsidR="005126E3">
        <w:rPr>
          <w:rFonts w:eastAsia="Arial Unicode MS" w:cstheme="minorHAnsi"/>
        </w:rPr>
        <w:t xml:space="preserve">. </w:t>
      </w:r>
    </w:p>
    <w:p w14:paraId="2F33494F" w14:textId="1B17AFB3" w:rsidR="00FB15FC" w:rsidRPr="004A6A3F" w:rsidRDefault="00FB15FC" w:rsidP="003573C8">
      <w:pPr>
        <w:numPr>
          <w:ilvl w:val="0"/>
          <w:numId w:val="16"/>
        </w:numPr>
        <w:spacing w:line="300" w:lineRule="exact"/>
        <w:ind w:left="1139" w:hanging="357"/>
        <w:rPr>
          <w:rFonts w:eastAsia="PMingLiU" w:cstheme="minorHAnsi"/>
          <w:lang w:val="en-US"/>
        </w:rPr>
      </w:pPr>
      <w:r>
        <w:rPr>
          <w:rFonts w:eastAsia="Arial Unicode MS" w:cstheme="minorHAnsi"/>
        </w:rPr>
        <w:t xml:space="preserve">Identify areas in Essex with high scores on significant factors – that are at greater risk of being </w:t>
      </w:r>
      <w:r w:rsidR="003E13B2">
        <w:rPr>
          <w:rFonts w:eastAsia="Arial Unicode MS" w:cstheme="minorHAnsi"/>
        </w:rPr>
        <w:t>‘</w:t>
      </w:r>
      <w:r>
        <w:rPr>
          <w:rFonts w:eastAsia="Arial Unicode MS" w:cstheme="minorHAnsi"/>
        </w:rPr>
        <w:t>left</w:t>
      </w:r>
      <w:r w:rsidR="003E13B2">
        <w:rPr>
          <w:rFonts w:eastAsia="Arial Unicode MS" w:cstheme="minorHAnsi"/>
        </w:rPr>
        <w:t>-</w:t>
      </w:r>
      <w:r>
        <w:rPr>
          <w:rFonts w:eastAsia="Arial Unicode MS" w:cstheme="minorHAnsi"/>
        </w:rPr>
        <w:t>behind</w:t>
      </w:r>
      <w:r w:rsidR="003E13B2">
        <w:rPr>
          <w:rFonts w:eastAsia="Arial Unicode MS" w:cstheme="minorHAnsi"/>
        </w:rPr>
        <w:t>’.</w:t>
      </w:r>
    </w:p>
    <w:p w14:paraId="091F35C5" w14:textId="77777777" w:rsidR="005126E3" w:rsidRDefault="005126E3" w:rsidP="005126E3">
      <w:pPr>
        <w:spacing w:line="300" w:lineRule="exact"/>
        <w:rPr>
          <w:rFonts w:eastAsia="Arial Unicode MS" w:cstheme="minorHAnsi"/>
        </w:rPr>
      </w:pPr>
    </w:p>
    <w:p w14:paraId="0971C1EA" w14:textId="2B63718C" w:rsidR="00700193" w:rsidRPr="00B8788F" w:rsidRDefault="00700193" w:rsidP="003E13B2">
      <w:r>
        <w:t>Section 1 of the report outlines the steps taken to identify the indicators included in the final model. Section 2 shows the key outputs for the model, how to interpret the findings and the key factors identified. Section 3 looks at the areas in Essex which have highest scores on these key factors in order to identify those at greatest risk of becoming ‘left-behind’ in future. A full</w:t>
      </w:r>
      <w:r w:rsidR="00AB1DDF">
        <w:t xml:space="preserve"> </w:t>
      </w:r>
      <w:r>
        <w:t>list of indicators considered for the analysis is provided in Appendix A</w:t>
      </w:r>
      <w:r w:rsidR="00B8788F">
        <w:t>.</w:t>
      </w:r>
    </w:p>
    <w:p w14:paraId="1619752B" w14:textId="4FE88BA1" w:rsidR="003E13B2" w:rsidRDefault="003E13B2">
      <w:pPr>
        <w:spacing w:after="160" w:line="259" w:lineRule="auto"/>
        <w:rPr>
          <w:lang w:val="en-US"/>
        </w:rPr>
      </w:pPr>
      <w:r>
        <w:rPr>
          <w:lang w:val="en-US"/>
        </w:rPr>
        <w:br w:type="page"/>
      </w:r>
    </w:p>
    <w:p w14:paraId="6910CEA7" w14:textId="7341FEE9" w:rsidR="00BB4C43" w:rsidRPr="00532E83" w:rsidRDefault="00D25FB0" w:rsidP="00AB1DDF">
      <w:pPr>
        <w:pStyle w:val="Heading1"/>
      </w:pPr>
      <w:bookmarkStart w:id="6" w:name="_Toc71790728"/>
      <w:r>
        <w:rPr>
          <w:rFonts w:eastAsia="Arial Unicode MS"/>
          <w:lang w:val="en-US"/>
        </w:rPr>
        <w:lastRenderedPageBreak/>
        <w:t xml:space="preserve">Section 1: </w:t>
      </w:r>
      <w:r w:rsidR="00AB1DDF">
        <w:rPr>
          <w:rFonts w:eastAsia="Arial Unicode MS"/>
          <w:lang w:val="en-US"/>
        </w:rPr>
        <w:t>Methodology</w:t>
      </w:r>
      <w:bookmarkEnd w:id="6"/>
    </w:p>
    <w:p w14:paraId="44D4B8C1" w14:textId="77777777" w:rsidR="00BB4C43" w:rsidRPr="00532E83" w:rsidRDefault="00BB4C43" w:rsidP="00BB4C43">
      <w:pPr>
        <w:tabs>
          <w:tab w:val="num" w:pos="1154"/>
        </w:tabs>
        <w:rPr>
          <w:rFonts w:cstheme="minorHAnsi"/>
          <w:sz w:val="22"/>
        </w:rPr>
      </w:pPr>
    </w:p>
    <w:p w14:paraId="56A83A8C" w14:textId="15D751A8" w:rsidR="00BB4C43" w:rsidRDefault="00BB4C43" w:rsidP="00BB4C43">
      <w:pPr>
        <w:tabs>
          <w:tab w:val="num" w:pos="1154"/>
        </w:tabs>
        <w:rPr>
          <w:rFonts w:cstheme="minorHAnsi"/>
          <w:szCs w:val="20"/>
        </w:rPr>
      </w:pPr>
      <w:r w:rsidRPr="00532E83">
        <w:rPr>
          <w:rFonts w:cstheme="minorHAnsi"/>
          <w:szCs w:val="20"/>
        </w:rPr>
        <w:t xml:space="preserve">This section outlines the process of selecting the socio-demographic indicators to include in our predictive model to estimate the extent to which different factors are likely to predict whether an area is identified as ‘left-behind’. In this section we </w:t>
      </w:r>
      <w:r w:rsidR="00AB1DDF">
        <w:rPr>
          <w:rFonts w:cstheme="minorHAnsi"/>
          <w:szCs w:val="20"/>
        </w:rPr>
        <w:t xml:space="preserve">discuss the model we are using, </w:t>
      </w:r>
      <w:r w:rsidRPr="00532E83">
        <w:rPr>
          <w:rFonts w:cstheme="minorHAnsi"/>
          <w:szCs w:val="20"/>
        </w:rPr>
        <w:t>identify the indicators considered for inclusion</w:t>
      </w:r>
      <w:r w:rsidR="00AB1DDF">
        <w:rPr>
          <w:rFonts w:cstheme="minorHAnsi"/>
          <w:szCs w:val="20"/>
        </w:rPr>
        <w:t xml:space="preserve">, </w:t>
      </w:r>
      <w:r w:rsidRPr="00532E83">
        <w:rPr>
          <w:rFonts w:cstheme="minorHAnsi"/>
          <w:szCs w:val="20"/>
        </w:rPr>
        <w:t>outline the series of steps required to reduce this list down to a shortlist of factors we have included in the final model</w:t>
      </w:r>
      <w:r w:rsidR="00AB1DDF">
        <w:rPr>
          <w:rFonts w:cstheme="minorHAnsi"/>
          <w:szCs w:val="20"/>
        </w:rPr>
        <w:t xml:space="preserve"> and the method for loading the indicators in</w:t>
      </w:r>
      <w:r w:rsidR="005952C3">
        <w:rPr>
          <w:rFonts w:cstheme="minorHAnsi"/>
          <w:szCs w:val="20"/>
        </w:rPr>
        <w:t>to</w:t>
      </w:r>
      <w:r w:rsidR="00AB1DDF">
        <w:rPr>
          <w:rFonts w:cstheme="minorHAnsi"/>
          <w:szCs w:val="20"/>
        </w:rPr>
        <w:t xml:space="preserve"> the model.</w:t>
      </w:r>
    </w:p>
    <w:p w14:paraId="1A27EBFA" w14:textId="145BAE1B" w:rsidR="009604A7" w:rsidRDefault="009604A7" w:rsidP="00BB4C43">
      <w:pPr>
        <w:tabs>
          <w:tab w:val="num" w:pos="1154"/>
        </w:tabs>
        <w:rPr>
          <w:rFonts w:cstheme="minorHAnsi"/>
          <w:szCs w:val="20"/>
        </w:rPr>
      </w:pPr>
    </w:p>
    <w:p w14:paraId="1C330D1D" w14:textId="4F81E21C" w:rsidR="001B0896" w:rsidRDefault="001B0896" w:rsidP="001B0896">
      <w:pPr>
        <w:pStyle w:val="Heading2"/>
      </w:pPr>
      <w:bookmarkStart w:id="7" w:name="_Toc71790729"/>
      <w:r>
        <w:t>Logistic regression</w:t>
      </w:r>
      <w:r w:rsidR="00AB1DDF">
        <w:t xml:space="preserve"> has been used to identify key factors</w:t>
      </w:r>
      <w:bookmarkEnd w:id="7"/>
    </w:p>
    <w:p w14:paraId="02DC916D" w14:textId="77777777" w:rsidR="001B0896" w:rsidRDefault="001B0896" w:rsidP="00BB4C43">
      <w:pPr>
        <w:tabs>
          <w:tab w:val="num" w:pos="1154"/>
        </w:tabs>
        <w:rPr>
          <w:rFonts w:cstheme="minorHAnsi"/>
          <w:szCs w:val="20"/>
        </w:rPr>
      </w:pPr>
    </w:p>
    <w:p w14:paraId="339A100C" w14:textId="275AE0A2" w:rsidR="003D3762" w:rsidRDefault="001B0896" w:rsidP="001B0896">
      <w:r>
        <w:t xml:space="preserve">Logistic </w:t>
      </w:r>
      <w:r w:rsidRPr="009B378C">
        <w:t xml:space="preserve">regression (LR) is a statistical method </w:t>
      </w:r>
      <w:r>
        <w:t>used to model the probability of a certain class or event existing such as whether or not an area is ‘left-behind’. The model works by</w:t>
      </w:r>
      <w:r w:rsidRPr="009B378C">
        <w:t xml:space="preserve"> predict</w:t>
      </w:r>
      <w:r>
        <w:t>ing</w:t>
      </w:r>
      <w:r w:rsidRPr="009B378C">
        <w:t xml:space="preserve"> an outcome for a binary variable </w:t>
      </w:r>
      <w:r>
        <w:t>(</w:t>
      </w:r>
      <w:r w:rsidRPr="009B378C">
        <w:t>‘left-behind’</w:t>
      </w:r>
      <w:r>
        <w:t>/not ‘left-behind)</w:t>
      </w:r>
      <w:r w:rsidRPr="009B378C">
        <w:t>, Y,</w:t>
      </w:r>
      <w:r w:rsidRPr="009B378C">
        <w:rPr>
          <w:rFonts w:eastAsia="Arial Unicode MS"/>
        </w:rPr>
        <w:t> </w:t>
      </w:r>
      <w:r w:rsidRPr="009B378C">
        <w:t>from one or more response variables, X.</w:t>
      </w:r>
      <w:r>
        <w:t xml:space="preserve"> L</w:t>
      </w:r>
      <w:r w:rsidRPr="0017077C">
        <w:t xml:space="preserve">ogistic regression is used to predict the odds of </w:t>
      </w:r>
      <w:r>
        <w:t xml:space="preserve">an area </w:t>
      </w:r>
      <w:r w:rsidR="00AB1DDF">
        <w:t xml:space="preserve">having a characteristic </w:t>
      </w:r>
      <w:r w:rsidRPr="0017077C">
        <w:t>based on the values of the independent variables (predictors). The odds are defined as the probability that a particular outcome is a case divided by the probability that it is a non</w:t>
      </w:r>
      <w:r>
        <w:t>-</w:t>
      </w:r>
      <w:r w:rsidRPr="0017077C">
        <w:t>instance.</w:t>
      </w:r>
      <w:r w:rsidR="003D3762">
        <w:t xml:space="preserve"> </w:t>
      </w:r>
    </w:p>
    <w:p w14:paraId="101E141B" w14:textId="6CF6103F" w:rsidR="003D3762" w:rsidRDefault="003D3762" w:rsidP="001B0896"/>
    <w:p w14:paraId="36DA22D2" w14:textId="7ABEBFC3" w:rsidR="003D3762" w:rsidRPr="001B0896" w:rsidRDefault="003D3762" w:rsidP="001B0896">
      <w:r>
        <w:t xml:space="preserve">This model has been </w:t>
      </w:r>
      <w:r w:rsidR="00AB1DDF">
        <w:t>applied</w:t>
      </w:r>
      <w:r>
        <w:t xml:space="preserve"> across all wards in England to ensure that a more representative set of areas is included</w:t>
      </w:r>
      <w:r w:rsidR="00700193">
        <w:t xml:space="preserve"> when determining the key factors which influence whether an area is ‘left-behind’.</w:t>
      </w:r>
    </w:p>
    <w:p w14:paraId="3FB701A6" w14:textId="513D88C3" w:rsidR="001B0896" w:rsidRDefault="001B0896" w:rsidP="00BB4C43">
      <w:pPr>
        <w:tabs>
          <w:tab w:val="num" w:pos="1154"/>
        </w:tabs>
        <w:rPr>
          <w:rFonts w:cstheme="minorHAnsi"/>
          <w:szCs w:val="20"/>
        </w:rPr>
      </w:pPr>
    </w:p>
    <w:p w14:paraId="40B478E2" w14:textId="691D6A33" w:rsidR="001B0896" w:rsidRDefault="001B0896" w:rsidP="00BB4C43">
      <w:pPr>
        <w:tabs>
          <w:tab w:val="num" w:pos="1154"/>
        </w:tabs>
        <w:rPr>
          <w:rFonts w:cstheme="minorHAnsi"/>
          <w:szCs w:val="20"/>
        </w:rPr>
      </w:pPr>
      <w:r>
        <w:rPr>
          <w:rFonts w:cstheme="minorHAnsi"/>
          <w:szCs w:val="20"/>
        </w:rPr>
        <w:t xml:space="preserve">The sections below will explore the steps taken to identify appropriate predictor </w:t>
      </w:r>
      <w:r w:rsidR="00E4602E">
        <w:rPr>
          <w:rFonts w:cstheme="minorHAnsi"/>
          <w:szCs w:val="20"/>
        </w:rPr>
        <w:t xml:space="preserve">variables to include in the model. </w:t>
      </w:r>
    </w:p>
    <w:p w14:paraId="28800F34" w14:textId="77777777" w:rsidR="00E4602E" w:rsidRDefault="00E4602E" w:rsidP="00BB4C43">
      <w:pPr>
        <w:tabs>
          <w:tab w:val="num" w:pos="1154"/>
        </w:tabs>
        <w:rPr>
          <w:rFonts w:cstheme="minorHAnsi"/>
          <w:szCs w:val="20"/>
        </w:rPr>
      </w:pPr>
    </w:p>
    <w:p w14:paraId="7FC20C97" w14:textId="4781857B" w:rsidR="009604A7" w:rsidRDefault="009604A7" w:rsidP="009604A7">
      <w:pPr>
        <w:pStyle w:val="Heading2"/>
      </w:pPr>
      <w:bookmarkStart w:id="8" w:name="_Toc71790730"/>
      <w:r>
        <w:t>Choosing the indicators to include in a model</w:t>
      </w:r>
      <w:bookmarkEnd w:id="8"/>
    </w:p>
    <w:p w14:paraId="4EEAA1D7" w14:textId="49A21F74" w:rsidR="009604A7" w:rsidRDefault="009604A7" w:rsidP="00BB4C43">
      <w:pPr>
        <w:tabs>
          <w:tab w:val="num" w:pos="1154"/>
        </w:tabs>
        <w:rPr>
          <w:rFonts w:cstheme="minorHAnsi"/>
          <w:szCs w:val="20"/>
        </w:rPr>
      </w:pPr>
    </w:p>
    <w:p w14:paraId="6B9D86B2" w14:textId="12CCE73C" w:rsidR="009604A7" w:rsidRDefault="009604A7" w:rsidP="00BB4C43">
      <w:pPr>
        <w:tabs>
          <w:tab w:val="num" w:pos="1154"/>
        </w:tabs>
      </w:pPr>
      <w:r>
        <w:rPr>
          <w:rFonts w:cstheme="minorHAnsi"/>
          <w:szCs w:val="20"/>
        </w:rPr>
        <w:t xml:space="preserve">A key element of producing a meaningful logistic regression model is to identify the correct number of predictor variables to include in the model. Technically you can include as many input variables as you would like to; however, </w:t>
      </w:r>
      <w:r w:rsidR="00327020">
        <w:rPr>
          <w:rFonts w:cstheme="minorHAnsi"/>
          <w:szCs w:val="20"/>
        </w:rPr>
        <w:t xml:space="preserve">in doing so you can </w:t>
      </w:r>
      <w:r w:rsidR="005952C3">
        <w:rPr>
          <w:rFonts w:cstheme="minorHAnsi"/>
          <w:szCs w:val="20"/>
        </w:rPr>
        <w:t>‘</w:t>
      </w:r>
      <w:r w:rsidR="00327020">
        <w:rPr>
          <w:rFonts w:cstheme="minorHAnsi"/>
          <w:szCs w:val="20"/>
        </w:rPr>
        <w:t>overfit</w:t>
      </w:r>
      <w:r w:rsidR="005952C3">
        <w:rPr>
          <w:rFonts w:cstheme="minorHAnsi"/>
          <w:szCs w:val="20"/>
        </w:rPr>
        <w:t>’</w:t>
      </w:r>
      <w:r w:rsidR="00327020">
        <w:rPr>
          <w:rFonts w:cstheme="minorHAnsi"/>
          <w:szCs w:val="20"/>
        </w:rPr>
        <w:t xml:space="preserve"> the model </w:t>
      </w:r>
      <w:r>
        <w:rPr>
          <w:rFonts w:cstheme="minorHAnsi"/>
          <w:szCs w:val="20"/>
        </w:rPr>
        <w:t xml:space="preserve">so </w:t>
      </w:r>
      <w:r w:rsidR="00327020">
        <w:rPr>
          <w:rFonts w:cstheme="minorHAnsi"/>
          <w:szCs w:val="20"/>
        </w:rPr>
        <w:t>t</w:t>
      </w:r>
      <w:r>
        <w:rPr>
          <w:rFonts w:cstheme="minorHAnsi"/>
          <w:szCs w:val="20"/>
        </w:rPr>
        <w:t xml:space="preserve">hat it becomes harder to discern meaningful associations between the predictor variables </w:t>
      </w:r>
      <w:r w:rsidR="001B0896">
        <w:rPr>
          <w:rFonts w:cstheme="minorHAnsi"/>
          <w:szCs w:val="20"/>
        </w:rPr>
        <w:t xml:space="preserve">and whether an area is ‘left-behind’. There is also a risk that indicators can have large </w:t>
      </w:r>
      <w:r w:rsidR="001B0896" w:rsidRPr="001B0896">
        <w:t>standard errors</w:t>
      </w:r>
      <w:r w:rsidR="001B0896">
        <w:rPr>
          <w:rStyle w:val="FootnoteReference"/>
        </w:rPr>
        <w:footnoteReference w:id="5"/>
      </w:r>
      <w:r w:rsidR="001B0896">
        <w:t xml:space="preserve"> or that any association between the predictor variables and the outcome is spurious or co-incidental e.g. there may be an association between grey hair and long-term illness but the underlying </w:t>
      </w:r>
      <w:r w:rsidR="00E4602E">
        <w:t xml:space="preserve">causal </w:t>
      </w:r>
      <w:r w:rsidR="001B0896">
        <w:t xml:space="preserve">factor </w:t>
      </w:r>
      <w:r w:rsidR="00E4602E">
        <w:t xml:space="preserve">which drives this association is old age. </w:t>
      </w:r>
    </w:p>
    <w:p w14:paraId="1862BACE" w14:textId="1EA5309A" w:rsidR="00E4602E" w:rsidRDefault="00E4602E" w:rsidP="00BB4C43">
      <w:pPr>
        <w:tabs>
          <w:tab w:val="num" w:pos="1154"/>
        </w:tabs>
      </w:pPr>
    </w:p>
    <w:p w14:paraId="7C53673E" w14:textId="59CFB2FA" w:rsidR="009604A7" w:rsidRPr="00532E83" w:rsidRDefault="00E4602E" w:rsidP="00BB4C43">
      <w:pPr>
        <w:tabs>
          <w:tab w:val="num" w:pos="1154"/>
        </w:tabs>
        <w:rPr>
          <w:rFonts w:cstheme="minorHAnsi"/>
          <w:szCs w:val="20"/>
        </w:rPr>
      </w:pPr>
      <w:r>
        <w:t>Therefore</w:t>
      </w:r>
      <w:r w:rsidR="005952C3">
        <w:t>,</w:t>
      </w:r>
      <w:r>
        <w:t xml:space="preserve"> it is important that we carefully select indicators to include in the model to ensure that we are picking out meaningful associations. </w:t>
      </w:r>
    </w:p>
    <w:p w14:paraId="028B87C4" w14:textId="77777777" w:rsidR="00BB4C43" w:rsidRPr="00532E83" w:rsidRDefault="00BB4C43" w:rsidP="00BB4C43">
      <w:pPr>
        <w:rPr>
          <w:rFonts w:cstheme="minorHAnsi"/>
          <w:sz w:val="22"/>
        </w:rPr>
      </w:pPr>
    </w:p>
    <w:p w14:paraId="3DE42A1E" w14:textId="47CED471" w:rsidR="00BB4C43" w:rsidRDefault="00BB4C43" w:rsidP="00BB4C43">
      <w:pPr>
        <w:pStyle w:val="Heading2"/>
      </w:pPr>
      <w:bookmarkStart w:id="9" w:name="_Toc71790731"/>
      <w:r w:rsidRPr="00532E83">
        <w:t>The initial long-list</w:t>
      </w:r>
      <w:bookmarkEnd w:id="9"/>
    </w:p>
    <w:p w14:paraId="64B8CD0A" w14:textId="77777777" w:rsidR="00532E83" w:rsidRPr="00532E83" w:rsidRDefault="00532E83" w:rsidP="00532E83"/>
    <w:p w14:paraId="7530986A" w14:textId="4555D82F" w:rsidR="00BB4C43" w:rsidRPr="00532E83" w:rsidRDefault="00BB4C43" w:rsidP="00BB4C43">
      <w:pPr>
        <w:rPr>
          <w:rFonts w:cstheme="minorHAnsi"/>
          <w:szCs w:val="20"/>
        </w:rPr>
      </w:pPr>
      <w:r w:rsidRPr="00532E83">
        <w:rPr>
          <w:rFonts w:cstheme="minorHAnsi"/>
          <w:szCs w:val="20"/>
        </w:rPr>
        <w:t xml:space="preserve">The initial list of variables were selected on the basis of relevance to the socio-economic processes and differing characteristics in </w:t>
      </w:r>
      <w:r w:rsidR="005952C3">
        <w:rPr>
          <w:rFonts w:cstheme="minorHAnsi"/>
          <w:szCs w:val="20"/>
        </w:rPr>
        <w:t>‘l</w:t>
      </w:r>
      <w:r w:rsidRPr="00532E83">
        <w:rPr>
          <w:rFonts w:cstheme="minorHAnsi"/>
          <w:szCs w:val="20"/>
        </w:rPr>
        <w:t>eft-behind</w:t>
      </w:r>
      <w:r w:rsidR="005952C3">
        <w:rPr>
          <w:rFonts w:cstheme="minorHAnsi"/>
          <w:szCs w:val="20"/>
        </w:rPr>
        <w:t>’</w:t>
      </w:r>
      <w:r w:rsidRPr="00532E83">
        <w:rPr>
          <w:rFonts w:cstheme="minorHAnsi"/>
          <w:szCs w:val="20"/>
        </w:rPr>
        <w:t xml:space="preserve"> areas</w:t>
      </w:r>
      <w:r w:rsidR="005952C3">
        <w:rPr>
          <w:rFonts w:cstheme="minorHAnsi"/>
          <w:szCs w:val="20"/>
        </w:rPr>
        <w:t>.</w:t>
      </w:r>
      <w:r w:rsidRPr="00532E83">
        <w:rPr>
          <w:rFonts w:cstheme="minorHAnsi"/>
          <w:szCs w:val="20"/>
        </w:rPr>
        <w:t xml:space="preserve"> </w:t>
      </w:r>
    </w:p>
    <w:p w14:paraId="5703EF2E" w14:textId="77777777" w:rsidR="00BB4C43" w:rsidRPr="00532E83" w:rsidRDefault="00BB4C43" w:rsidP="00BB4C43">
      <w:pPr>
        <w:rPr>
          <w:rFonts w:cstheme="minorHAnsi"/>
          <w:szCs w:val="20"/>
        </w:rPr>
      </w:pPr>
    </w:p>
    <w:p w14:paraId="4CFB9B97" w14:textId="77777777" w:rsidR="00BB4C43" w:rsidRPr="00532E83" w:rsidRDefault="00BB4C43" w:rsidP="00BB4C43">
      <w:pPr>
        <w:rPr>
          <w:rFonts w:cstheme="minorHAnsi"/>
          <w:szCs w:val="20"/>
        </w:rPr>
      </w:pPr>
      <w:r w:rsidRPr="00532E83">
        <w:rPr>
          <w:rFonts w:cstheme="minorHAnsi"/>
          <w:szCs w:val="20"/>
        </w:rPr>
        <w:t xml:space="preserve">Indicators from a range of sources were considered. Including open data platforms (data.go.uk, </w:t>
      </w:r>
      <w:proofErr w:type="spellStart"/>
      <w:r w:rsidRPr="00532E83">
        <w:rPr>
          <w:rFonts w:cstheme="minorHAnsi"/>
          <w:szCs w:val="20"/>
        </w:rPr>
        <w:t>nomis</w:t>
      </w:r>
      <w:proofErr w:type="spellEnd"/>
      <w:r w:rsidRPr="00532E83">
        <w:rPr>
          <w:rFonts w:cstheme="minorHAnsi"/>
          <w:szCs w:val="20"/>
        </w:rPr>
        <w:t xml:space="preserve">) government data providers (Office for National Statistics, Public Health England, Department for Work and Pensions, Communities and Local Government, Department for Education, Gov.uk, Valuation Office Agency), third sector sources – (360 Giving, Charity Base, Power to Change) and commercial data (Ordinance Survey and Consumer Data Research Centre). </w:t>
      </w:r>
    </w:p>
    <w:p w14:paraId="6B8CCE90" w14:textId="77777777" w:rsidR="00BB4C43" w:rsidRPr="00532E83" w:rsidRDefault="00BB4C43" w:rsidP="00BB4C43">
      <w:pPr>
        <w:rPr>
          <w:rFonts w:cstheme="minorHAnsi"/>
          <w:szCs w:val="20"/>
        </w:rPr>
      </w:pPr>
    </w:p>
    <w:p w14:paraId="13DD5AEF" w14:textId="77777777" w:rsidR="00BB4C43" w:rsidRPr="00532E83" w:rsidRDefault="00BB4C43" w:rsidP="00BB4C43">
      <w:pPr>
        <w:rPr>
          <w:rFonts w:cstheme="minorHAnsi"/>
          <w:szCs w:val="20"/>
        </w:rPr>
      </w:pPr>
      <w:r w:rsidRPr="00532E83">
        <w:rPr>
          <w:rFonts w:cstheme="minorHAnsi"/>
          <w:szCs w:val="20"/>
        </w:rPr>
        <w:t>Indicators were selected where they fulfilled the following criteria:</w:t>
      </w:r>
    </w:p>
    <w:p w14:paraId="2DF6369A" w14:textId="391D7EB5"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 xml:space="preserve">Open (subject to </w:t>
      </w:r>
      <w:r w:rsidR="005952C3">
        <w:rPr>
          <w:rFonts w:cstheme="minorHAnsi"/>
          <w:szCs w:val="20"/>
        </w:rPr>
        <w:t>an O</w:t>
      </w:r>
      <w:r w:rsidRPr="00532E83">
        <w:rPr>
          <w:rFonts w:cstheme="minorHAnsi"/>
          <w:szCs w:val="20"/>
        </w:rPr>
        <w:t xml:space="preserve">pen </w:t>
      </w:r>
      <w:r w:rsidR="005952C3">
        <w:rPr>
          <w:rFonts w:cstheme="minorHAnsi"/>
          <w:szCs w:val="20"/>
        </w:rPr>
        <w:t>G</w:t>
      </w:r>
      <w:r w:rsidRPr="00532E83">
        <w:rPr>
          <w:rFonts w:cstheme="minorHAnsi"/>
          <w:szCs w:val="20"/>
        </w:rPr>
        <w:t xml:space="preserve">overnment </w:t>
      </w:r>
      <w:r w:rsidR="005952C3">
        <w:rPr>
          <w:rFonts w:cstheme="minorHAnsi"/>
          <w:szCs w:val="20"/>
        </w:rPr>
        <w:t>L</w:t>
      </w:r>
      <w:r w:rsidRPr="00532E83">
        <w:rPr>
          <w:rFonts w:cstheme="minorHAnsi"/>
          <w:szCs w:val="20"/>
        </w:rPr>
        <w:t>icence)</w:t>
      </w:r>
    </w:p>
    <w:p w14:paraId="59997920"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Had a full national coverage</w:t>
      </w:r>
    </w:p>
    <w:p w14:paraId="6FC8AFE4"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Up to date</w:t>
      </w:r>
    </w:p>
    <w:p w14:paraId="0110B3EB" w14:textId="5EBEEDC0"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Relevant to the social, cultural, demographic and economic processes operating in neighbourhoods</w:t>
      </w:r>
    </w:p>
    <w:p w14:paraId="78D2FC09"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Published at a suitable geographical level – “neighbourhood” i.e. sub-Local Authority, unless they were capturing an issue where there was no suitable proxy measures at sub-Local Authority level</w:t>
      </w:r>
    </w:p>
    <w:p w14:paraId="511BD1EA"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Suitably robust (not drawn from surveys with small sample sizes and wide confidence intervals)</w:t>
      </w:r>
    </w:p>
    <w:p w14:paraId="7F482D33"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Excluding modelled indicators</w:t>
      </w:r>
    </w:p>
    <w:p w14:paraId="0EFB0168" w14:textId="3C02623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Excluding particular composite indicators, where the individual components had greater explanatory value</w:t>
      </w:r>
    </w:p>
    <w:p w14:paraId="77381856"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Excluding indicators where variation can be explained by variation in local and national social policy e.g. rollout of Universal Credit</w:t>
      </w:r>
    </w:p>
    <w:p w14:paraId="38FCEA86" w14:textId="77777777"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Excluding indicators with a low descriptive value</w:t>
      </w:r>
    </w:p>
    <w:p w14:paraId="59BDDD69" w14:textId="63B02B2D" w:rsidR="00BB4C43" w:rsidRPr="00532E83" w:rsidRDefault="00BB4C43" w:rsidP="003573C8">
      <w:pPr>
        <w:pStyle w:val="ListParagraph"/>
        <w:numPr>
          <w:ilvl w:val="0"/>
          <w:numId w:val="24"/>
        </w:numPr>
        <w:spacing w:after="160" w:line="259" w:lineRule="auto"/>
        <w:rPr>
          <w:rFonts w:cstheme="minorHAnsi"/>
          <w:szCs w:val="20"/>
        </w:rPr>
      </w:pPr>
      <w:r w:rsidRPr="00532E83">
        <w:rPr>
          <w:rFonts w:cstheme="minorHAnsi"/>
          <w:szCs w:val="20"/>
        </w:rPr>
        <w:t>Excluding factors that are only relevant to a subset of the population e.g. travelling to work by Underground/Metro</w:t>
      </w:r>
    </w:p>
    <w:p w14:paraId="7C130A0A" w14:textId="04B3554E" w:rsidR="00E4602E" w:rsidRDefault="00B7166C" w:rsidP="007D2BD2">
      <w:pPr>
        <w:pStyle w:val="ListParagraph"/>
        <w:numPr>
          <w:ilvl w:val="0"/>
          <w:numId w:val="24"/>
        </w:numPr>
        <w:spacing w:after="160" w:line="259" w:lineRule="auto"/>
        <w:rPr>
          <w:rFonts w:cstheme="minorHAnsi"/>
          <w:szCs w:val="20"/>
        </w:rPr>
      </w:pPr>
      <w:r w:rsidRPr="00532E83">
        <w:rPr>
          <w:rFonts w:cstheme="minorHAnsi"/>
          <w:szCs w:val="20"/>
        </w:rPr>
        <w:t>Excluding factors directly measured in the Indices of Deprivation 2019 or Essex Community Needs Index</w:t>
      </w:r>
    </w:p>
    <w:p w14:paraId="228CD3D1" w14:textId="14CFE5E7" w:rsidR="00E4602E" w:rsidRPr="00E4602E" w:rsidRDefault="00E4602E" w:rsidP="00E4602E">
      <w:pPr>
        <w:pStyle w:val="ListParagraph"/>
        <w:numPr>
          <w:ilvl w:val="0"/>
          <w:numId w:val="24"/>
        </w:numPr>
        <w:spacing w:after="160" w:line="259" w:lineRule="auto"/>
        <w:rPr>
          <w:rFonts w:cstheme="minorHAnsi"/>
          <w:szCs w:val="20"/>
        </w:rPr>
      </w:pPr>
      <w:r w:rsidRPr="00E4602E">
        <w:rPr>
          <w:rFonts w:cstheme="minorHAnsi"/>
          <w:szCs w:val="20"/>
        </w:rPr>
        <w:t>Avoid</w:t>
      </w:r>
      <w:r w:rsidR="005952C3">
        <w:rPr>
          <w:rFonts w:cstheme="minorHAnsi"/>
          <w:szCs w:val="20"/>
        </w:rPr>
        <w:t>ing</w:t>
      </w:r>
      <w:r w:rsidRPr="00E4602E">
        <w:rPr>
          <w:rFonts w:cstheme="minorHAnsi"/>
          <w:szCs w:val="20"/>
        </w:rPr>
        <w:t xml:space="preserve"> variables that are likely to have a ‘multi-directional’ association with the outcome – </w:t>
      </w:r>
      <w:r w:rsidRPr="00E4602E">
        <w:rPr>
          <w:color w:val="000000"/>
        </w:rPr>
        <w:t>The model assumes that the relationship between the predictor variables and the dependent variable follows a particular direction – this may be positive or negative but is constant over the range of values e.g. we may wish to avoid average age even if it is a strong predictor of whether or not an area is ‘left-behind’ if both areas with a high proportion of very young people and very old people increase the likelihood that an area could be ‘left-behind’.</w:t>
      </w:r>
    </w:p>
    <w:p w14:paraId="2EA12902" w14:textId="307E6447" w:rsidR="001754EF" w:rsidRDefault="00BB4C43" w:rsidP="00BB4C43">
      <w:pPr>
        <w:rPr>
          <w:rFonts w:cstheme="minorHAnsi"/>
          <w:szCs w:val="20"/>
        </w:rPr>
      </w:pPr>
      <w:r w:rsidRPr="00532E83">
        <w:rPr>
          <w:rFonts w:cstheme="minorHAnsi"/>
          <w:szCs w:val="20"/>
        </w:rPr>
        <w:t>We also developed our own series of</w:t>
      </w:r>
      <w:r w:rsidR="003573C8" w:rsidRPr="00532E83">
        <w:rPr>
          <w:rFonts w:cstheme="minorHAnsi"/>
          <w:szCs w:val="20"/>
        </w:rPr>
        <w:t xml:space="preserve"> composite measures from existing indicators </w:t>
      </w:r>
      <w:r w:rsidRPr="00532E83">
        <w:rPr>
          <w:rFonts w:cstheme="minorHAnsi"/>
          <w:szCs w:val="20"/>
        </w:rPr>
        <w:t>e.g. combining different types of social housing tenure into a single Social Housing measure (so that areas with different stock transfer arrangements would not be moved into separate categories)</w:t>
      </w:r>
      <w:r w:rsidR="003573C8" w:rsidRPr="00532E83">
        <w:rPr>
          <w:rFonts w:cstheme="minorHAnsi"/>
          <w:szCs w:val="20"/>
        </w:rPr>
        <w:t xml:space="preserve"> and developed derived indicators to consider the interaction </w:t>
      </w:r>
      <w:r w:rsidRPr="00532E83">
        <w:rPr>
          <w:rFonts w:cstheme="minorHAnsi"/>
          <w:szCs w:val="20"/>
        </w:rPr>
        <w:t>between two related factors e.g. difference between house prices and wages</w:t>
      </w:r>
      <w:r w:rsidR="003573C8" w:rsidRPr="00532E83">
        <w:rPr>
          <w:rFonts w:cstheme="minorHAnsi"/>
          <w:szCs w:val="20"/>
        </w:rPr>
        <w:t xml:space="preserve">. </w:t>
      </w:r>
    </w:p>
    <w:p w14:paraId="0F71AE81" w14:textId="77777777" w:rsidR="001754EF" w:rsidRPr="00532E83" w:rsidRDefault="001754EF" w:rsidP="00BB4C43">
      <w:pPr>
        <w:rPr>
          <w:rFonts w:cstheme="minorHAnsi"/>
          <w:szCs w:val="20"/>
        </w:rPr>
      </w:pPr>
    </w:p>
    <w:p w14:paraId="1DB0CB3C" w14:textId="44A813CF" w:rsidR="00BB4C43" w:rsidRDefault="00BB4C43" w:rsidP="00BB4C43">
      <w:pPr>
        <w:rPr>
          <w:rFonts w:cstheme="minorHAnsi"/>
          <w:szCs w:val="20"/>
        </w:rPr>
      </w:pPr>
      <w:r w:rsidRPr="00532E83">
        <w:rPr>
          <w:rFonts w:cstheme="minorHAnsi"/>
          <w:szCs w:val="20"/>
        </w:rPr>
        <w:t xml:space="preserve">Using </w:t>
      </w:r>
      <w:r w:rsidR="005952C3" w:rsidRPr="00532E83">
        <w:rPr>
          <w:rFonts w:cstheme="minorHAnsi"/>
          <w:szCs w:val="20"/>
        </w:rPr>
        <w:t>these criteria</w:t>
      </w:r>
      <w:r w:rsidRPr="00532E83">
        <w:rPr>
          <w:rFonts w:cstheme="minorHAnsi"/>
          <w:szCs w:val="20"/>
        </w:rPr>
        <w:t xml:space="preserve">, we selected an initial </w:t>
      </w:r>
      <w:r w:rsidR="005952C3" w:rsidRPr="00532E83">
        <w:rPr>
          <w:rFonts w:cstheme="minorHAnsi"/>
          <w:szCs w:val="20"/>
        </w:rPr>
        <w:t>long list</w:t>
      </w:r>
      <w:r w:rsidRPr="00532E83">
        <w:rPr>
          <w:rFonts w:cstheme="minorHAnsi"/>
          <w:szCs w:val="20"/>
        </w:rPr>
        <w:t xml:space="preserve"> of </w:t>
      </w:r>
      <w:r w:rsidR="00E16578">
        <w:rPr>
          <w:rFonts w:cstheme="minorHAnsi"/>
          <w:szCs w:val="20"/>
        </w:rPr>
        <w:t>1</w:t>
      </w:r>
      <w:r w:rsidR="00D941BA">
        <w:rPr>
          <w:rFonts w:cstheme="minorHAnsi"/>
          <w:szCs w:val="20"/>
        </w:rPr>
        <w:t>3</w:t>
      </w:r>
      <w:r w:rsidR="009E3D36">
        <w:rPr>
          <w:rFonts w:cstheme="minorHAnsi"/>
          <w:szCs w:val="20"/>
        </w:rPr>
        <w:t xml:space="preserve">5 </w:t>
      </w:r>
      <w:r w:rsidRPr="00532E83">
        <w:rPr>
          <w:rFonts w:cstheme="minorHAnsi"/>
          <w:szCs w:val="20"/>
        </w:rPr>
        <w:t>possible indicators.</w:t>
      </w:r>
      <w:r w:rsidR="0045150F">
        <w:rPr>
          <w:rFonts w:cstheme="minorHAnsi"/>
          <w:szCs w:val="20"/>
        </w:rPr>
        <w:t xml:space="preserve"> Appendix A lists each of these indicators with information regarding source and date coverage.</w:t>
      </w:r>
    </w:p>
    <w:p w14:paraId="6C1A0E72" w14:textId="77777777" w:rsidR="0045150F" w:rsidRPr="0045150F" w:rsidRDefault="0045150F" w:rsidP="00BB4C43">
      <w:pPr>
        <w:rPr>
          <w:rFonts w:cstheme="minorHAnsi"/>
          <w:szCs w:val="20"/>
        </w:rPr>
      </w:pPr>
    </w:p>
    <w:p w14:paraId="22717AB1" w14:textId="6899F559" w:rsidR="00BB4C43" w:rsidRDefault="0045150F" w:rsidP="00532E83">
      <w:pPr>
        <w:pStyle w:val="Heading2"/>
      </w:pPr>
      <w:bookmarkStart w:id="10" w:name="_Toc71790732"/>
      <w:r>
        <w:t>Excluding h</w:t>
      </w:r>
      <w:r w:rsidR="00BB4C43" w:rsidRPr="00532E83">
        <w:t>ighly correlated variables</w:t>
      </w:r>
      <w:bookmarkEnd w:id="10"/>
    </w:p>
    <w:p w14:paraId="273D0801" w14:textId="6B68CEB9" w:rsidR="00E4602E" w:rsidRDefault="00E4602E" w:rsidP="00E4602E"/>
    <w:p w14:paraId="20A4F9FC" w14:textId="2AA21F01" w:rsidR="00E4602E" w:rsidRPr="00532E83" w:rsidRDefault="00E4602E" w:rsidP="00BB4C43">
      <w:pPr>
        <w:rPr>
          <w:rFonts w:cstheme="minorHAnsi"/>
          <w:szCs w:val="20"/>
        </w:rPr>
      </w:pPr>
      <w:r>
        <w:rPr>
          <w:color w:val="000000"/>
        </w:rPr>
        <w:t xml:space="preserve">If input variables are highly correlated with one another (known as multicollinearity), then the effect of each on the regression model becomes less precise as the effects of each factor can be split across multiple variables. </w:t>
      </w:r>
    </w:p>
    <w:p w14:paraId="233EE0A4" w14:textId="77777777" w:rsidR="00BB4C43" w:rsidRPr="00532E83" w:rsidRDefault="00BB4C43" w:rsidP="00BB4C43">
      <w:pPr>
        <w:rPr>
          <w:rFonts w:cstheme="minorHAnsi"/>
          <w:szCs w:val="20"/>
        </w:rPr>
      </w:pPr>
    </w:p>
    <w:p w14:paraId="3E3CA927" w14:textId="77777777" w:rsidR="00BB4C43" w:rsidRPr="00532E83" w:rsidRDefault="00BB4C43" w:rsidP="00BB4C43">
      <w:pPr>
        <w:rPr>
          <w:rFonts w:cstheme="minorHAnsi"/>
          <w:szCs w:val="20"/>
        </w:rPr>
      </w:pPr>
      <w:r w:rsidRPr="00532E83">
        <w:rPr>
          <w:rFonts w:cstheme="minorHAnsi"/>
          <w:szCs w:val="20"/>
        </w:rPr>
        <w:t xml:space="preserve">Correlation analysis of the long-list of indicators was used to identify potential indicators to drop from the long-list. In practice, a correlation coefficient threshold of .8** was used to define “highly correlated”. </w:t>
      </w:r>
    </w:p>
    <w:p w14:paraId="38321223" w14:textId="77777777" w:rsidR="00BB4C43" w:rsidRPr="00532E83" w:rsidRDefault="00BB4C43" w:rsidP="00BB4C43">
      <w:pPr>
        <w:rPr>
          <w:rFonts w:cstheme="minorHAnsi"/>
          <w:szCs w:val="20"/>
        </w:rPr>
      </w:pPr>
    </w:p>
    <w:p w14:paraId="73EEA1CD" w14:textId="0449924D" w:rsidR="00BB4C43" w:rsidRDefault="00BB4C43" w:rsidP="00BB4C43">
      <w:pPr>
        <w:rPr>
          <w:rFonts w:cstheme="minorHAnsi"/>
          <w:szCs w:val="20"/>
        </w:rPr>
      </w:pPr>
      <w:r w:rsidRPr="00532E83">
        <w:rPr>
          <w:rFonts w:cstheme="minorHAnsi"/>
          <w:szCs w:val="20"/>
        </w:rPr>
        <w:t>Those indicators that measured similar attributes of an area were dropped</w:t>
      </w:r>
      <w:r w:rsidR="004A48EB">
        <w:rPr>
          <w:rFonts w:cstheme="minorHAnsi"/>
          <w:szCs w:val="20"/>
        </w:rPr>
        <w:t xml:space="preserve">. </w:t>
      </w:r>
      <w:r w:rsidRPr="00532E83">
        <w:rPr>
          <w:rFonts w:cstheme="minorHAnsi"/>
          <w:szCs w:val="20"/>
        </w:rPr>
        <w:t xml:space="preserve">However, those indicators that were highly correlated but seen to be measuring slightly different, but useful, attributes were </w:t>
      </w:r>
      <w:r w:rsidR="004A48EB">
        <w:rPr>
          <w:rFonts w:cstheme="minorHAnsi"/>
          <w:szCs w:val="20"/>
        </w:rPr>
        <w:t>retained in the final model.</w:t>
      </w:r>
    </w:p>
    <w:p w14:paraId="157E43EE" w14:textId="2800BE87" w:rsidR="00A34A55" w:rsidRDefault="00A34A55" w:rsidP="00BB4C43">
      <w:pPr>
        <w:rPr>
          <w:rFonts w:cstheme="minorHAnsi"/>
          <w:szCs w:val="20"/>
        </w:rPr>
      </w:pPr>
    </w:p>
    <w:p w14:paraId="544E76CC" w14:textId="69B0B049" w:rsidR="00BB4C43" w:rsidRPr="00532E83" w:rsidRDefault="00A34A55" w:rsidP="00BB4C43">
      <w:pPr>
        <w:rPr>
          <w:rFonts w:cstheme="minorHAnsi"/>
          <w:szCs w:val="20"/>
        </w:rPr>
      </w:pPr>
      <w:r>
        <w:rPr>
          <w:rFonts w:cstheme="minorHAnsi"/>
          <w:szCs w:val="20"/>
        </w:rPr>
        <w:t>Appendix A lists the indicators excluded as part of this process.</w:t>
      </w:r>
    </w:p>
    <w:p w14:paraId="5D655AAA" w14:textId="2ADFF2E5" w:rsidR="00532E83" w:rsidRDefault="00532E83" w:rsidP="00532E83">
      <w:pPr>
        <w:spacing w:line="280" w:lineRule="exact"/>
        <w:rPr>
          <w:rFonts w:asciiTheme="minorHAnsi" w:hAnsiTheme="minorHAnsi" w:cstheme="minorHAnsi"/>
          <w:szCs w:val="20"/>
        </w:rPr>
      </w:pPr>
    </w:p>
    <w:p w14:paraId="021B4E20" w14:textId="387BF14F" w:rsidR="003F7231" w:rsidRDefault="003F7231" w:rsidP="003F7231">
      <w:pPr>
        <w:pStyle w:val="Heading2"/>
      </w:pPr>
      <w:bookmarkStart w:id="11" w:name="_Toc71790733"/>
      <w:bookmarkStart w:id="12" w:name="_Toc293559788"/>
      <w:r>
        <w:t>Entering the indicators into the model</w:t>
      </w:r>
      <w:bookmarkEnd w:id="11"/>
    </w:p>
    <w:p w14:paraId="6C90CA3C" w14:textId="77777777" w:rsidR="003F7231" w:rsidRDefault="003F7231" w:rsidP="003F7231"/>
    <w:p w14:paraId="09AB4AE0" w14:textId="157F9B17" w:rsidR="003F7231" w:rsidRDefault="003F7231" w:rsidP="003F7231">
      <w:r>
        <w:t>There are a number of options for entering indicators into a logistic regression model.</w:t>
      </w:r>
    </w:p>
    <w:p w14:paraId="5B6D7282" w14:textId="7F0CC4FC" w:rsidR="009604A7" w:rsidRPr="009604A7" w:rsidRDefault="009604A7" w:rsidP="009604A7">
      <w:pPr>
        <w:pStyle w:val="ListParagraph"/>
        <w:numPr>
          <w:ilvl w:val="0"/>
          <w:numId w:val="27"/>
        </w:numPr>
      </w:pPr>
      <w:r w:rsidRPr="005952C3">
        <w:rPr>
          <w:b/>
          <w:bCs/>
        </w:rPr>
        <w:t>Enter</w:t>
      </w:r>
      <w:r>
        <w:t xml:space="preserve"> – all predictor indicators are entered </w:t>
      </w:r>
      <w:r>
        <w:rPr>
          <w:color w:val="000000"/>
        </w:rPr>
        <w:t>simultaneously</w:t>
      </w:r>
      <w:r w:rsidR="005952C3">
        <w:rPr>
          <w:color w:val="000000"/>
        </w:rPr>
        <w:t>.</w:t>
      </w:r>
    </w:p>
    <w:p w14:paraId="0CC325BD" w14:textId="195691BF" w:rsidR="009604A7" w:rsidRPr="009604A7" w:rsidRDefault="009604A7" w:rsidP="009604A7">
      <w:pPr>
        <w:pStyle w:val="ListParagraph"/>
        <w:numPr>
          <w:ilvl w:val="0"/>
          <w:numId w:val="27"/>
        </w:numPr>
      </w:pPr>
      <w:r w:rsidRPr="005952C3">
        <w:rPr>
          <w:b/>
          <w:bCs/>
          <w:color w:val="000000"/>
        </w:rPr>
        <w:t>Forward stepwise</w:t>
      </w:r>
      <w:r>
        <w:rPr>
          <w:color w:val="000000"/>
        </w:rPr>
        <w:t xml:space="preserve"> – various factors are introduced one by one - starting</w:t>
      </w:r>
      <w:r w:rsidRPr="009604A7">
        <w:rPr>
          <w:color w:val="000000"/>
        </w:rPr>
        <w:t xml:space="preserve"> with the strongest</w:t>
      </w:r>
      <w:r>
        <w:rPr>
          <w:color w:val="000000"/>
        </w:rPr>
        <w:t xml:space="preserve"> predictor</w:t>
      </w:r>
      <w:r w:rsidRPr="009604A7">
        <w:rPr>
          <w:color w:val="000000"/>
        </w:rPr>
        <w:t xml:space="preserve"> and stopping when addition of the next factor does not significantly improve </w:t>
      </w:r>
      <w:r>
        <w:rPr>
          <w:color w:val="000000"/>
        </w:rPr>
        <w:t>the strength of the model</w:t>
      </w:r>
      <w:r w:rsidR="005952C3">
        <w:rPr>
          <w:color w:val="000000"/>
        </w:rPr>
        <w:t>.</w:t>
      </w:r>
    </w:p>
    <w:p w14:paraId="49DEFD0D" w14:textId="70ADA241" w:rsidR="009604A7" w:rsidRPr="00E4602E" w:rsidRDefault="009604A7" w:rsidP="009604A7">
      <w:pPr>
        <w:pStyle w:val="ListParagraph"/>
        <w:numPr>
          <w:ilvl w:val="0"/>
          <w:numId w:val="27"/>
        </w:numPr>
      </w:pPr>
      <w:r w:rsidRPr="005952C3">
        <w:rPr>
          <w:b/>
          <w:bCs/>
          <w:color w:val="000000"/>
        </w:rPr>
        <w:t>Backward stepwise</w:t>
      </w:r>
      <w:r>
        <w:rPr>
          <w:color w:val="000000"/>
        </w:rPr>
        <w:t xml:space="preserve"> – where all the </w:t>
      </w:r>
      <w:r>
        <w:t>predictor indicators</w:t>
      </w:r>
      <w:r>
        <w:rPr>
          <w:color w:val="000000"/>
        </w:rPr>
        <w:t xml:space="preserve"> are entered initially and then individual factors are removed one by one until the overall prediction does not deteriorate</w:t>
      </w:r>
      <w:r w:rsidR="005952C3">
        <w:rPr>
          <w:color w:val="000000"/>
        </w:rPr>
        <w:t>.</w:t>
      </w:r>
    </w:p>
    <w:p w14:paraId="2A290C07" w14:textId="77777777" w:rsidR="00B8788F" w:rsidRDefault="00B8788F" w:rsidP="009604A7"/>
    <w:p w14:paraId="65C3C98D" w14:textId="2BA64EB8" w:rsidR="00E4602E" w:rsidRDefault="00497D58" w:rsidP="009604A7">
      <w:r>
        <w:t xml:space="preserve">We adopted a backwards stepwise approach as we did not want to make assumptions regarding the strongest predictor variables but we did want to remove individual factors to avoid </w:t>
      </w:r>
      <w:r w:rsidR="005952C3">
        <w:t>‘</w:t>
      </w:r>
      <w:r>
        <w:t>overfitting</w:t>
      </w:r>
      <w:r w:rsidR="005952C3">
        <w:t>’</w:t>
      </w:r>
      <w:r>
        <w:t xml:space="preserve"> the mode</w:t>
      </w:r>
      <w:r w:rsidR="005952C3">
        <w:t>l</w:t>
      </w:r>
      <w:r>
        <w:t>.</w:t>
      </w:r>
    </w:p>
    <w:p w14:paraId="59DDF14A" w14:textId="77777777" w:rsidR="00B56198" w:rsidRDefault="00B56198" w:rsidP="00AC056F"/>
    <w:p w14:paraId="327E8E95" w14:textId="41A1E091" w:rsidR="00B56198" w:rsidRDefault="00B56198" w:rsidP="00B56198">
      <w:pPr>
        <w:pStyle w:val="Heading2"/>
      </w:pPr>
      <w:bookmarkStart w:id="13" w:name="_Toc71790734"/>
      <w:r w:rsidRPr="00E06F93">
        <w:t xml:space="preserve">Exclude variables with </w:t>
      </w:r>
      <w:r w:rsidR="009E3D36" w:rsidRPr="00E06F93">
        <w:t>confidence intervals</w:t>
      </w:r>
      <w:bookmarkEnd w:id="13"/>
    </w:p>
    <w:p w14:paraId="58007821" w14:textId="77777777" w:rsidR="00D25FB0" w:rsidRDefault="00D25FB0" w:rsidP="00B56198"/>
    <w:p w14:paraId="4A774B2F" w14:textId="04D88058" w:rsidR="00B56198" w:rsidRDefault="00D25FB0" w:rsidP="00B56198">
      <w:r>
        <w:t>O</w:t>
      </w:r>
      <w:r w:rsidR="00E06F93">
        <w:t xml:space="preserve">n the first iteration of the model, we reviewed the outputs and excluded indicators with wide </w:t>
      </w:r>
      <w:r>
        <w:t>confidence</w:t>
      </w:r>
      <w:r w:rsidR="00E06F93">
        <w:t xml:space="preserve"> intervals for the odds ratio outputs. </w:t>
      </w:r>
      <w:r>
        <w:t>We excluded these indicators as</w:t>
      </w:r>
      <w:r w:rsidR="00E06F93">
        <w:t xml:space="preserve"> </w:t>
      </w:r>
      <w:r>
        <w:t>we wanted a high level of precision among our predictor variables</w:t>
      </w:r>
      <w:r w:rsidR="005952C3">
        <w:t>. W</w:t>
      </w:r>
      <w:r>
        <w:t xml:space="preserve">here the confident intervals where wide, it was </w:t>
      </w:r>
      <w:r w:rsidR="00E06F93">
        <w:t xml:space="preserve">not possible to confidently predict whether the factor was more likely to influence whether an area is identified as ‘left-behind’. </w:t>
      </w:r>
    </w:p>
    <w:p w14:paraId="7D680F65" w14:textId="77777777" w:rsidR="009E3D36" w:rsidRPr="00B56198" w:rsidRDefault="009E3D36" w:rsidP="00B56198"/>
    <w:p w14:paraId="0C7EC86D" w14:textId="545E8DEB" w:rsidR="00E4602E" w:rsidRPr="00532E83" w:rsidRDefault="00E4602E" w:rsidP="00E4602E">
      <w:pPr>
        <w:pStyle w:val="Heading2"/>
      </w:pPr>
      <w:bookmarkStart w:id="14" w:name="_Toc71790735"/>
      <w:r>
        <w:t xml:space="preserve">Exclude </w:t>
      </w:r>
      <w:r w:rsidR="00954D02">
        <w:t>variables that are not ‘significant’</w:t>
      </w:r>
      <w:bookmarkEnd w:id="14"/>
    </w:p>
    <w:p w14:paraId="0CCA188E" w14:textId="77777777" w:rsidR="00D25FB0" w:rsidRDefault="00D25FB0" w:rsidP="00954D02"/>
    <w:p w14:paraId="0C751909" w14:textId="29220C9A" w:rsidR="00E4602E" w:rsidRDefault="00954D02" w:rsidP="00954D02">
      <w:r>
        <w:t>O</w:t>
      </w:r>
      <w:r w:rsidR="00E4602E">
        <w:t xml:space="preserve">nly those variables which meet a </w:t>
      </w:r>
      <w:proofErr w:type="spellStart"/>
      <w:r w:rsidR="00E4602E">
        <w:t>cutoff</w:t>
      </w:r>
      <w:proofErr w:type="spellEnd"/>
      <w:r w:rsidR="00E4602E">
        <w:t xml:space="preserve"> for significance</w:t>
      </w:r>
      <w:r w:rsidR="00D0157E">
        <w:t xml:space="preserve"> can be included</w:t>
      </w:r>
      <w:r>
        <w:t xml:space="preserve"> as we do not wish to include non-significant factors in our model</w:t>
      </w:r>
      <w:r w:rsidR="00D0157E">
        <w:t xml:space="preserve">. In logistic regression models the </w:t>
      </w:r>
      <w:proofErr w:type="spellStart"/>
      <w:r w:rsidR="00E4602E">
        <w:t>cutoff</w:t>
      </w:r>
      <w:proofErr w:type="spellEnd"/>
      <w:r w:rsidR="00E4602E">
        <w:t xml:space="preserve"> </w:t>
      </w:r>
      <w:r w:rsidR="00D0157E">
        <w:t>can be</w:t>
      </w:r>
      <w:r w:rsidR="00E4602E">
        <w:t xml:space="preserve"> more liberal than the conventional </w:t>
      </w:r>
      <w:proofErr w:type="spellStart"/>
      <w:r w:rsidR="00E4602E">
        <w:t>cutoff</w:t>
      </w:r>
      <w:proofErr w:type="spellEnd"/>
      <w:r w:rsidR="00E4602E">
        <w:t xml:space="preserve"> for significance (</w:t>
      </w:r>
      <w:proofErr w:type="gramStart"/>
      <w:r w:rsidR="00E4602E">
        <w:t>e.g.</w:t>
      </w:r>
      <w:proofErr w:type="gramEnd"/>
      <w:r w:rsidR="00E4602E">
        <w:t> </w:t>
      </w:r>
      <w:r w:rsidR="00E4602E">
        <w:rPr>
          <w:rStyle w:val="Emphasis"/>
          <w:color w:val="000000"/>
        </w:rPr>
        <w:t>P</w:t>
      </w:r>
      <w:r w:rsidR="00E4602E">
        <w:t> &lt; 0.10, instead of the usual </w:t>
      </w:r>
      <w:r w:rsidR="00E4602E">
        <w:rPr>
          <w:rStyle w:val="Emphasis"/>
          <w:color w:val="000000"/>
        </w:rPr>
        <w:t>P</w:t>
      </w:r>
      <w:r w:rsidR="00E4602E">
        <w:t xml:space="preserve"> &lt; 0.05) since its purpose is to identify potential predictor variables rather than to test a hypothesis. </w:t>
      </w:r>
      <w:r w:rsidR="00D25FB0">
        <w:t>On the second iteration of the model we excluded those indicators with a P value of &gt; 0.10.</w:t>
      </w:r>
    </w:p>
    <w:p w14:paraId="6FF45BDD" w14:textId="53AE2AB6" w:rsidR="00E4602E" w:rsidRDefault="00E4602E" w:rsidP="009604A7"/>
    <w:p w14:paraId="2F5E35DE" w14:textId="77777777" w:rsidR="00AC056F" w:rsidRPr="00532E83" w:rsidRDefault="00AC056F" w:rsidP="00AC056F">
      <w:pPr>
        <w:pStyle w:val="Heading2"/>
      </w:pPr>
      <w:bookmarkStart w:id="15" w:name="_Toc295371891"/>
      <w:bookmarkStart w:id="16" w:name="_Toc71790736"/>
      <w:r w:rsidRPr="00532E83">
        <w:t xml:space="preserve">Short-list of indicators used in the </w:t>
      </w:r>
      <w:bookmarkEnd w:id="15"/>
      <w:r>
        <w:t>model</w:t>
      </w:r>
      <w:bookmarkEnd w:id="16"/>
    </w:p>
    <w:p w14:paraId="4C4543EA" w14:textId="719C8819" w:rsidR="00AC056F" w:rsidRPr="00532E83" w:rsidRDefault="00D25FB0" w:rsidP="00AC056F">
      <w:pPr>
        <w:rPr>
          <w:rFonts w:cstheme="minorHAnsi"/>
          <w:szCs w:val="20"/>
        </w:rPr>
      </w:pPr>
      <w:r>
        <w:rPr>
          <w:rFonts w:cstheme="minorHAnsi"/>
          <w:szCs w:val="20"/>
        </w:rPr>
        <w:t>Having removed non-</w:t>
      </w:r>
      <w:r w:rsidR="005952C3">
        <w:rPr>
          <w:rFonts w:cstheme="minorHAnsi"/>
          <w:szCs w:val="20"/>
        </w:rPr>
        <w:t>significant</w:t>
      </w:r>
      <w:r>
        <w:rPr>
          <w:rFonts w:cstheme="minorHAnsi"/>
          <w:szCs w:val="20"/>
        </w:rPr>
        <w:t xml:space="preserve"> factors from the model we were left with </w:t>
      </w:r>
      <w:r w:rsidR="003D3762">
        <w:rPr>
          <w:rFonts w:cstheme="minorHAnsi"/>
          <w:szCs w:val="20"/>
        </w:rPr>
        <w:t xml:space="preserve">27 </w:t>
      </w:r>
      <w:r>
        <w:rPr>
          <w:rFonts w:cstheme="minorHAnsi"/>
          <w:szCs w:val="20"/>
        </w:rPr>
        <w:t>predictor variables to enter into the final</w:t>
      </w:r>
      <w:r w:rsidR="00AC056F" w:rsidRPr="00532E83">
        <w:rPr>
          <w:rFonts w:cstheme="minorHAnsi"/>
          <w:szCs w:val="20"/>
        </w:rPr>
        <w:t xml:space="preserve"> </w:t>
      </w:r>
      <w:r w:rsidR="00AC056F">
        <w:rPr>
          <w:rFonts w:cstheme="minorHAnsi"/>
          <w:szCs w:val="20"/>
        </w:rPr>
        <w:t>logistic regression model</w:t>
      </w:r>
      <w:r w:rsidR="00AC056F" w:rsidRPr="00532E83">
        <w:rPr>
          <w:rFonts w:cstheme="minorHAnsi"/>
          <w:szCs w:val="20"/>
        </w:rPr>
        <w:t>:</w:t>
      </w:r>
    </w:p>
    <w:p w14:paraId="5BA95943" w14:textId="28015F60" w:rsidR="00AC056F" w:rsidRDefault="00AC056F" w:rsidP="009604A7"/>
    <w:p w14:paraId="18C04830" w14:textId="77777777" w:rsidR="003D3762" w:rsidRDefault="003D3762" w:rsidP="003D3762">
      <w:pPr>
        <w:pStyle w:val="ListParagraph"/>
        <w:numPr>
          <w:ilvl w:val="0"/>
          <w:numId w:val="30"/>
        </w:numPr>
      </w:pPr>
      <w:r>
        <w:t>All householders (aged 16+) have English as a main language</w:t>
      </w:r>
    </w:p>
    <w:p w14:paraId="239E227F" w14:textId="77777777" w:rsidR="003D3762" w:rsidRDefault="003D3762" w:rsidP="003D3762">
      <w:pPr>
        <w:pStyle w:val="ListParagraph"/>
        <w:numPr>
          <w:ilvl w:val="0"/>
          <w:numId w:val="30"/>
        </w:numPr>
      </w:pPr>
      <w:r>
        <w:t>Anti-social behaviour</w:t>
      </w:r>
    </w:p>
    <w:p w14:paraId="049E1970" w14:textId="77777777" w:rsidR="003D3762" w:rsidRDefault="003D3762" w:rsidP="003D3762">
      <w:pPr>
        <w:pStyle w:val="ListParagraph"/>
        <w:numPr>
          <w:ilvl w:val="0"/>
          <w:numId w:val="30"/>
        </w:numPr>
      </w:pPr>
      <w:r>
        <w:t>Average house price for terraced houses</w:t>
      </w:r>
    </w:p>
    <w:p w14:paraId="4042931D" w14:textId="77777777" w:rsidR="003D3762" w:rsidRDefault="003D3762" w:rsidP="003D3762">
      <w:pPr>
        <w:pStyle w:val="ListParagraph"/>
        <w:numPr>
          <w:ilvl w:val="0"/>
          <w:numId w:val="30"/>
        </w:numPr>
      </w:pPr>
      <w:r>
        <w:t>Change in unemployment claimant rate 2005 to 2019</w:t>
      </w:r>
    </w:p>
    <w:p w14:paraId="55128691" w14:textId="77777777" w:rsidR="003D3762" w:rsidRDefault="003D3762" w:rsidP="003D3762">
      <w:pPr>
        <w:pStyle w:val="ListParagraph"/>
        <w:numPr>
          <w:ilvl w:val="0"/>
          <w:numId w:val="30"/>
        </w:numPr>
      </w:pPr>
      <w:r>
        <w:t>Criminal damage</w:t>
      </w:r>
    </w:p>
    <w:p w14:paraId="42C14A02" w14:textId="77777777" w:rsidR="003D3762" w:rsidRDefault="003D3762" w:rsidP="003D3762">
      <w:pPr>
        <w:pStyle w:val="ListParagraph"/>
        <w:numPr>
          <w:ilvl w:val="0"/>
          <w:numId w:val="30"/>
        </w:numPr>
      </w:pPr>
      <w:r>
        <w:t>Current average energy efficiency of domestic buildings</w:t>
      </w:r>
    </w:p>
    <w:p w14:paraId="0C4106B2" w14:textId="77777777" w:rsidR="003D3762" w:rsidRDefault="003D3762" w:rsidP="003D3762">
      <w:pPr>
        <w:pStyle w:val="ListParagraph"/>
        <w:numPr>
          <w:ilvl w:val="0"/>
          <w:numId w:val="30"/>
        </w:numPr>
      </w:pPr>
      <w:r>
        <w:t>Dwelling stock built 1945-2000</w:t>
      </w:r>
    </w:p>
    <w:p w14:paraId="35AA9795" w14:textId="77777777" w:rsidR="003D3762" w:rsidRDefault="003D3762" w:rsidP="003D3762">
      <w:pPr>
        <w:pStyle w:val="ListParagraph"/>
        <w:numPr>
          <w:ilvl w:val="0"/>
          <w:numId w:val="30"/>
        </w:numPr>
      </w:pPr>
      <w:r>
        <w:t>Dwelling stock built after 2000</w:t>
      </w:r>
    </w:p>
    <w:p w14:paraId="6C85FC74" w14:textId="77777777" w:rsidR="003D3762" w:rsidRDefault="003D3762" w:rsidP="003D3762">
      <w:pPr>
        <w:pStyle w:val="ListParagraph"/>
        <w:numPr>
          <w:ilvl w:val="0"/>
          <w:numId w:val="30"/>
        </w:numPr>
      </w:pPr>
      <w:r>
        <w:t>Economically inactive: Looking after home or family</w:t>
      </w:r>
    </w:p>
    <w:p w14:paraId="6B32D95C" w14:textId="77777777" w:rsidR="003D3762" w:rsidRDefault="003D3762" w:rsidP="003D3762">
      <w:pPr>
        <w:pStyle w:val="ListParagraph"/>
        <w:numPr>
          <w:ilvl w:val="0"/>
          <w:numId w:val="30"/>
        </w:numPr>
      </w:pPr>
      <w:r>
        <w:t>Employment area ratio: workplace population / resident population</w:t>
      </w:r>
    </w:p>
    <w:p w14:paraId="18C99BEE" w14:textId="77777777" w:rsidR="003D3762" w:rsidRDefault="003D3762" w:rsidP="003D3762">
      <w:pPr>
        <w:pStyle w:val="ListParagraph"/>
        <w:numPr>
          <w:ilvl w:val="0"/>
          <w:numId w:val="30"/>
        </w:numPr>
      </w:pPr>
      <w:r>
        <w:t>Highest level of qualification: Level 4/5 (degree or higher) qualifications</w:t>
      </w:r>
    </w:p>
    <w:p w14:paraId="096FB688" w14:textId="77777777" w:rsidR="003D3762" w:rsidRDefault="003D3762" w:rsidP="003D3762">
      <w:pPr>
        <w:pStyle w:val="ListParagraph"/>
        <w:numPr>
          <w:ilvl w:val="0"/>
          <w:numId w:val="30"/>
        </w:numPr>
      </w:pPr>
      <w:r>
        <w:t>Industry: Accommodation and food service activities</w:t>
      </w:r>
    </w:p>
    <w:p w14:paraId="0B757752" w14:textId="77777777" w:rsidR="003D3762" w:rsidRDefault="003D3762" w:rsidP="003D3762">
      <w:pPr>
        <w:pStyle w:val="ListParagraph"/>
        <w:numPr>
          <w:ilvl w:val="0"/>
          <w:numId w:val="30"/>
        </w:numPr>
      </w:pPr>
      <w:r>
        <w:t>Industry: Public administration and defence; compulsory social security</w:t>
      </w:r>
    </w:p>
    <w:p w14:paraId="346F363E" w14:textId="77777777" w:rsidR="003D3762" w:rsidRDefault="003D3762" w:rsidP="003D3762">
      <w:pPr>
        <w:pStyle w:val="ListParagraph"/>
        <w:numPr>
          <w:ilvl w:val="0"/>
          <w:numId w:val="30"/>
        </w:numPr>
      </w:pPr>
      <w:r>
        <w:t>Industry: Wholesale and retail trade; repair of motor vehicles and motor cycles</w:t>
      </w:r>
    </w:p>
    <w:p w14:paraId="2980BDDE" w14:textId="77777777" w:rsidR="003D3762" w:rsidRDefault="003D3762" w:rsidP="003D3762">
      <w:pPr>
        <w:pStyle w:val="ListParagraph"/>
        <w:numPr>
          <w:ilvl w:val="0"/>
          <w:numId w:val="30"/>
        </w:numPr>
      </w:pPr>
      <w:r>
        <w:t>Mortgage debt per household</w:t>
      </w:r>
    </w:p>
    <w:p w14:paraId="4B00C337" w14:textId="77777777" w:rsidR="003D3762" w:rsidRDefault="003D3762" w:rsidP="003D3762">
      <w:pPr>
        <w:pStyle w:val="ListParagraph"/>
        <w:numPr>
          <w:ilvl w:val="0"/>
          <w:numId w:val="30"/>
        </w:numPr>
      </w:pPr>
      <w:r>
        <w:t>No people in household have English as a main language</w:t>
      </w:r>
    </w:p>
    <w:p w14:paraId="774DFF73" w14:textId="77777777" w:rsidR="003D3762" w:rsidRDefault="003D3762" w:rsidP="003D3762">
      <w:pPr>
        <w:pStyle w:val="ListParagraph"/>
        <w:numPr>
          <w:ilvl w:val="0"/>
          <w:numId w:val="30"/>
        </w:numPr>
      </w:pPr>
      <w:r>
        <w:t>Older person unemployment (50+ receiving JSA or Universal Credit)</w:t>
      </w:r>
    </w:p>
    <w:p w14:paraId="064DE341" w14:textId="77777777" w:rsidR="003D3762" w:rsidRDefault="003D3762" w:rsidP="003D3762">
      <w:pPr>
        <w:pStyle w:val="ListParagraph"/>
        <w:numPr>
          <w:ilvl w:val="0"/>
          <w:numId w:val="30"/>
        </w:numPr>
      </w:pPr>
      <w:r>
        <w:lastRenderedPageBreak/>
        <w:t>Part-time employees</w:t>
      </w:r>
    </w:p>
    <w:p w14:paraId="7513ED7B" w14:textId="77777777" w:rsidR="003D3762" w:rsidRDefault="003D3762" w:rsidP="003D3762">
      <w:pPr>
        <w:pStyle w:val="ListParagraph"/>
        <w:numPr>
          <w:ilvl w:val="0"/>
          <w:numId w:val="30"/>
        </w:numPr>
      </w:pPr>
      <w:r>
        <w:t>People travelling more than 10km to work</w:t>
      </w:r>
    </w:p>
    <w:p w14:paraId="188A82B8" w14:textId="77777777" w:rsidR="003D3762" w:rsidRDefault="003D3762" w:rsidP="003D3762">
      <w:pPr>
        <w:pStyle w:val="ListParagraph"/>
        <w:numPr>
          <w:ilvl w:val="0"/>
          <w:numId w:val="30"/>
        </w:numPr>
      </w:pPr>
      <w:r>
        <w:t>People with a limiting long-term illness aged 0-15</w:t>
      </w:r>
    </w:p>
    <w:p w14:paraId="79540A63" w14:textId="77777777" w:rsidR="003D3762" w:rsidRDefault="003D3762" w:rsidP="003D3762">
      <w:pPr>
        <w:pStyle w:val="ListParagraph"/>
        <w:numPr>
          <w:ilvl w:val="0"/>
          <w:numId w:val="30"/>
        </w:numPr>
      </w:pPr>
      <w:r>
        <w:t>Percentage of children in poverty (after housing costs)</w:t>
      </w:r>
    </w:p>
    <w:p w14:paraId="281F70D3" w14:textId="77777777" w:rsidR="003D3762" w:rsidRDefault="003D3762" w:rsidP="003D3762">
      <w:pPr>
        <w:pStyle w:val="ListParagraph"/>
        <w:numPr>
          <w:ilvl w:val="0"/>
          <w:numId w:val="30"/>
        </w:numPr>
      </w:pPr>
      <w:r>
        <w:t>Population density (persons per hectare)</w:t>
      </w:r>
    </w:p>
    <w:p w14:paraId="5A64FC38" w14:textId="44C65510" w:rsidR="003D3762" w:rsidRDefault="003D3762" w:rsidP="003D3762">
      <w:pPr>
        <w:pStyle w:val="ListParagraph"/>
        <w:numPr>
          <w:ilvl w:val="0"/>
          <w:numId w:val="30"/>
        </w:numPr>
      </w:pPr>
      <w:r>
        <w:t>Postcodes that are off the gas grid network</w:t>
      </w:r>
    </w:p>
    <w:p w14:paraId="6F2CE275" w14:textId="77777777" w:rsidR="003D3762" w:rsidRDefault="003D3762" w:rsidP="003D3762">
      <w:pPr>
        <w:pStyle w:val="ListParagraph"/>
        <w:numPr>
          <w:ilvl w:val="0"/>
          <w:numId w:val="30"/>
        </w:numPr>
      </w:pPr>
      <w:r>
        <w:t>Pupils achieving 5 or more Key Stage 4 (GCSE) passes at A*-C, including English and Maths</w:t>
      </w:r>
    </w:p>
    <w:p w14:paraId="27F894D9" w14:textId="77777777" w:rsidR="003D3762" w:rsidRDefault="003D3762" w:rsidP="003D3762">
      <w:pPr>
        <w:pStyle w:val="ListParagraph"/>
        <w:numPr>
          <w:ilvl w:val="0"/>
          <w:numId w:val="30"/>
        </w:numPr>
      </w:pPr>
      <w:r>
        <w:t>Social rented housing</w:t>
      </w:r>
    </w:p>
    <w:p w14:paraId="06730381" w14:textId="77777777" w:rsidR="003D3762" w:rsidRDefault="003D3762" w:rsidP="003D3762">
      <w:pPr>
        <w:pStyle w:val="ListParagraph"/>
        <w:numPr>
          <w:ilvl w:val="0"/>
          <w:numId w:val="30"/>
        </w:numPr>
      </w:pPr>
      <w:r>
        <w:t>VAT based local units employing 0 to 4 people</w:t>
      </w:r>
    </w:p>
    <w:p w14:paraId="42075BEC" w14:textId="36F0301C" w:rsidR="00AC056F" w:rsidRDefault="003D3762" w:rsidP="003D3762">
      <w:pPr>
        <w:pStyle w:val="ListParagraph"/>
        <w:numPr>
          <w:ilvl w:val="0"/>
          <w:numId w:val="30"/>
        </w:numPr>
      </w:pPr>
      <w:r>
        <w:t>Working age Benefit claimants (aged 16-24)</w:t>
      </w:r>
    </w:p>
    <w:p w14:paraId="37726DA0" w14:textId="1CC276E3" w:rsidR="00AB1DDF" w:rsidRDefault="00AB1DDF" w:rsidP="00AB1DDF"/>
    <w:p w14:paraId="6B57956A" w14:textId="10A59C44" w:rsidR="00AB1DDF" w:rsidRDefault="00AB1DDF" w:rsidP="00AB1DDF">
      <w:pPr>
        <w:pStyle w:val="Heading2"/>
      </w:pPr>
      <w:bookmarkStart w:id="17" w:name="_Toc71790737"/>
      <w:r>
        <w:t>The final syntax</w:t>
      </w:r>
      <w:bookmarkEnd w:id="17"/>
    </w:p>
    <w:p w14:paraId="3C6890B4" w14:textId="1284257B" w:rsidR="00AB1DDF" w:rsidRDefault="00AB1DDF" w:rsidP="00AB1DDF"/>
    <w:p w14:paraId="7C4C4CEA" w14:textId="6238E10F" w:rsidR="00AB1DDF" w:rsidRDefault="00AB1DDF">
      <w:pPr>
        <w:spacing w:after="160" w:line="259" w:lineRule="auto"/>
      </w:pPr>
      <w:r>
        <w:t xml:space="preserve">The model has been run in the STATA statistical product using the following syntax: </w:t>
      </w:r>
    </w:p>
    <w:tbl>
      <w:tblPr>
        <w:tblStyle w:val="TableGrid"/>
        <w:tblW w:w="0" w:type="auto"/>
        <w:tblLook w:val="04A0" w:firstRow="1" w:lastRow="0" w:firstColumn="1" w:lastColumn="0" w:noHBand="0" w:noVBand="1"/>
      </w:tblPr>
      <w:tblGrid>
        <w:gridCol w:w="9016"/>
      </w:tblGrid>
      <w:tr w:rsidR="005952C3" w14:paraId="34C69BD6" w14:textId="77777777" w:rsidTr="005952C3">
        <w:tc>
          <w:tcPr>
            <w:tcW w:w="9016" w:type="dxa"/>
          </w:tcPr>
          <w:p w14:paraId="5C43EC21" w14:textId="01FAB2C1" w:rsidR="005952C3" w:rsidRPr="005952C3" w:rsidRDefault="005952C3" w:rsidP="005952C3">
            <w:pPr>
              <w:spacing w:after="160" w:line="259" w:lineRule="auto"/>
              <w:rPr>
                <w:rFonts w:asciiTheme="minorHAnsi" w:eastAsia="Arial Unicode MS" w:hAnsiTheme="minorHAnsi" w:cstheme="minorHAnsi"/>
                <w:color w:val="2F5496" w:themeColor="accent1" w:themeShade="BF"/>
                <w:sz w:val="32"/>
                <w:szCs w:val="32"/>
                <w:lang w:val="en-US"/>
              </w:rPr>
            </w:pPr>
            <w:r w:rsidRPr="005952C3">
              <w:rPr>
                <w:rFonts w:asciiTheme="minorHAnsi" w:eastAsia="Arial Unicode MS" w:hAnsiTheme="minorHAnsi" w:cstheme="minorHAnsi"/>
                <w:lang w:val="en-US"/>
              </w:rPr>
              <w:t xml:space="preserve">logit </w:t>
            </w:r>
            <w:r w:rsidRPr="005952C3">
              <w:rPr>
                <w:rFonts w:asciiTheme="minorHAnsi" w:eastAsia="Arial Unicode MS" w:hAnsiTheme="minorHAnsi" w:cstheme="minorHAnsi"/>
                <w:color w:val="FF0000"/>
                <w:lang w:val="en-US"/>
              </w:rPr>
              <w:t xml:space="preserve">left_behind_2020 </w:t>
            </w:r>
            <w:proofErr w:type="spellStart"/>
            <w:r w:rsidRPr="005952C3">
              <w:rPr>
                <w:rFonts w:asciiTheme="minorHAnsi" w:eastAsia="Arial Unicode MS" w:hAnsiTheme="minorHAnsi" w:cstheme="minorHAnsi"/>
                <w:color w:val="1F4E79" w:themeColor="accent5" w:themeShade="80"/>
                <w:lang w:val="en-US"/>
              </w:rPr>
              <w:t>anti_social_behaviour_police_uk</w:t>
            </w:r>
            <w:proofErr w:type="spellEnd"/>
            <w:r w:rsidRPr="005952C3">
              <w:rPr>
                <w:rFonts w:asciiTheme="minorHAnsi" w:eastAsia="Arial Unicode MS" w:hAnsiTheme="minorHAnsi" w:cstheme="minorHAnsi"/>
                <w:color w:val="1F4E79" w:themeColor="accent5" w:themeShade="80"/>
                <w:lang w:val="en-US"/>
              </w:rPr>
              <w:t xml:space="preserve">_ ks601ew0009dr20110101 ks501ew0007dr20110101 vacant_dwellings_excl_sh_hhdr2 ks206ew0002dr20110101 </w:t>
            </w:r>
            <w:proofErr w:type="spellStart"/>
            <w:r w:rsidRPr="005952C3">
              <w:rPr>
                <w:rFonts w:asciiTheme="minorHAnsi" w:eastAsia="Arial Unicode MS" w:hAnsiTheme="minorHAnsi" w:cstheme="minorHAnsi"/>
                <w:color w:val="1F4E79" w:themeColor="accent5" w:themeShade="80"/>
                <w:lang w:val="en-US"/>
              </w:rPr>
              <w:t>criminal_damage_and_arson_police</w:t>
            </w:r>
            <w:proofErr w:type="spellEnd"/>
            <w:r w:rsidRPr="005952C3">
              <w:rPr>
                <w:rFonts w:asciiTheme="minorHAnsi" w:eastAsia="Arial Unicode MS" w:hAnsiTheme="minorHAnsi" w:cstheme="minorHAnsi"/>
                <w:color w:val="1F4E79" w:themeColor="accent5" w:themeShade="80"/>
                <w:lang w:val="en-US"/>
              </w:rPr>
              <w:t xml:space="preserve"> claimant_count_50pldr20210201 lc3205ew_ltti_015dr20110101 off_gas_griddr20130101 ks206ew0005dr20110101 ben_combs_16_24_tot_lidr202008 claimant_count_change20050101 ks605ew0016dr20110101 ks601ew0002dr20110101 ks605ew0010dr20110101 vat_local_0_4_persons_employedd qs702ew_10kdr20110101 ks605ew0007dr20110101 census11_workplace1674dr201101 bp_after2000dr20200101 ks605ew0008dr20110101 mye_census11revision_popest5yr_t epc_crr_ee20090101 bres_employment_pubsectordr201 child_poverty_ahc_static_rate20 gb_mortgage_debtdr20200630 bp_1945_2000dr20200101 landregistry_t_sumpricepaid_12_m pupatt_pupres_ks4_5_a_c_inc_math social_rented_2001dr20110101</w:t>
            </w:r>
            <w:r w:rsidRPr="005952C3">
              <w:rPr>
                <w:rFonts w:asciiTheme="minorHAnsi" w:eastAsia="Arial Unicode MS" w:hAnsiTheme="minorHAnsi" w:cstheme="minorHAnsi"/>
                <w:lang w:val="en-US"/>
              </w:rPr>
              <w:t>, or</w:t>
            </w:r>
          </w:p>
        </w:tc>
      </w:tr>
    </w:tbl>
    <w:p w14:paraId="1E2922A1" w14:textId="77777777" w:rsidR="005952C3" w:rsidRDefault="005952C3">
      <w:pPr>
        <w:spacing w:after="160" w:line="259" w:lineRule="auto"/>
        <w:rPr>
          <w:rFonts w:eastAsiaTheme="majorEastAsia" w:cstheme="majorBidi"/>
          <w:color w:val="2F5496" w:themeColor="accent1" w:themeShade="BF"/>
          <w:sz w:val="32"/>
          <w:szCs w:val="32"/>
          <w:lang w:val="en-US"/>
        </w:rPr>
      </w:pPr>
      <w:r>
        <w:rPr>
          <w:lang w:val="en-US"/>
        </w:rPr>
        <w:br w:type="page"/>
      </w:r>
    </w:p>
    <w:p w14:paraId="3AC862A3" w14:textId="67D62A7E" w:rsidR="00D25FB0" w:rsidRDefault="00D25FB0" w:rsidP="00D25FB0">
      <w:pPr>
        <w:pStyle w:val="Heading1"/>
        <w:rPr>
          <w:lang w:val="en-US"/>
        </w:rPr>
      </w:pPr>
      <w:bookmarkStart w:id="18" w:name="_Toc71790738"/>
      <w:r>
        <w:rPr>
          <w:lang w:val="en-US"/>
        </w:rPr>
        <w:lastRenderedPageBreak/>
        <w:t>Section 2: The results</w:t>
      </w:r>
      <w:bookmarkEnd w:id="18"/>
    </w:p>
    <w:p w14:paraId="36CF9C61" w14:textId="77777777" w:rsidR="00D25FB0" w:rsidRDefault="00D25FB0" w:rsidP="00D25FB0">
      <w:pPr>
        <w:rPr>
          <w:lang w:val="en-US"/>
        </w:rPr>
      </w:pPr>
    </w:p>
    <w:p w14:paraId="3E684AE1" w14:textId="4E3818B8" w:rsidR="00E25EB0" w:rsidRDefault="00E25EB0" w:rsidP="00E25EB0">
      <w:pPr>
        <w:rPr>
          <w:lang w:val="en-US"/>
        </w:rPr>
      </w:pPr>
      <w:r>
        <w:rPr>
          <w:lang w:val="en-US"/>
        </w:rPr>
        <w:t>The table below shows the Odds Ratios derived from this logistic regression model</w:t>
      </w:r>
      <w:r>
        <w:rPr>
          <w:rStyle w:val="FootnoteReference"/>
          <w:lang w:val="en-US"/>
        </w:rPr>
        <w:footnoteReference w:id="6"/>
      </w:r>
      <w:r>
        <w:rPr>
          <w:lang w:val="en-US"/>
        </w:rPr>
        <w:t xml:space="preserve"> , in order of Odds Ratio size. The Odds Ratios relate to the relative likelihood of </w:t>
      </w:r>
      <w:r w:rsidR="005952C3">
        <w:rPr>
          <w:lang w:val="en-US"/>
        </w:rPr>
        <w:t xml:space="preserve">areas </w:t>
      </w:r>
      <w:r>
        <w:rPr>
          <w:lang w:val="en-US"/>
        </w:rPr>
        <w:t>having the specified outcome (in this case, whether or not the area is ‘left-behind’), with the regression model testing which indicators are significant.</w:t>
      </w:r>
    </w:p>
    <w:p w14:paraId="1E3679F2" w14:textId="77777777" w:rsidR="00E25EB0" w:rsidRDefault="00E25EB0" w:rsidP="00E25EB0">
      <w:pPr>
        <w:rPr>
          <w:lang w:val="en-US"/>
        </w:rPr>
      </w:pPr>
    </w:p>
    <w:tbl>
      <w:tblPr>
        <w:tblStyle w:val="LightList-Accent11"/>
        <w:tblW w:w="5000" w:type="pct"/>
        <w:tblInd w:w="0" w:type="dxa"/>
        <w:tblLayout w:type="fixed"/>
        <w:tblLook w:val="04A0" w:firstRow="1" w:lastRow="0" w:firstColumn="1" w:lastColumn="0" w:noHBand="0" w:noVBand="1"/>
      </w:tblPr>
      <w:tblGrid>
        <w:gridCol w:w="4529"/>
        <w:gridCol w:w="708"/>
        <w:gridCol w:w="850"/>
        <w:gridCol w:w="708"/>
        <w:gridCol w:w="675"/>
        <w:gridCol w:w="693"/>
        <w:gridCol w:w="843"/>
      </w:tblGrid>
      <w:tr w:rsidR="004D353A" w:rsidRPr="004D353A" w14:paraId="268E94CA" w14:textId="77777777" w:rsidTr="004D3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8" w:space="0" w:color="4F81BD"/>
              <w:bottom w:val="single" w:sz="4" w:space="0" w:color="auto"/>
              <w:right w:val="nil"/>
            </w:tcBorders>
            <w:noWrap/>
            <w:hideMark/>
          </w:tcPr>
          <w:p w14:paraId="420D7513" w14:textId="7CAC4809" w:rsidR="00E25EB0" w:rsidRPr="004D353A" w:rsidRDefault="00112873" w:rsidP="00C90ED1">
            <w:pPr>
              <w:rPr>
                <w:b w:val="0"/>
                <w:bCs w:val="0"/>
                <w:sz w:val="18"/>
                <w:szCs w:val="18"/>
              </w:rPr>
            </w:pPr>
            <w:r w:rsidRPr="004D353A">
              <w:rPr>
                <w:b w:val="0"/>
                <w:bCs w:val="0"/>
                <w:sz w:val="18"/>
                <w:szCs w:val="18"/>
              </w:rPr>
              <w:t>Left-behind areas</w:t>
            </w:r>
          </w:p>
        </w:tc>
        <w:tc>
          <w:tcPr>
            <w:tcW w:w="393" w:type="pct"/>
            <w:tcBorders>
              <w:top w:val="single" w:sz="8" w:space="0" w:color="4F81BD"/>
              <w:left w:val="nil"/>
              <w:bottom w:val="single" w:sz="4" w:space="0" w:color="auto"/>
              <w:right w:val="nil"/>
            </w:tcBorders>
            <w:noWrap/>
            <w:hideMark/>
          </w:tcPr>
          <w:p w14:paraId="195143DB" w14:textId="77777777" w:rsidR="00E25EB0" w:rsidRPr="004D353A" w:rsidRDefault="00E25EB0" w:rsidP="00C90ED1">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D353A">
              <w:rPr>
                <w:b w:val="0"/>
                <w:bCs w:val="0"/>
                <w:sz w:val="18"/>
                <w:szCs w:val="18"/>
              </w:rPr>
              <w:t>Odds Ratio</w:t>
            </w:r>
          </w:p>
        </w:tc>
        <w:tc>
          <w:tcPr>
            <w:tcW w:w="472" w:type="pct"/>
            <w:tcBorders>
              <w:top w:val="single" w:sz="8" w:space="0" w:color="4F81BD"/>
              <w:left w:val="nil"/>
              <w:bottom w:val="single" w:sz="4" w:space="0" w:color="auto"/>
              <w:right w:val="nil"/>
            </w:tcBorders>
            <w:noWrap/>
            <w:hideMark/>
          </w:tcPr>
          <w:p w14:paraId="5DA4D5E4" w14:textId="77777777" w:rsidR="00E25EB0" w:rsidRPr="004D353A" w:rsidRDefault="00E25EB0" w:rsidP="00C90ED1">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D353A">
              <w:rPr>
                <w:b w:val="0"/>
                <w:bCs w:val="0"/>
                <w:sz w:val="18"/>
                <w:szCs w:val="18"/>
              </w:rPr>
              <w:t>Standard Error.</w:t>
            </w:r>
          </w:p>
        </w:tc>
        <w:tc>
          <w:tcPr>
            <w:tcW w:w="393" w:type="pct"/>
            <w:tcBorders>
              <w:top w:val="single" w:sz="8" w:space="0" w:color="4F81BD"/>
              <w:left w:val="nil"/>
              <w:bottom w:val="single" w:sz="4" w:space="0" w:color="auto"/>
              <w:right w:val="nil"/>
            </w:tcBorders>
            <w:noWrap/>
            <w:hideMark/>
          </w:tcPr>
          <w:p w14:paraId="17AE618D" w14:textId="77777777" w:rsidR="00E25EB0" w:rsidRPr="004D353A" w:rsidRDefault="00E25EB0" w:rsidP="00C90ED1">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D353A">
              <w:rPr>
                <w:b w:val="0"/>
                <w:bCs w:val="0"/>
                <w:sz w:val="18"/>
                <w:szCs w:val="18"/>
              </w:rPr>
              <w:t>z</w:t>
            </w:r>
          </w:p>
        </w:tc>
        <w:tc>
          <w:tcPr>
            <w:tcW w:w="375" w:type="pct"/>
            <w:tcBorders>
              <w:top w:val="single" w:sz="8" w:space="0" w:color="4F81BD"/>
              <w:left w:val="nil"/>
              <w:bottom w:val="single" w:sz="4" w:space="0" w:color="auto"/>
              <w:right w:val="nil"/>
            </w:tcBorders>
            <w:noWrap/>
            <w:hideMark/>
          </w:tcPr>
          <w:p w14:paraId="17E109E9" w14:textId="77777777" w:rsidR="00E25EB0" w:rsidRPr="004D353A" w:rsidRDefault="00E25EB0" w:rsidP="00C90ED1">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D353A">
              <w:rPr>
                <w:b w:val="0"/>
                <w:bCs w:val="0"/>
                <w:sz w:val="18"/>
                <w:szCs w:val="18"/>
              </w:rPr>
              <w:t>P&gt;|z|</w:t>
            </w:r>
          </w:p>
        </w:tc>
        <w:tc>
          <w:tcPr>
            <w:tcW w:w="853" w:type="pct"/>
            <w:gridSpan w:val="2"/>
            <w:tcBorders>
              <w:top w:val="single" w:sz="8" w:space="0" w:color="4F81BD"/>
              <w:left w:val="nil"/>
              <w:bottom w:val="single" w:sz="4" w:space="0" w:color="auto"/>
            </w:tcBorders>
            <w:noWrap/>
            <w:hideMark/>
          </w:tcPr>
          <w:p w14:paraId="2F45DF27" w14:textId="77777777" w:rsidR="00E25EB0" w:rsidRPr="004D353A" w:rsidRDefault="00E25EB0" w:rsidP="00C90ED1">
            <w:pPr>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D353A">
              <w:rPr>
                <w:b w:val="0"/>
                <w:bCs w:val="0"/>
                <w:sz w:val="18"/>
                <w:szCs w:val="18"/>
              </w:rPr>
              <w:t>95% Confidence Interval</w:t>
            </w:r>
          </w:p>
        </w:tc>
      </w:tr>
      <w:tr w:rsidR="003D3762" w:rsidRPr="004D353A" w14:paraId="562C4D9D" w14:textId="77777777" w:rsidTr="003D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46EED702" w14:textId="6EC2A7D4" w:rsidR="003D3762" w:rsidRPr="003D3762" w:rsidRDefault="003D3762" w:rsidP="003D3762">
            <w:pPr>
              <w:rPr>
                <w:b w:val="0"/>
                <w:bCs w:val="0"/>
                <w:sz w:val="18"/>
                <w:szCs w:val="18"/>
              </w:rPr>
            </w:pPr>
            <w:r w:rsidRPr="003D3762">
              <w:rPr>
                <w:b w:val="0"/>
                <w:bCs w:val="0"/>
                <w:color w:val="000000"/>
                <w:sz w:val="18"/>
                <w:szCs w:val="18"/>
              </w:rPr>
              <w:t>Older person unemployment (50+ receiving JSA or Universal Credit)</w:t>
            </w:r>
          </w:p>
        </w:tc>
        <w:tc>
          <w:tcPr>
            <w:tcW w:w="393" w:type="pct"/>
            <w:tcBorders>
              <w:top w:val="single" w:sz="4" w:space="0" w:color="auto"/>
              <w:left w:val="single" w:sz="4" w:space="0" w:color="auto"/>
              <w:bottom w:val="single" w:sz="4" w:space="0" w:color="auto"/>
              <w:right w:val="single" w:sz="4" w:space="0" w:color="auto"/>
            </w:tcBorders>
            <w:noWrap/>
            <w:vAlign w:val="bottom"/>
          </w:tcPr>
          <w:p w14:paraId="53BB4875" w14:textId="3CAD60D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1.963</w:t>
            </w:r>
          </w:p>
        </w:tc>
        <w:tc>
          <w:tcPr>
            <w:tcW w:w="472" w:type="pct"/>
            <w:tcBorders>
              <w:top w:val="single" w:sz="4" w:space="0" w:color="auto"/>
              <w:left w:val="single" w:sz="4" w:space="0" w:color="auto"/>
              <w:bottom w:val="single" w:sz="4" w:space="0" w:color="auto"/>
              <w:right w:val="single" w:sz="4" w:space="0" w:color="auto"/>
            </w:tcBorders>
            <w:noWrap/>
            <w:vAlign w:val="bottom"/>
          </w:tcPr>
          <w:p w14:paraId="52D79D73" w14:textId="6269A0A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0.219</w:t>
            </w:r>
          </w:p>
        </w:tc>
        <w:tc>
          <w:tcPr>
            <w:tcW w:w="393" w:type="pct"/>
            <w:tcBorders>
              <w:top w:val="single" w:sz="4" w:space="0" w:color="auto"/>
              <w:left w:val="single" w:sz="4" w:space="0" w:color="auto"/>
              <w:bottom w:val="single" w:sz="4" w:space="0" w:color="auto"/>
              <w:right w:val="single" w:sz="4" w:space="0" w:color="auto"/>
            </w:tcBorders>
            <w:noWrap/>
            <w:vAlign w:val="bottom"/>
          </w:tcPr>
          <w:p w14:paraId="34C022AA" w14:textId="0945F500"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6.04</w:t>
            </w:r>
          </w:p>
        </w:tc>
        <w:tc>
          <w:tcPr>
            <w:tcW w:w="375" w:type="pct"/>
            <w:tcBorders>
              <w:top w:val="single" w:sz="4" w:space="0" w:color="auto"/>
              <w:left w:val="single" w:sz="4" w:space="0" w:color="auto"/>
              <w:bottom w:val="single" w:sz="4" w:space="0" w:color="auto"/>
              <w:right w:val="single" w:sz="4" w:space="0" w:color="auto"/>
            </w:tcBorders>
            <w:noWrap/>
            <w:vAlign w:val="bottom"/>
          </w:tcPr>
          <w:p w14:paraId="49FE9E16" w14:textId="5BD4C6E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48039306" w14:textId="0CDF9E2E"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1.577</w:t>
            </w:r>
          </w:p>
        </w:tc>
        <w:tc>
          <w:tcPr>
            <w:tcW w:w="468" w:type="pct"/>
            <w:tcBorders>
              <w:top w:val="single" w:sz="4" w:space="0" w:color="auto"/>
              <w:left w:val="single" w:sz="4" w:space="0" w:color="auto"/>
              <w:bottom w:val="single" w:sz="4" w:space="0" w:color="auto"/>
              <w:right w:val="single" w:sz="4" w:space="0" w:color="auto"/>
            </w:tcBorders>
            <w:noWrap/>
            <w:vAlign w:val="bottom"/>
          </w:tcPr>
          <w:p w14:paraId="4C2C2FA3" w14:textId="79C413C3"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2.443</w:t>
            </w:r>
          </w:p>
        </w:tc>
      </w:tr>
      <w:tr w:rsidR="003D3762" w:rsidRPr="004D353A" w14:paraId="08F277B3" w14:textId="77777777" w:rsidTr="003D3762">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7CAA7239" w14:textId="723723DC" w:rsidR="003D3762" w:rsidRPr="003D3762" w:rsidRDefault="003D3762" w:rsidP="003D3762">
            <w:pPr>
              <w:rPr>
                <w:b w:val="0"/>
                <w:bCs w:val="0"/>
                <w:sz w:val="18"/>
                <w:szCs w:val="18"/>
              </w:rPr>
            </w:pPr>
            <w:r w:rsidRPr="003D3762">
              <w:rPr>
                <w:b w:val="0"/>
                <w:bCs w:val="0"/>
                <w:color w:val="000000"/>
                <w:sz w:val="18"/>
                <w:szCs w:val="18"/>
              </w:rPr>
              <w:t>People with a limiting long-term illness aged 0-15</w:t>
            </w:r>
          </w:p>
        </w:tc>
        <w:tc>
          <w:tcPr>
            <w:tcW w:w="393" w:type="pct"/>
            <w:tcBorders>
              <w:top w:val="single" w:sz="4" w:space="0" w:color="auto"/>
              <w:left w:val="single" w:sz="4" w:space="0" w:color="auto"/>
              <w:bottom w:val="single" w:sz="4" w:space="0" w:color="auto"/>
              <w:right w:val="single" w:sz="4" w:space="0" w:color="auto"/>
            </w:tcBorders>
            <w:noWrap/>
            <w:vAlign w:val="bottom"/>
          </w:tcPr>
          <w:p w14:paraId="31ECEE04" w14:textId="4867B139"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1.609</w:t>
            </w:r>
          </w:p>
        </w:tc>
        <w:tc>
          <w:tcPr>
            <w:tcW w:w="472" w:type="pct"/>
            <w:tcBorders>
              <w:top w:val="single" w:sz="4" w:space="0" w:color="auto"/>
              <w:left w:val="single" w:sz="4" w:space="0" w:color="auto"/>
              <w:bottom w:val="single" w:sz="4" w:space="0" w:color="auto"/>
              <w:right w:val="single" w:sz="4" w:space="0" w:color="auto"/>
            </w:tcBorders>
            <w:noWrap/>
            <w:vAlign w:val="bottom"/>
          </w:tcPr>
          <w:p w14:paraId="6973EC49" w14:textId="4D06ACC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0.194</w:t>
            </w:r>
          </w:p>
        </w:tc>
        <w:tc>
          <w:tcPr>
            <w:tcW w:w="393" w:type="pct"/>
            <w:tcBorders>
              <w:top w:val="single" w:sz="4" w:space="0" w:color="auto"/>
              <w:left w:val="single" w:sz="4" w:space="0" w:color="auto"/>
              <w:bottom w:val="single" w:sz="4" w:space="0" w:color="auto"/>
              <w:right w:val="single" w:sz="4" w:space="0" w:color="auto"/>
            </w:tcBorders>
            <w:noWrap/>
            <w:vAlign w:val="bottom"/>
          </w:tcPr>
          <w:p w14:paraId="1F3CAEBF" w14:textId="141E21D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3.94</w:t>
            </w:r>
          </w:p>
        </w:tc>
        <w:tc>
          <w:tcPr>
            <w:tcW w:w="375" w:type="pct"/>
            <w:tcBorders>
              <w:top w:val="single" w:sz="4" w:space="0" w:color="auto"/>
              <w:left w:val="single" w:sz="4" w:space="0" w:color="auto"/>
              <w:bottom w:val="single" w:sz="4" w:space="0" w:color="auto"/>
              <w:right w:val="single" w:sz="4" w:space="0" w:color="auto"/>
            </w:tcBorders>
            <w:noWrap/>
            <w:vAlign w:val="bottom"/>
          </w:tcPr>
          <w:p w14:paraId="7608A362" w14:textId="6303D6CB"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4470EA2D" w14:textId="2554065C"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1.270</w:t>
            </w:r>
          </w:p>
        </w:tc>
        <w:tc>
          <w:tcPr>
            <w:tcW w:w="468" w:type="pct"/>
            <w:tcBorders>
              <w:top w:val="single" w:sz="4" w:space="0" w:color="auto"/>
              <w:left w:val="single" w:sz="4" w:space="0" w:color="auto"/>
              <w:bottom w:val="single" w:sz="4" w:space="0" w:color="auto"/>
              <w:right w:val="single" w:sz="4" w:space="0" w:color="auto"/>
            </w:tcBorders>
            <w:noWrap/>
            <w:vAlign w:val="bottom"/>
          </w:tcPr>
          <w:p w14:paraId="3AD498B0" w14:textId="2384BE62"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2.038</w:t>
            </w:r>
          </w:p>
        </w:tc>
      </w:tr>
      <w:tr w:rsidR="003D3762" w:rsidRPr="004D353A" w14:paraId="4A5E249B" w14:textId="77777777" w:rsidTr="003D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58E6C6BF" w14:textId="3688699A" w:rsidR="003D3762" w:rsidRPr="003D3762" w:rsidRDefault="003D3762" w:rsidP="003D3762">
            <w:pPr>
              <w:rPr>
                <w:b w:val="0"/>
                <w:bCs w:val="0"/>
                <w:sz w:val="18"/>
                <w:szCs w:val="18"/>
              </w:rPr>
            </w:pPr>
            <w:r w:rsidRPr="003D3762">
              <w:rPr>
                <w:b w:val="0"/>
                <w:bCs w:val="0"/>
                <w:color w:val="000000"/>
                <w:sz w:val="18"/>
                <w:szCs w:val="18"/>
              </w:rPr>
              <w:t>Working age Benefit claimants (aged 16-24)</w:t>
            </w:r>
          </w:p>
        </w:tc>
        <w:tc>
          <w:tcPr>
            <w:tcW w:w="393" w:type="pct"/>
            <w:tcBorders>
              <w:top w:val="single" w:sz="4" w:space="0" w:color="auto"/>
              <w:left w:val="single" w:sz="4" w:space="0" w:color="auto"/>
              <w:bottom w:val="single" w:sz="4" w:space="0" w:color="auto"/>
              <w:right w:val="single" w:sz="4" w:space="0" w:color="auto"/>
            </w:tcBorders>
            <w:noWrap/>
            <w:vAlign w:val="bottom"/>
          </w:tcPr>
          <w:p w14:paraId="28637A7C" w14:textId="2A481509"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1.157</w:t>
            </w:r>
          </w:p>
        </w:tc>
        <w:tc>
          <w:tcPr>
            <w:tcW w:w="472" w:type="pct"/>
            <w:tcBorders>
              <w:top w:val="single" w:sz="4" w:space="0" w:color="auto"/>
              <w:left w:val="single" w:sz="4" w:space="0" w:color="auto"/>
              <w:bottom w:val="single" w:sz="4" w:space="0" w:color="auto"/>
              <w:right w:val="single" w:sz="4" w:space="0" w:color="auto"/>
            </w:tcBorders>
            <w:noWrap/>
            <w:vAlign w:val="bottom"/>
          </w:tcPr>
          <w:p w14:paraId="0B5EAC82" w14:textId="2A5BB6D0"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0.028</w:t>
            </w:r>
          </w:p>
        </w:tc>
        <w:tc>
          <w:tcPr>
            <w:tcW w:w="393" w:type="pct"/>
            <w:tcBorders>
              <w:top w:val="single" w:sz="4" w:space="0" w:color="auto"/>
              <w:left w:val="single" w:sz="4" w:space="0" w:color="auto"/>
              <w:bottom w:val="single" w:sz="4" w:space="0" w:color="auto"/>
              <w:right w:val="single" w:sz="4" w:space="0" w:color="auto"/>
            </w:tcBorders>
            <w:noWrap/>
            <w:vAlign w:val="bottom"/>
          </w:tcPr>
          <w:p w14:paraId="4A0CB950" w14:textId="1B811A6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6.01</w:t>
            </w:r>
          </w:p>
        </w:tc>
        <w:tc>
          <w:tcPr>
            <w:tcW w:w="375" w:type="pct"/>
            <w:tcBorders>
              <w:top w:val="single" w:sz="4" w:space="0" w:color="auto"/>
              <w:left w:val="single" w:sz="4" w:space="0" w:color="auto"/>
              <w:bottom w:val="single" w:sz="4" w:space="0" w:color="auto"/>
              <w:right w:val="single" w:sz="4" w:space="0" w:color="auto"/>
            </w:tcBorders>
            <w:noWrap/>
            <w:vAlign w:val="bottom"/>
          </w:tcPr>
          <w:p w14:paraId="652E13D8" w14:textId="42DF079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33BC20E2" w14:textId="0133C0DF"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1.103</w:t>
            </w:r>
          </w:p>
        </w:tc>
        <w:tc>
          <w:tcPr>
            <w:tcW w:w="468" w:type="pct"/>
            <w:tcBorders>
              <w:top w:val="single" w:sz="4" w:space="0" w:color="auto"/>
              <w:left w:val="single" w:sz="4" w:space="0" w:color="auto"/>
              <w:bottom w:val="single" w:sz="4" w:space="0" w:color="auto"/>
              <w:right w:val="single" w:sz="4" w:space="0" w:color="auto"/>
            </w:tcBorders>
            <w:noWrap/>
            <w:vAlign w:val="bottom"/>
          </w:tcPr>
          <w:p w14:paraId="534648A8" w14:textId="397ACC4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1.213</w:t>
            </w:r>
          </w:p>
        </w:tc>
      </w:tr>
      <w:tr w:rsidR="003D3762" w:rsidRPr="004D353A" w14:paraId="6DA26C5E" w14:textId="77777777" w:rsidTr="003D3762">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18AF2467" w14:textId="36FBB283" w:rsidR="003D3762" w:rsidRPr="003D3762" w:rsidRDefault="003D3762" w:rsidP="003D3762">
            <w:pPr>
              <w:rPr>
                <w:b w:val="0"/>
                <w:bCs w:val="0"/>
                <w:sz w:val="18"/>
                <w:szCs w:val="18"/>
              </w:rPr>
            </w:pPr>
            <w:r w:rsidRPr="003D3762">
              <w:rPr>
                <w:b w:val="0"/>
                <w:bCs w:val="0"/>
                <w:color w:val="000000"/>
                <w:sz w:val="18"/>
                <w:szCs w:val="18"/>
              </w:rPr>
              <w:t>Criminal damage</w:t>
            </w:r>
          </w:p>
        </w:tc>
        <w:tc>
          <w:tcPr>
            <w:tcW w:w="393" w:type="pct"/>
            <w:tcBorders>
              <w:top w:val="single" w:sz="4" w:space="0" w:color="auto"/>
              <w:left w:val="single" w:sz="4" w:space="0" w:color="auto"/>
              <w:bottom w:val="single" w:sz="4" w:space="0" w:color="auto"/>
              <w:right w:val="single" w:sz="4" w:space="0" w:color="auto"/>
            </w:tcBorders>
            <w:noWrap/>
            <w:vAlign w:val="bottom"/>
          </w:tcPr>
          <w:p w14:paraId="121451F2" w14:textId="70FC0E0C"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1.099</w:t>
            </w:r>
          </w:p>
        </w:tc>
        <w:tc>
          <w:tcPr>
            <w:tcW w:w="472" w:type="pct"/>
            <w:tcBorders>
              <w:top w:val="single" w:sz="4" w:space="0" w:color="auto"/>
              <w:left w:val="single" w:sz="4" w:space="0" w:color="auto"/>
              <w:bottom w:val="single" w:sz="4" w:space="0" w:color="auto"/>
              <w:right w:val="single" w:sz="4" w:space="0" w:color="auto"/>
            </w:tcBorders>
            <w:noWrap/>
            <w:vAlign w:val="bottom"/>
          </w:tcPr>
          <w:p w14:paraId="3098722E" w14:textId="10B3E6FC"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0.024</w:t>
            </w:r>
          </w:p>
        </w:tc>
        <w:tc>
          <w:tcPr>
            <w:tcW w:w="393" w:type="pct"/>
            <w:tcBorders>
              <w:top w:val="single" w:sz="4" w:space="0" w:color="auto"/>
              <w:left w:val="single" w:sz="4" w:space="0" w:color="auto"/>
              <w:bottom w:val="single" w:sz="4" w:space="0" w:color="auto"/>
              <w:right w:val="single" w:sz="4" w:space="0" w:color="auto"/>
            </w:tcBorders>
            <w:noWrap/>
            <w:vAlign w:val="bottom"/>
          </w:tcPr>
          <w:p w14:paraId="63610A34" w14:textId="60B11881"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4.3</w:t>
            </w:r>
          </w:p>
        </w:tc>
        <w:tc>
          <w:tcPr>
            <w:tcW w:w="375" w:type="pct"/>
            <w:tcBorders>
              <w:top w:val="single" w:sz="4" w:space="0" w:color="auto"/>
              <w:left w:val="single" w:sz="4" w:space="0" w:color="auto"/>
              <w:bottom w:val="single" w:sz="4" w:space="0" w:color="auto"/>
              <w:right w:val="single" w:sz="4" w:space="0" w:color="auto"/>
            </w:tcBorders>
            <w:noWrap/>
            <w:vAlign w:val="bottom"/>
          </w:tcPr>
          <w:p w14:paraId="1CD14F46" w14:textId="0505E73B"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24DAF6DD" w14:textId="4E847828"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1.053</w:t>
            </w:r>
          </w:p>
        </w:tc>
        <w:tc>
          <w:tcPr>
            <w:tcW w:w="468" w:type="pct"/>
            <w:tcBorders>
              <w:top w:val="single" w:sz="4" w:space="0" w:color="auto"/>
              <w:left w:val="single" w:sz="4" w:space="0" w:color="auto"/>
              <w:bottom w:val="single" w:sz="4" w:space="0" w:color="auto"/>
              <w:right w:val="single" w:sz="4" w:space="0" w:color="auto"/>
            </w:tcBorders>
            <w:noWrap/>
            <w:vAlign w:val="bottom"/>
          </w:tcPr>
          <w:p w14:paraId="7F3D4C3B" w14:textId="4B02797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1.147</w:t>
            </w:r>
          </w:p>
        </w:tc>
      </w:tr>
      <w:tr w:rsidR="003D3762" w:rsidRPr="004D353A" w14:paraId="2B05C7A4" w14:textId="77777777" w:rsidTr="003D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0B243296" w14:textId="38F98E89" w:rsidR="003D3762" w:rsidRPr="003D3762" w:rsidRDefault="003D3762" w:rsidP="003D3762">
            <w:pPr>
              <w:rPr>
                <w:b w:val="0"/>
                <w:bCs w:val="0"/>
                <w:sz w:val="18"/>
                <w:szCs w:val="18"/>
              </w:rPr>
            </w:pPr>
            <w:r w:rsidRPr="003D3762">
              <w:rPr>
                <w:b w:val="0"/>
                <w:bCs w:val="0"/>
                <w:color w:val="000000"/>
                <w:sz w:val="18"/>
                <w:szCs w:val="18"/>
              </w:rPr>
              <w:t>Dwelling stock built after 2000</w:t>
            </w:r>
          </w:p>
        </w:tc>
        <w:tc>
          <w:tcPr>
            <w:tcW w:w="393" w:type="pct"/>
            <w:tcBorders>
              <w:top w:val="single" w:sz="4" w:space="0" w:color="auto"/>
              <w:left w:val="single" w:sz="4" w:space="0" w:color="auto"/>
              <w:bottom w:val="single" w:sz="4" w:space="0" w:color="auto"/>
              <w:right w:val="single" w:sz="4" w:space="0" w:color="auto"/>
            </w:tcBorders>
            <w:noWrap/>
            <w:vAlign w:val="bottom"/>
          </w:tcPr>
          <w:p w14:paraId="06B54F48" w14:textId="58DDF73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1.082</w:t>
            </w:r>
          </w:p>
        </w:tc>
        <w:tc>
          <w:tcPr>
            <w:tcW w:w="472" w:type="pct"/>
            <w:tcBorders>
              <w:top w:val="single" w:sz="4" w:space="0" w:color="auto"/>
              <w:left w:val="single" w:sz="4" w:space="0" w:color="auto"/>
              <w:bottom w:val="single" w:sz="4" w:space="0" w:color="auto"/>
              <w:right w:val="single" w:sz="4" w:space="0" w:color="auto"/>
            </w:tcBorders>
            <w:noWrap/>
            <w:vAlign w:val="bottom"/>
          </w:tcPr>
          <w:p w14:paraId="74AF25C4" w14:textId="56628DF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0.021</w:t>
            </w:r>
          </w:p>
        </w:tc>
        <w:tc>
          <w:tcPr>
            <w:tcW w:w="393" w:type="pct"/>
            <w:tcBorders>
              <w:top w:val="single" w:sz="4" w:space="0" w:color="auto"/>
              <w:left w:val="single" w:sz="4" w:space="0" w:color="auto"/>
              <w:bottom w:val="single" w:sz="4" w:space="0" w:color="auto"/>
              <w:right w:val="single" w:sz="4" w:space="0" w:color="auto"/>
            </w:tcBorders>
            <w:noWrap/>
            <w:vAlign w:val="bottom"/>
          </w:tcPr>
          <w:p w14:paraId="7E48BB46" w14:textId="1DEE10E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4.03</w:t>
            </w:r>
          </w:p>
        </w:tc>
        <w:tc>
          <w:tcPr>
            <w:tcW w:w="375" w:type="pct"/>
            <w:tcBorders>
              <w:top w:val="single" w:sz="4" w:space="0" w:color="auto"/>
              <w:left w:val="single" w:sz="4" w:space="0" w:color="auto"/>
              <w:bottom w:val="single" w:sz="4" w:space="0" w:color="auto"/>
              <w:right w:val="single" w:sz="4" w:space="0" w:color="auto"/>
            </w:tcBorders>
            <w:noWrap/>
            <w:vAlign w:val="bottom"/>
          </w:tcPr>
          <w:p w14:paraId="47455BFF" w14:textId="510B60A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4AE7314F" w14:textId="3C870436"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1.041</w:t>
            </w:r>
          </w:p>
        </w:tc>
        <w:tc>
          <w:tcPr>
            <w:tcW w:w="468" w:type="pct"/>
            <w:tcBorders>
              <w:top w:val="single" w:sz="4" w:space="0" w:color="auto"/>
              <w:left w:val="single" w:sz="4" w:space="0" w:color="auto"/>
              <w:bottom w:val="single" w:sz="4" w:space="0" w:color="auto"/>
              <w:right w:val="single" w:sz="4" w:space="0" w:color="auto"/>
            </w:tcBorders>
            <w:noWrap/>
            <w:vAlign w:val="bottom"/>
          </w:tcPr>
          <w:p w14:paraId="225B7E37" w14:textId="22B971E5"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1.123</w:t>
            </w:r>
          </w:p>
        </w:tc>
      </w:tr>
      <w:tr w:rsidR="003D3762" w:rsidRPr="004D353A" w14:paraId="507CC156" w14:textId="77777777" w:rsidTr="003D3762">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17C8B93E" w14:textId="3F5335B5" w:rsidR="003D3762" w:rsidRPr="003D3762" w:rsidRDefault="003D3762" w:rsidP="003D3762">
            <w:pPr>
              <w:rPr>
                <w:b w:val="0"/>
                <w:bCs w:val="0"/>
                <w:sz w:val="18"/>
                <w:szCs w:val="18"/>
              </w:rPr>
            </w:pPr>
            <w:r w:rsidRPr="003D3762">
              <w:rPr>
                <w:b w:val="0"/>
                <w:bCs w:val="0"/>
                <w:color w:val="000000"/>
                <w:sz w:val="18"/>
                <w:szCs w:val="18"/>
              </w:rPr>
              <w:t>Percentage of children in poverty (after housing costs)</w:t>
            </w:r>
          </w:p>
        </w:tc>
        <w:tc>
          <w:tcPr>
            <w:tcW w:w="393" w:type="pct"/>
            <w:tcBorders>
              <w:top w:val="single" w:sz="4" w:space="0" w:color="auto"/>
              <w:left w:val="single" w:sz="4" w:space="0" w:color="auto"/>
              <w:bottom w:val="single" w:sz="4" w:space="0" w:color="auto"/>
              <w:right w:val="single" w:sz="4" w:space="0" w:color="auto"/>
            </w:tcBorders>
            <w:noWrap/>
            <w:vAlign w:val="bottom"/>
          </w:tcPr>
          <w:p w14:paraId="0A775120" w14:textId="76404096"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1.065</w:t>
            </w:r>
          </w:p>
        </w:tc>
        <w:tc>
          <w:tcPr>
            <w:tcW w:w="472" w:type="pct"/>
            <w:tcBorders>
              <w:top w:val="single" w:sz="4" w:space="0" w:color="auto"/>
              <w:left w:val="single" w:sz="4" w:space="0" w:color="auto"/>
              <w:bottom w:val="single" w:sz="4" w:space="0" w:color="auto"/>
              <w:right w:val="single" w:sz="4" w:space="0" w:color="auto"/>
            </w:tcBorders>
            <w:noWrap/>
            <w:vAlign w:val="bottom"/>
          </w:tcPr>
          <w:p w14:paraId="1E6FE4AF" w14:textId="19FAA08C"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0.023</w:t>
            </w:r>
          </w:p>
        </w:tc>
        <w:tc>
          <w:tcPr>
            <w:tcW w:w="393" w:type="pct"/>
            <w:tcBorders>
              <w:top w:val="single" w:sz="4" w:space="0" w:color="auto"/>
              <w:left w:val="single" w:sz="4" w:space="0" w:color="auto"/>
              <w:bottom w:val="single" w:sz="4" w:space="0" w:color="auto"/>
              <w:right w:val="single" w:sz="4" w:space="0" w:color="auto"/>
            </w:tcBorders>
            <w:noWrap/>
            <w:vAlign w:val="bottom"/>
          </w:tcPr>
          <w:p w14:paraId="45A4DFEC" w14:textId="3EEDDD9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2.92</w:t>
            </w:r>
          </w:p>
        </w:tc>
        <w:tc>
          <w:tcPr>
            <w:tcW w:w="375" w:type="pct"/>
            <w:tcBorders>
              <w:top w:val="single" w:sz="4" w:space="0" w:color="auto"/>
              <w:left w:val="single" w:sz="4" w:space="0" w:color="auto"/>
              <w:bottom w:val="single" w:sz="4" w:space="0" w:color="auto"/>
              <w:right w:val="single" w:sz="4" w:space="0" w:color="auto"/>
            </w:tcBorders>
            <w:noWrap/>
            <w:vAlign w:val="bottom"/>
          </w:tcPr>
          <w:p w14:paraId="612F2C1C" w14:textId="465BF088"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0.003</w:t>
            </w:r>
          </w:p>
        </w:tc>
        <w:tc>
          <w:tcPr>
            <w:tcW w:w="385" w:type="pct"/>
            <w:tcBorders>
              <w:top w:val="single" w:sz="4" w:space="0" w:color="auto"/>
              <w:left w:val="single" w:sz="4" w:space="0" w:color="auto"/>
              <w:bottom w:val="single" w:sz="4" w:space="0" w:color="auto"/>
              <w:right w:val="single" w:sz="4" w:space="0" w:color="auto"/>
            </w:tcBorders>
            <w:noWrap/>
            <w:vAlign w:val="bottom"/>
          </w:tcPr>
          <w:p w14:paraId="69BC2408" w14:textId="50276E18"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1.021</w:t>
            </w:r>
          </w:p>
        </w:tc>
        <w:tc>
          <w:tcPr>
            <w:tcW w:w="468" w:type="pct"/>
            <w:tcBorders>
              <w:top w:val="single" w:sz="4" w:space="0" w:color="auto"/>
              <w:left w:val="single" w:sz="4" w:space="0" w:color="auto"/>
              <w:bottom w:val="single" w:sz="4" w:space="0" w:color="auto"/>
              <w:right w:val="single" w:sz="4" w:space="0" w:color="auto"/>
            </w:tcBorders>
            <w:noWrap/>
            <w:vAlign w:val="bottom"/>
          </w:tcPr>
          <w:p w14:paraId="71BF3C64" w14:textId="13B75CA6"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1.110</w:t>
            </w:r>
          </w:p>
        </w:tc>
      </w:tr>
      <w:tr w:rsidR="003D3762" w:rsidRPr="004D353A" w14:paraId="2D39224A" w14:textId="77777777" w:rsidTr="003D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5D11E791" w14:textId="7C69FC2E" w:rsidR="003D3762" w:rsidRPr="003D3762" w:rsidRDefault="003D3762" w:rsidP="003D3762">
            <w:pPr>
              <w:rPr>
                <w:b w:val="0"/>
                <w:bCs w:val="0"/>
                <w:sz w:val="18"/>
                <w:szCs w:val="18"/>
              </w:rPr>
            </w:pPr>
            <w:r w:rsidRPr="003D3762">
              <w:rPr>
                <w:b w:val="0"/>
                <w:bCs w:val="0"/>
                <w:color w:val="000000"/>
                <w:sz w:val="18"/>
                <w:szCs w:val="18"/>
              </w:rPr>
              <w:t>Social rented housing</w:t>
            </w:r>
          </w:p>
        </w:tc>
        <w:tc>
          <w:tcPr>
            <w:tcW w:w="393" w:type="pct"/>
            <w:tcBorders>
              <w:top w:val="single" w:sz="4" w:space="0" w:color="auto"/>
              <w:left w:val="single" w:sz="4" w:space="0" w:color="auto"/>
              <w:bottom w:val="single" w:sz="4" w:space="0" w:color="auto"/>
              <w:right w:val="single" w:sz="4" w:space="0" w:color="auto"/>
            </w:tcBorders>
            <w:noWrap/>
            <w:vAlign w:val="bottom"/>
          </w:tcPr>
          <w:p w14:paraId="12ED9206" w14:textId="08FC738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1.060</w:t>
            </w:r>
          </w:p>
        </w:tc>
        <w:tc>
          <w:tcPr>
            <w:tcW w:w="472" w:type="pct"/>
            <w:tcBorders>
              <w:top w:val="single" w:sz="4" w:space="0" w:color="auto"/>
              <w:left w:val="single" w:sz="4" w:space="0" w:color="auto"/>
              <w:bottom w:val="single" w:sz="4" w:space="0" w:color="auto"/>
              <w:right w:val="single" w:sz="4" w:space="0" w:color="auto"/>
            </w:tcBorders>
            <w:noWrap/>
            <w:vAlign w:val="bottom"/>
          </w:tcPr>
          <w:p w14:paraId="3F07BCAF" w14:textId="57E92E4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0.015</w:t>
            </w:r>
          </w:p>
        </w:tc>
        <w:tc>
          <w:tcPr>
            <w:tcW w:w="393" w:type="pct"/>
            <w:tcBorders>
              <w:top w:val="single" w:sz="4" w:space="0" w:color="auto"/>
              <w:left w:val="single" w:sz="4" w:space="0" w:color="auto"/>
              <w:bottom w:val="single" w:sz="4" w:space="0" w:color="auto"/>
              <w:right w:val="single" w:sz="4" w:space="0" w:color="auto"/>
            </w:tcBorders>
            <w:noWrap/>
            <w:vAlign w:val="bottom"/>
          </w:tcPr>
          <w:p w14:paraId="26DE4A83" w14:textId="27A23084"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3.97</w:t>
            </w:r>
          </w:p>
        </w:tc>
        <w:tc>
          <w:tcPr>
            <w:tcW w:w="375" w:type="pct"/>
            <w:tcBorders>
              <w:top w:val="single" w:sz="4" w:space="0" w:color="auto"/>
              <w:left w:val="single" w:sz="4" w:space="0" w:color="auto"/>
              <w:bottom w:val="single" w:sz="4" w:space="0" w:color="auto"/>
              <w:right w:val="single" w:sz="4" w:space="0" w:color="auto"/>
            </w:tcBorders>
            <w:noWrap/>
            <w:vAlign w:val="bottom"/>
          </w:tcPr>
          <w:p w14:paraId="38DD3B43" w14:textId="142C0B0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1A37519C" w14:textId="78B0B60E"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1.030</w:t>
            </w:r>
          </w:p>
        </w:tc>
        <w:tc>
          <w:tcPr>
            <w:tcW w:w="468" w:type="pct"/>
            <w:tcBorders>
              <w:top w:val="single" w:sz="4" w:space="0" w:color="auto"/>
              <w:left w:val="single" w:sz="4" w:space="0" w:color="auto"/>
              <w:bottom w:val="single" w:sz="4" w:space="0" w:color="auto"/>
              <w:right w:val="single" w:sz="4" w:space="0" w:color="auto"/>
            </w:tcBorders>
            <w:noWrap/>
            <w:vAlign w:val="bottom"/>
          </w:tcPr>
          <w:p w14:paraId="57428019" w14:textId="2E452A1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1.090</w:t>
            </w:r>
          </w:p>
        </w:tc>
      </w:tr>
      <w:tr w:rsidR="003D3762" w:rsidRPr="004D353A" w14:paraId="1DA92F78" w14:textId="77777777" w:rsidTr="003D3762">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03E5373F" w14:textId="2E6CFA64" w:rsidR="003D3762" w:rsidRPr="003D3762" w:rsidRDefault="003D3762" w:rsidP="003D3762">
            <w:pPr>
              <w:rPr>
                <w:b w:val="0"/>
                <w:bCs w:val="0"/>
                <w:sz w:val="18"/>
                <w:szCs w:val="18"/>
              </w:rPr>
            </w:pPr>
            <w:r w:rsidRPr="003D3762">
              <w:rPr>
                <w:b w:val="0"/>
                <w:bCs w:val="0"/>
                <w:color w:val="000000"/>
                <w:sz w:val="18"/>
                <w:szCs w:val="18"/>
              </w:rPr>
              <w:t>VAT based local units employing 0 to 4 people</w:t>
            </w:r>
          </w:p>
        </w:tc>
        <w:tc>
          <w:tcPr>
            <w:tcW w:w="393" w:type="pct"/>
            <w:tcBorders>
              <w:top w:val="single" w:sz="4" w:space="0" w:color="auto"/>
              <w:left w:val="single" w:sz="4" w:space="0" w:color="auto"/>
              <w:bottom w:val="single" w:sz="4" w:space="0" w:color="auto"/>
              <w:right w:val="single" w:sz="4" w:space="0" w:color="auto"/>
            </w:tcBorders>
            <w:noWrap/>
            <w:vAlign w:val="bottom"/>
          </w:tcPr>
          <w:p w14:paraId="0B850E82" w14:textId="25CEAB17"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1.052</w:t>
            </w:r>
          </w:p>
        </w:tc>
        <w:tc>
          <w:tcPr>
            <w:tcW w:w="472" w:type="pct"/>
            <w:tcBorders>
              <w:top w:val="single" w:sz="4" w:space="0" w:color="auto"/>
              <w:left w:val="single" w:sz="4" w:space="0" w:color="auto"/>
              <w:bottom w:val="single" w:sz="4" w:space="0" w:color="auto"/>
              <w:right w:val="single" w:sz="4" w:space="0" w:color="auto"/>
            </w:tcBorders>
            <w:noWrap/>
            <w:vAlign w:val="bottom"/>
          </w:tcPr>
          <w:p w14:paraId="0A8A418F" w14:textId="04866641"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0.018</w:t>
            </w:r>
          </w:p>
        </w:tc>
        <w:tc>
          <w:tcPr>
            <w:tcW w:w="393" w:type="pct"/>
            <w:tcBorders>
              <w:top w:val="single" w:sz="4" w:space="0" w:color="auto"/>
              <w:left w:val="single" w:sz="4" w:space="0" w:color="auto"/>
              <w:bottom w:val="single" w:sz="4" w:space="0" w:color="auto"/>
              <w:right w:val="single" w:sz="4" w:space="0" w:color="auto"/>
            </w:tcBorders>
            <w:noWrap/>
            <w:vAlign w:val="bottom"/>
          </w:tcPr>
          <w:p w14:paraId="7501C47E" w14:textId="330D775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2.96</w:t>
            </w:r>
          </w:p>
        </w:tc>
        <w:tc>
          <w:tcPr>
            <w:tcW w:w="375" w:type="pct"/>
            <w:tcBorders>
              <w:top w:val="single" w:sz="4" w:space="0" w:color="auto"/>
              <w:left w:val="single" w:sz="4" w:space="0" w:color="auto"/>
              <w:bottom w:val="single" w:sz="4" w:space="0" w:color="auto"/>
              <w:right w:val="single" w:sz="4" w:space="0" w:color="auto"/>
            </w:tcBorders>
            <w:noWrap/>
            <w:vAlign w:val="bottom"/>
          </w:tcPr>
          <w:p w14:paraId="5FDC02CB" w14:textId="26A9545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0.003</w:t>
            </w:r>
          </w:p>
        </w:tc>
        <w:tc>
          <w:tcPr>
            <w:tcW w:w="385" w:type="pct"/>
            <w:tcBorders>
              <w:top w:val="single" w:sz="4" w:space="0" w:color="auto"/>
              <w:left w:val="single" w:sz="4" w:space="0" w:color="auto"/>
              <w:bottom w:val="single" w:sz="4" w:space="0" w:color="auto"/>
              <w:right w:val="single" w:sz="4" w:space="0" w:color="auto"/>
            </w:tcBorders>
            <w:noWrap/>
            <w:vAlign w:val="bottom"/>
          </w:tcPr>
          <w:p w14:paraId="16640AAD" w14:textId="4915B632"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1.017</w:t>
            </w:r>
          </w:p>
        </w:tc>
        <w:tc>
          <w:tcPr>
            <w:tcW w:w="468" w:type="pct"/>
            <w:tcBorders>
              <w:top w:val="single" w:sz="4" w:space="0" w:color="auto"/>
              <w:left w:val="single" w:sz="4" w:space="0" w:color="auto"/>
              <w:bottom w:val="single" w:sz="4" w:space="0" w:color="auto"/>
              <w:right w:val="single" w:sz="4" w:space="0" w:color="auto"/>
            </w:tcBorders>
            <w:noWrap/>
            <w:vAlign w:val="bottom"/>
          </w:tcPr>
          <w:p w14:paraId="16FA5C07" w14:textId="60FB6A2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1.087</w:t>
            </w:r>
          </w:p>
        </w:tc>
      </w:tr>
      <w:tr w:rsidR="003D3762" w:rsidRPr="004D353A" w14:paraId="6468392D" w14:textId="77777777" w:rsidTr="003D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7E8EC789" w14:textId="2824AA78" w:rsidR="003D3762" w:rsidRPr="003D3762" w:rsidRDefault="003D3762" w:rsidP="003D3762">
            <w:pPr>
              <w:rPr>
                <w:b w:val="0"/>
                <w:bCs w:val="0"/>
                <w:sz w:val="18"/>
                <w:szCs w:val="18"/>
              </w:rPr>
            </w:pPr>
            <w:r w:rsidRPr="003D3762">
              <w:rPr>
                <w:b w:val="0"/>
                <w:bCs w:val="0"/>
                <w:color w:val="000000"/>
                <w:sz w:val="18"/>
                <w:szCs w:val="18"/>
              </w:rPr>
              <w:t>People travelling more than 10km to work</w:t>
            </w:r>
          </w:p>
        </w:tc>
        <w:tc>
          <w:tcPr>
            <w:tcW w:w="393" w:type="pct"/>
            <w:tcBorders>
              <w:top w:val="single" w:sz="4" w:space="0" w:color="auto"/>
              <w:left w:val="single" w:sz="4" w:space="0" w:color="auto"/>
              <w:bottom w:val="single" w:sz="4" w:space="0" w:color="auto"/>
              <w:right w:val="single" w:sz="4" w:space="0" w:color="auto"/>
            </w:tcBorders>
            <w:noWrap/>
            <w:vAlign w:val="bottom"/>
          </w:tcPr>
          <w:p w14:paraId="4689D4C5" w14:textId="21AC95F0"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1.048</w:t>
            </w:r>
          </w:p>
        </w:tc>
        <w:tc>
          <w:tcPr>
            <w:tcW w:w="472" w:type="pct"/>
            <w:tcBorders>
              <w:top w:val="single" w:sz="4" w:space="0" w:color="auto"/>
              <w:left w:val="single" w:sz="4" w:space="0" w:color="auto"/>
              <w:bottom w:val="single" w:sz="4" w:space="0" w:color="auto"/>
              <w:right w:val="single" w:sz="4" w:space="0" w:color="auto"/>
            </w:tcBorders>
            <w:noWrap/>
            <w:vAlign w:val="bottom"/>
          </w:tcPr>
          <w:p w14:paraId="30B4691A" w14:textId="7500D194"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0.027</w:t>
            </w:r>
          </w:p>
        </w:tc>
        <w:tc>
          <w:tcPr>
            <w:tcW w:w="393" w:type="pct"/>
            <w:tcBorders>
              <w:top w:val="single" w:sz="4" w:space="0" w:color="auto"/>
              <w:left w:val="single" w:sz="4" w:space="0" w:color="auto"/>
              <w:bottom w:val="single" w:sz="4" w:space="0" w:color="auto"/>
              <w:right w:val="single" w:sz="4" w:space="0" w:color="auto"/>
            </w:tcBorders>
            <w:noWrap/>
            <w:vAlign w:val="bottom"/>
          </w:tcPr>
          <w:p w14:paraId="1430D4A1" w14:textId="3B752037"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1.87</w:t>
            </w:r>
          </w:p>
        </w:tc>
        <w:tc>
          <w:tcPr>
            <w:tcW w:w="375" w:type="pct"/>
            <w:tcBorders>
              <w:top w:val="single" w:sz="4" w:space="0" w:color="auto"/>
              <w:left w:val="single" w:sz="4" w:space="0" w:color="auto"/>
              <w:bottom w:val="single" w:sz="4" w:space="0" w:color="auto"/>
              <w:right w:val="single" w:sz="4" w:space="0" w:color="auto"/>
            </w:tcBorders>
            <w:noWrap/>
            <w:vAlign w:val="bottom"/>
          </w:tcPr>
          <w:p w14:paraId="3059D139" w14:textId="1761A4C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0.062</w:t>
            </w:r>
          </w:p>
        </w:tc>
        <w:tc>
          <w:tcPr>
            <w:tcW w:w="385" w:type="pct"/>
            <w:tcBorders>
              <w:top w:val="single" w:sz="4" w:space="0" w:color="auto"/>
              <w:left w:val="single" w:sz="4" w:space="0" w:color="auto"/>
              <w:bottom w:val="single" w:sz="4" w:space="0" w:color="auto"/>
              <w:right w:val="single" w:sz="4" w:space="0" w:color="auto"/>
            </w:tcBorders>
            <w:noWrap/>
            <w:vAlign w:val="bottom"/>
          </w:tcPr>
          <w:p w14:paraId="00BC3C0C" w14:textId="17FBA5D0"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0.998</w:t>
            </w:r>
          </w:p>
        </w:tc>
        <w:tc>
          <w:tcPr>
            <w:tcW w:w="468" w:type="pct"/>
            <w:tcBorders>
              <w:top w:val="single" w:sz="4" w:space="0" w:color="auto"/>
              <w:left w:val="single" w:sz="4" w:space="0" w:color="auto"/>
              <w:bottom w:val="single" w:sz="4" w:space="0" w:color="auto"/>
              <w:right w:val="single" w:sz="4" w:space="0" w:color="auto"/>
            </w:tcBorders>
            <w:noWrap/>
            <w:vAlign w:val="bottom"/>
          </w:tcPr>
          <w:p w14:paraId="50583EA6" w14:textId="2C14DA8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1.102</w:t>
            </w:r>
          </w:p>
        </w:tc>
      </w:tr>
      <w:tr w:rsidR="003D3762" w:rsidRPr="004D353A" w14:paraId="543631BB" w14:textId="77777777" w:rsidTr="003D3762">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0D66549C" w14:textId="37104F33" w:rsidR="003D3762" w:rsidRPr="003D3762" w:rsidRDefault="003D3762" w:rsidP="003D3762">
            <w:pPr>
              <w:rPr>
                <w:b w:val="0"/>
                <w:bCs w:val="0"/>
                <w:sz w:val="18"/>
                <w:szCs w:val="18"/>
              </w:rPr>
            </w:pPr>
            <w:r w:rsidRPr="003D3762">
              <w:rPr>
                <w:b w:val="0"/>
                <w:bCs w:val="0"/>
                <w:color w:val="000000"/>
                <w:sz w:val="18"/>
                <w:szCs w:val="18"/>
              </w:rPr>
              <w:t xml:space="preserve">Pupils achieving 5 or more Key Stage 4 (GCSE) passes at A*-C, including English and </w:t>
            </w:r>
            <w:proofErr w:type="spellStart"/>
            <w:r w:rsidRPr="003D3762">
              <w:rPr>
                <w:b w:val="0"/>
                <w:bCs w:val="0"/>
                <w:color w:val="000000"/>
                <w:sz w:val="18"/>
                <w:szCs w:val="18"/>
              </w:rPr>
              <w:t>Maths</w:t>
            </w:r>
            <w:proofErr w:type="spellEnd"/>
          </w:p>
        </w:tc>
        <w:tc>
          <w:tcPr>
            <w:tcW w:w="393" w:type="pct"/>
            <w:tcBorders>
              <w:top w:val="single" w:sz="4" w:space="0" w:color="auto"/>
              <w:left w:val="single" w:sz="4" w:space="0" w:color="auto"/>
              <w:bottom w:val="single" w:sz="4" w:space="0" w:color="auto"/>
              <w:right w:val="single" w:sz="4" w:space="0" w:color="auto"/>
            </w:tcBorders>
            <w:noWrap/>
            <w:vAlign w:val="bottom"/>
          </w:tcPr>
          <w:p w14:paraId="29C88F4F" w14:textId="07BB2F6C"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1.016</w:t>
            </w:r>
          </w:p>
        </w:tc>
        <w:tc>
          <w:tcPr>
            <w:tcW w:w="472" w:type="pct"/>
            <w:tcBorders>
              <w:top w:val="single" w:sz="4" w:space="0" w:color="auto"/>
              <w:left w:val="single" w:sz="4" w:space="0" w:color="auto"/>
              <w:bottom w:val="single" w:sz="4" w:space="0" w:color="auto"/>
              <w:right w:val="single" w:sz="4" w:space="0" w:color="auto"/>
            </w:tcBorders>
            <w:noWrap/>
            <w:vAlign w:val="bottom"/>
          </w:tcPr>
          <w:p w14:paraId="0E2E8ABE" w14:textId="3316F82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0.014</w:t>
            </w:r>
          </w:p>
        </w:tc>
        <w:tc>
          <w:tcPr>
            <w:tcW w:w="393" w:type="pct"/>
            <w:tcBorders>
              <w:top w:val="single" w:sz="4" w:space="0" w:color="auto"/>
              <w:left w:val="single" w:sz="4" w:space="0" w:color="auto"/>
              <w:bottom w:val="single" w:sz="4" w:space="0" w:color="auto"/>
              <w:right w:val="single" w:sz="4" w:space="0" w:color="auto"/>
            </w:tcBorders>
            <w:noWrap/>
            <w:vAlign w:val="bottom"/>
          </w:tcPr>
          <w:p w14:paraId="2A8D419D" w14:textId="133BF486"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1.13</w:t>
            </w:r>
          </w:p>
        </w:tc>
        <w:tc>
          <w:tcPr>
            <w:tcW w:w="375" w:type="pct"/>
            <w:tcBorders>
              <w:top w:val="single" w:sz="4" w:space="0" w:color="auto"/>
              <w:left w:val="single" w:sz="4" w:space="0" w:color="auto"/>
              <w:bottom w:val="single" w:sz="4" w:space="0" w:color="auto"/>
              <w:right w:val="single" w:sz="4" w:space="0" w:color="auto"/>
            </w:tcBorders>
            <w:noWrap/>
            <w:vAlign w:val="bottom"/>
          </w:tcPr>
          <w:p w14:paraId="081AEC6B" w14:textId="7E207D29"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0.259</w:t>
            </w:r>
          </w:p>
        </w:tc>
        <w:tc>
          <w:tcPr>
            <w:tcW w:w="385" w:type="pct"/>
            <w:tcBorders>
              <w:top w:val="single" w:sz="4" w:space="0" w:color="auto"/>
              <w:left w:val="single" w:sz="4" w:space="0" w:color="auto"/>
              <w:bottom w:val="single" w:sz="4" w:space="0" w:color="auto"/>
              <w:right w:val="single" w:sz="4" w:space="0" w:color="auto"/>
            </w:tcBorders>
            <w:noWrap/>
            <w:vAlign w:val="bottom"/>
          </w:tcPr>
          <w:p w14:paraId="0BEC8A2F" w14:textId="3F6E8ED9"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0.989</w:t>
            </w:r>
          </w:p>
        </w:tc>
        <w:tc>
          <w:tcPr>
            <w:tcW w:w="468" w:type="pct"/>
            <w:tcBorders>
              <w:top w:val="single" w:sz="4" w:space="0" w:color="auto"/>
              <w:left w:val="single" w:sz="4" w:space="0" w:color="auto"/>
              <w:bottom w:val="single" w:sz="4" w:space="0" w:color="auto"/>
              <w:right w:val="single" w:sz="4" w:space="0" w:color="auto"/>
            </w:tcBorders>
            <w:noWrap/>
            <w:vAlign w:val="bottom"/>
          </w:tcPr>
          <w:p w14:paraId="0C7DE13A" w14:textId="0F6AE58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1.044</w:t>
            </w:r>
          </w:p>
        </w:tc>
      </w:tr>
      <w:tr w:rsidR="003D3762" w:rsidRPr="004D353A" w14:paraId="3C71E1CD" w14:textId="77777777" w:rsidTr="003D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3E1EAD99" w14:textId="12F49648" w:rsidR="003D3762" w:rsidRPr="003D3762" w:rsidRDefault="003D3762" w:rsidP="003D3762">
            <w:pPr>
              <w:rPr>
                <w:b w:val="0"/>
                <w:bCs w:val="0"/>
                <w:sz w:val="18"/>
                <w:szCs w:val="18"/>
              </w:rPr>
            </w:pPr>
            <w:r w:rsidRPr="003D3762">
              <w:rPr>
                <w:b w:val="0"/>
                <w:bCs w:val="0"/>
                <w:color w:val="000000"/>
                <w:sz w:val="18"/>
                <w:szCs w:val="18"/>
              </w:rPr>
              <w:t>Dwelling stock built 1945-2000</w:t>
            </w:r>
          </w:p>
        </w:tc>
        <w:tc>
          <w:tcPr>
            <w:tcW w:w="393" w:type="pct"/>
            <w:tcBorders>
              <w:top w:val="single" w:sz="4" w:space="0" w:color="auto"/>
              <w:left w:val="single" w:sz="4" w:space="0" w:color="auto"/>
              <w:bottom w:val="single" w:sz="4" w:space="0" w:color="auto"/>
              <w:right w:val="single" w:sz="4" w:space="0" w:color="auto"/>
            </w:tcBorders>
            <w:noWrap/>
            <w:vAlign w:val="bottom"/>
          </w:tcPr>
          <w:p w14:paraId="39F6982E" w14:textId="4C36160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1.015</w:t>
            </w:r>
          </w:p>
        </w:tc>
        <w:tc>
          <w:tcPr>
            <w:tcW w:w="472" w:type="pct"/>
            <w:tcBorders>
              <w:top w:val="single" w:sz="4" w:space="0" w:color="auto"/>
              <w:left w:val="single" w:sz="4" w:space="0" w:color="auto"/>
              <w:bottom w:val="single" w:sz="4" w:space="0" w:color="auto"/>
              <w:right w:val="single" w:sz="4" w:space="0" w:color="auto"/>
            </w:tcBorders>
            <w:noWrap/>
            <w:vAlign w:val="bottom"/>
          </w:tcPr>
          <w:p w14:paraId="4438EF22" w14:textId="51F71A00"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0.006</w:t>
            </w:r>
          </w:p>
        </w:tc>
        <w:tc>
          <w:tcPr>
            <w:tcW w:w="393" w:type="pct"/>
            <w:tcBorders>
              <w:top w:val="single" w:sz="4" w:space="0" w:color="auto"/>
              <w:left w:val="single" w:sz="4" w:space="0" w:color="auto"/>
              <w:bottom w:val="single" w:sz="4" w:space="0" w:color="auto"/>
              <w:right w:val="single" w:sz="4" w:space="0" w:color="auto"/>
            </w:tcBorders>
            <w:noWrap/>
            <w:vAlign w:val="bottom"/>
          </w:tcPr>
          <w:p w14:paraId="573ABDB2" w14:textId="0FAD5296"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2.34</w:t>
            </w:r>
          </w:p>
        </w:tc>
        <w:tc>
          <w:tcPr>
            <w:tcW w:w="375" w:type="pct"/>
            <w:tcBorders>
              <w:top w:val="single" w:sz="4" w:space="0" w:color="auto"/>
              <w:left w:val="single" w:sz="4" w:space="0" w:color="auto"/>
              <w:bottom w:val="single" w:sz="4" w:space="0" w:color="auto"/>
              <w:right w:val="single" w:sz="4" w:space="0" w:color="auto"/>
            </w:tcBorders>
            <w:noWrap/>
            <w:vAlign w:val="bottom"/>
          </w:tcPr>
          <w:p w14:paraId="038C4769" w14:textId="0745FD24"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0.019</w:t>
            </w:r>
          </w:p>
        </w:tc>
        <w:tc>
          <w:tcPr>
            <w:tcW w:w="385" w:type="pct"/>
            <w:tcBorders>
              <w:top w:val="single" w:sz="4" w:space="0" w:color="auto"/>
              <w:left w:val="single" w:sz="4" w:space="0" w:color="auto"/>
              <w:bottom w:val="single" w:sz="4" w:space="0" w:color="auto"/>
              <w:right w:val="single" w:sz="4" w:space="0" w:color="auto"/>
            </w:tcBorders>
            <w:noWrap/>
            <w:vAlign w:val="bottom"/>
          </w:tcPr>
          <w:p w14:paraId="379C3048" w14:textId="230D0DD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1.002</w:t>
            </w:r>
          </w:p>
        </w:tc>
        <w:tc>
          <w:tcPr>
            <w:tcW w:w="468" w:type="pct"/>
            <w:tcBorders>
              <w:top w:val="single" w:sz="4" w:space="0" w:color="auto"/>
              <w:left w:val="single" w:sz="4" w:space="0" w:color="auto"/>
              <w:bottom w:val="single" w:sz="4" w:space="0" w:color="auto"/>
              <w:right w:val="single" w:sz="4" w:space="0" w:color="auto"/>
            </w:tcBorders>
            <w:noWrap/>
            <w:vAlign w:val="bottom"/>
          </w:tcPr>
          <w:p w14:paraId="7DF50947" w14:textId="46D8E10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1.028</w:t>
            </w:r>
          </w:p>
        </w:tc>
      </w:tr>
      <w:tr w:rsidR="003D3762" w:rsidRPr="004D353A" w14:paraId="35A2637E"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2FA2665C" w14:textId="3EE58E1F" w:rsidR="003D3762" w:rsidRPr="003D3762" w:rsidRDefault="003D3762" w:rsidP="003D3762">
            <w:pPr>
              <w:rPr>
                <w:b w:val="0"/>
                <w:bCs w:val="0"/>
                <w:sz w:val="18"/>
                <w:szCs w:val="18"/>
              </w:rPr>
            </w:pPr>
            <w:r w:rsidRPr="003D3762">
              <w:rPr>
                <w:b w:val="0"/>
                <w:bCs w:val="0"/>
                <w:color w:val="000000"/>
                <w:sz w:val="18"/>
                <w:szCs w:val="18"/>
              </w:rPr>
              <w:t>Change in unemployment claimant rate 2005 to 2019</w:t>
            </w:r>
          </w:p>
        </w:tc>
        <w:tc>
          <w:tcPr>
            <w:tcW w:w="393" w:type="pct"/>
            <w:tcBorders>
              <w:top w:val="single" w:sz="4" w:space="0" w:color="auto"/>
              <w:left w:val="single" w:sz="4" w:space="0" w:color="auto"/>
              <w:bottom w:val="single" w:sz="4" w:space="0" w:color="auto"/>
              <w:right w:val="single" w:sz="4" w:space="0" w:color="auto"/>
            </w:tcBorders>
            <w:noWrap/>
            <w:vAlign w:val="bottom"/>
          </w:tcPr>
          <w:p w14:paraId="043D9FA8" w14:textId="078A1601"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1.004</w:t>
            </w:r>
          </w:p>
        </w:tc>
        <w:tc>
          <w:tcPr>
            <w:tcW w:w="472" w:type="pct"/>
            <w:tcBorders>
              <w:top w:val="single" w:sz="4" w:space="0" w:color="auto"/>
              <w:left w:val="single" w:sz="4" w:space="0" w:color="auto"/>
              <w:bottom w:val="single" w:sz="4" w:space="0" w:color="auto"/>
              <w:right w:val="single" w:sz="4" w:space="0" w:color="auto"/>
            </w:tcBorders>
            <w:noWrap/>
            <w:vAlign w:val="bottom"/>
          </w:tcPr>
          <w:p w14:paraId="4B22A767" w14:textId="577AD69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0.002</w:t>
            </w:r>
          </w:p>
        </w:tc>
        <w:tc>
          <w:tcPr>
            <w:tcW w:w="393" w:type="pct"/>
            <w:tcBorders>
              <w:top w:val="single" w:sz="4" w:space="0" w:color="auto"/>
              <w:left w:val="single" w:sz="4" w:space="0" w:color="auto"/>
              <w:bottom w:val="single" w:sz="4" w:space="0" w:color="auto"/>
              <w:right w:val="single" w:sz="4" w:space="0" w:color="auto"/>
            </w:tcBorders>
            <w:noWrap/>
            <w:vAlign w:val="bottom"/>
          </w:tcPr>
          <w:p w14:paraId="0B7CFD2D" w14:textId="1E8646F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1.9</w:t>
            </w:r>
          </w:p>
        </w:tc>
        <w:tc>
          <w:tcPr>
            <w:tcW w:w="375" w:type="pct"/>
            <w:tcBorders>
              <w:top w:val="single" w:sz="4" w:space="0" w:color="auto"/>
              <w:left w:val="single" w:sz="4" w:space="0" w:color="auto"/>
              <w:bottom w:val="single" w:sz="4" w:space="0" w:color="auto"/>
              <w:right w:val="single" w:sz="4" w:space="0" w:color="auto"/>
            </w:tcBorders>
            <w:noWrap/>
            <w:vAlign w:val="bottom"/>
          </w:tcPr>
          <w:p w14:paraId="55096A42" w14:textId="205DB78B"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0.058</w:t>
            </w:r>
          </w:p>
        </w:tc>
        <w:tc>
          <w:tcPr>
            <w:tcW w:w="385" w:type="pct"/>
            <w:tcBorders>
              <w:top w:val="single" w:sz="4" w:space="0" w:color="auto"/>
              <w:left w:val="single" w:sz="4" w:space="0" w:color="auto"/>
              <w:bottom w:val="single" w:sz="4" w:space="0" w:color="auto"/>
              <w:right w:val="single" w:sz="4" w:space="0" w:color="auto"/>
            </w:tcBorders>
            <w:noWrap/>
            <w:vAlign w:val="bottom"/>
          </w:tcPr>
          <w:p w14:paraId="653E47AE" w14:textId="4657175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1.000</w:t>
            </w:r>
          </w:p>
        </w:tc>
        <w:tc>
          <w:tcPr>
            <w:tcW w:w="468" w:type="pct"/>
            <w:tcBorders>
              <w:top w:val="single" w:sz="4" w:space="0" w:color="auto"/>
              <w:left w:val="single" w:sz="4" w:space="0" w:color="auto"/>
              <w:bottom w:val="single" w:sz="4" w:space="0" w:color="auto"/>
              <w:right w:val="single" w:sz="4" w:space="0" w:color="auto"/>
            </w:tcBorders>
            <w:noWrap/>
            <w:vAlign w:val="bottom"/>
          </w:tcPr>
          <w:p w14:paraId="2150D905" w14:textId="1627B8F5"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1.007</w:t>
            </w:r>
          </w:p>
        </w:tc>
      </w:tr>
      <w:tr w:rsidR="003D3762" w:rsidRPr="004D353A" w14:paraId="5F7EFC9C"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31CFA7F9" w14:textId="0CEF39A4" w:rsidR="003D3762" w:rsidRPr="003D3762" w:rsidRDefault="003D3762" w:rsidP="003D3762">
            <w:pPr>
              <w:rPr>
                <w:b w:val="0"/>
                <w:bCs w:val="0"/>
                <w:sz w:val="18"/>
                <w:szCs w:val="18"/>
              </w:rPr>
            </w:pPr>
            <w:r w:rsidRPr="003D3762">
              <w:rPr>
                <w:b w:val="0"/>
                <w:bCs w:val="0"/>
                <w:color w:val="000000"/>
                <w:sz w:val="18"/>
                <w:szCs w:val="18"/>
              </w:rPr>
              <w:t>Average house price for terraced houses</w:t>
            </w:r>
          </w:p>
        </w:tc>
        <w:tc>
          <w:tcPr>
            <w:tcW w:w="393" w:type="pct"/>
            <w:tcBorders>
              <w:top w:val="single" w:sz="4" w:space="0" w:color="auto"/>
              <w:left w:val="single" w:sz="4" w:space="0" w:color="auto"/>
              <w:bottom w:val="single" w:sz="4" w:space="0" w:color="auto"/>
              <w:right w:val="single" w:sz="4" w:space="0" w:color="auto"/>
            </w:tcBorders>
            <w:noWrap/>
            <w:vAlign w:val="bottom"/>
          </w:tcPr>
          <w:p w14:paraId="066BD513" w14:textId="5083099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1.000</w:t>
            </w:r>
          </w:p>
        </w:tc>
        <w:tc>
          <w:tcPr>
            <w:tcW w:w="472" w:type="pct"/>
            <w:tcBorders>
              <w:top w:val="single" w:sz="4" w:space="0" w:color="auto"/>
              <w:left w:val="single" w:sz="4" w:space="0" w:color="auto"/>
              <w:bottom w:val="single" w:sz="4" w:space="0" w:color="auto"/>
              <w:right w:val="single" w:sz="4" w:space="0" w:color="auto"/>
            </w:tcBorders>
            <w:noWrap/>
            <w:vAlign w:val="bottom"/>
          </w:tcPr>
          <w:p w14:paraId="71D9F6AB" w14:textId="4E14BF59"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0.000</w:t>
            </w:r>
          </w:p>
        </w:tc>
        <w:tc>
          <w:tcPr>
            <w:tcW w:w="393" w:type="pct"/>
            <w:tcBorders>
              <w:top w:val="single" w:sz="4" w:space="0" w:color="auto"/>
              <w:left w:val="single" w:sz="4" w:space="0" w:color="auto"/>
              <w:bottom w:val="single" w:sz="4" w:space="0" w:color="auto"/>
              <w:right w:val="single" w:sz="4" w:space="0" w:color="auto"/>
            </w:tcBorders>
            <w:noWrap/>
            <w:vAlign w:val="bottom"/>
          </w:tcPr>
          <w:p w14:paraId="51D8E3DF" w14:textId="0CFDA814"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-1.06</w:t>
            </w:r>
          </w:p>
        </w:tc>
        <w:tc>
          <w:tcPr>
            <w:tcW w:w="375" w:type="pct"/>
            <w:tcBorders>
              <w:top w:val="single" w:sz="4" w:space="0" w:color="auto"/>
              <w:left w:val="single" w:sz="4" w:space="0" w:color="auto"/>
              <w:bottom w:val="single" w:sz="4" w:space="0" w:color="auto"/>
              <w:right w:val="single" w:sz="4" w:space="0" w:color="auto"/>
            </w:tcBorders>
            <w:noWrap/>
            <w:vAlign w:val="bottom"/>
          </w:tcPr>
          <w:p w14:paraId="08AAD5A1" w14:textId="7A25CC9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0.29</w:t>
            </w:r>
          </w:p>
        </w:tc>
        <w:tc>
          <w:tcPr>
            <w:tcW w:w="385" w:type="pct"/>
            <w:tcBorders>
              <w:top w:val="single" w:sz="4" w:space="0" w:color="auto"/>
              <w:left w:val="single" w:sz="4" w:space="0" w:color="auto"/>
              <w:bottom w:val="single" w:sz="4" w:space="0" w:color="auto"/>
              <w:right w:val="single" w:sz="4" w:space="0" w:color="auto"/>
            </w:tcBorders>
            <w:noWrap/>
            <w:vAlign w:val="bottom"/>
          </w:tcPr>
          <w:p w14:paraId="1CD23F62" w14:textId="1725FDEB"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1.000</w:t>
            </w:r>
          </w:p>
        </w:tc>
        <w:tc>
          <w:tcPr>
            <w:tcW w:w="468" w:type="pct"/>
            <w:tcBorders>
              <w:top w:val="single" w:sz="4" w:space="0" w:color="auto"/>
              <w:left w:val="single" w:sz="4" w:space="0" w:color="auto"/>
              <w:bottom w:val="single" w:sz="4" w:space="0" w:color="auto"/>
              <w:right w:val="single" w:sz="4" w:space="0" w:color="auto"/>
            </w:tcBorders>
            <w:noWrap/>
            <w:vAlign w:val="bottom"/>
          </w:tcPr>
          <w:p w14:paraId="48D6476D" w14:textId="278AE40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1.000</w:t>
            </w:r>
          </w:p>
        </w:tc>
      </w:tr>
      <w:tr w:rsidR="003D3762" w:rsidRPr="004D353A" w14:paraId="24A396F3"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4DD95718" w14:textId="165AE193" w:rsidR="003D3762" w:rsidRPr="003D3762" w:rsidRDefault="003D3762" w:rsidP="003D3762">
            <w:pPr>
              <w:rPr>
                <w:b w:val="0"/>
                <w:bCs w:val="0"/>
                <w:sz w:val="18"/>
                <w:szCs w:val="18"/>
              </w:rPr>
            </w:pPr>
            <w:r w:rsidRPr="003D3762">
              <w:rPr>
                <w:b w:val="0"/>
                <w:bCs w:val="0"/>
                <w:color w:val="000000"/>
                <w:sz w:val="18"/>
                <w:szCs w:val="18"/>
              </w:rPr>
              <w:t>Mortgage debt per household</w:t>
            </w:r>
          </w:p>
        </w:tc>
        <w:tc>
          <w:tcPr>
            <w:tcW w:w="393" w:type="pct"/>
            <w:tcBorders>
              <w:top w:val="single" w:sz="4" w:space="0" w:color="auto"/>
              <w:left w:val="single" w:sz="4" w:space="0" w:color="auto"/>
              <w:bottom w:val="single" w:sz="4" w:space="0" w:color="auto"/>
              <w:right w:val="single" w:sz="4" w:space="0" w:color="auto"/>
            </w:tcBorders>
            <w:noWrap/>
            <w:vAlign w:val="bottom"/>
          </w:tcPr>
          <w:p w14:paraId="25EF1341" w14:textId="378C6FA3"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1.000</w:t>
            </w:r>
          </w:p>
        </w:tc>
        <w:tc>
          <w:tcPr>
            <w:tcW w:w="472" w:type="pct"/>
            <w:tcBorders>
              <w:top w:val="single" w:sz="4" w:space="0" w:color="auto"/>
              <w:left w:val="single" w:sz="4" w:space="0" w:color="auto"/>
              <w:bottom w:val="single" w:sz="4" w:space="0" w:color="auto"/>
              <w:right w:val="single" w:sz="4" w:space="0" w:color="auto"/>
            </w:tcBorders>
            <w:noWrap/>
            <w:vAlign w:val="bottom"/>
          </w:tcPr>
          <w:p w14:paraId="5FC26ECA" w14:textId="21A392A3"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0.000</w:t>
            </w:r>
          </w:p>
        </w:tc>
        <w:tc>
          <w:tcPr>
            <w:tcW w:w="393" w:type="pct"/>
            <w:tcBorders>
              <w:top w:val="single" w:sz="4" w:space="0" w:color="auto"/>
              <w:left w:val="single" w:sz="4" w:space="0" w:color="auto"/>
              <w:bottom w:val="single" w:sz="4" w:space="0" w:color="auto"/>
              <w:right w:val="single" w:sz="4" w:space="0" w:color="auto"/>
            </w:tcBorders>
            <w:noWrap/>
            <w:vAlign w:val="bottom"/>
          </w:tcPr>
          <w:p w14:paraId="412134D8" w14:textId="1B3D499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-2.85</w:t>
            </w:r>
          </w:p>
        </w:tc>
        <w:tc>
          <w:tcPr>
            <w:tcW w:w="375" w:type="pct"/>
            <w:tcBorders>
              <w:top w:val="single" w:sz="4" w:space="0" w:color="auto"/>
              <w:left w:val="single" w:sz="4" w:space="0" w:color="auto"/>
              <w:bottom w:val="single" w:sz="4" w:space="0" w:color="auto"/>
              <w:right w:val="single" w:sz="4" w:space="0" w:color="auto"/>
            </w:tcBorders>
            <w:noWrap/>
            <w:vAlign w:val="bottom"/>
          </w:tcPr>
          <w:p w14:paraId="31F506CE" w14:textId="193BE4B1"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0.004</w:t>
            </w:r>
          </w:p>
        </w:tc>
        <w:tc>
          <w:tcPr>
            <w:tcW w:w="385" w:type="pct"/>
            <w:tcBorders>
              <w:top w:val="single" w:sz="4" w:space="0" w:color="auto"/>
              <w:left w:val="single" w:sz="4" w:space="0" w:color="auto"/>
              <w:bottom w:val="single" w:sz="4" w:space="0" w:color="auto"/>
              <w:right w:val="single" w:sz="4" w:space="0" w:color="auto"/>
            </w:tcBorders>
            <w:noWrap/>
            <w:vAlign w:val="bottom"/>
          </w:tcPr>
          <w:p w14:paraId="2012D97D" w14:textId="29C129CD"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1.000</w:t>
            </w:r>
          </w:p>
        </w:tc>
        <w:tc>
          <w:tcPr>
            <w:tcW w:w="468" w:type="pct"/>
            <w:tcBorders>
              <w:top w:val="single" w:sz="4" w:space="0" w:color="auto"/>
              <w:left w:val="single" w:sz="4" w:space="0" w:color="auto"/>
              <w:bottom w:val="single" w:sz="4" w:space="0" w:color="auto"/>
              <w:right w:val="single" w:sz="4" w:space="0" w:color="auto"/>
            </w:tcBorders>
            <w:noWrap/>
            <w:vAlign w:val="bottom"/>
          </w:tcPr>
          <w:p w14:paraId="0E2E6349" w14:textId="726D6C98"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1.000</w:t>
            </w:r>
          </w:p>
        </w:tc>
      </w:tr>
      <w:tr w:rsidR="003D3762" w:rsidRPr="004D353A" w14:paraId="133A3BD6"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54E60941" w14:textId="1A95CB14" w:rsidR="003D3762" w:rsidRPr="003D3762" w:rsidRDefault="003D3762" w:rsidP="003D3762">
            <w:pPr>
              <w:rPr>
                <w:b w:val="0"/>
                <w:bCs w:val="0"/>
                <w:sz w:val="18"/>
                <w:szCs w:val="18"/>
              </w:rPr>
            </w:pPr>
            <w:r w:rsidRPr="003D3762">
              <w:rPr>
                <w:b w:val="0"/>
                <w:bCs w:val="0"/>
                <w:color w:val="000000"/>
                <w:sz w:val="18"/>
                <w:szCs w:val="18"/>
              </w:rPr>
              <w:t>Population density (persons per hectare)</w:t>
            </w:r>
          </w:p>
        </w:tc>
        <w:tc>
          <w:tcPr>
            <w:tcW w:w="393" w:type="pct"/>
            <w:tcBorders>
              <w:top w:val="single" w:sz="4" w:space="0" w:color="auto"/>
              <w:left w:val="single" w:sz="4" w:space="0" w:color="auto"/>
              <w:bottom w:val="single" w:sz="4" w:space="0" w:color="auto"/>
              <w:right w:val="single" w:sz="4" w:space="0" w:color="auto"/>
            </w:tcBorders>
            <w:noWrap/>
            <w:vAlign w:val="bottom"/>
          </w:tcPr>
          <w:p w14:paraId="17FDF7E1" w14:textId="7F9C8EB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0.984</w:t>
            </w:r>
          </w:p>
        </w:tc>
        <w:tc>
          <w:tcPr>
            <w:tcW w:w="472" w:type="pct"/>
            <w:tcBorders>
              <w:top w:val="single" w:sz="4" w:space="0" w:color="auto"/>
              <w:left w:val="single" w:sz="4" w:space="0" w:color="auto"/>
              <w:bottom w:val="single" w:sz="4" w:space="0" w:color="auto"/>
              <w:right w:val="single" w:sz="4" w:space="0" w:color="auto"/>
            </w:tcBorders>
            <w:noWrap/>
            <w:vAlign w:val="bottom"/>
          </w:tcPr>
          <w:p w14:paraId="051B307C" w14:textId="341CC5A6"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0.008</w:t>
            </w:r>
          </w:p>
        </w:tc>
        <w:tc>
          <w:tcPr>
            <w:tcW w:w="393" w:type="pct"/>
            <w:tcBorders>
              <w:top w:val="single" w:sz="4" w:space="0" w:color="auto"/>
              <w:left w:val="single" w:sz="4" w:space="0" w:color="auto"/>
              <w:bottom w:val="single" w:sz="4" w:space="0" w:color="auto"/>
              <w:right w:val="single" w:sz="4" w:space="0" w:color="auto"/>
            </w:tcBorders>
            <w:noWrap/>
            <w:vAlign w:val="bottom"/>
          </w:tcPr>
          <w:p w14:paraId="7F1FABEE" w14:textId="4ED734D1"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-2.09</w:t>
            </w:r>
          </w:p>
        </w:tc>
        <w:tc>
          <w:tcPr>
            <w:tcW w:w="375" w:type="pct"/>
            <w:tcBorders>
              <w:top w:val="single" w:sz="4" w:space="0" w:color="auto"/>
              <w:left w:val="single" w:sz="4" w:space="0" w:color="auto"/>
              <w:bottom w:val="single" w:sz="4" w:space="0" w:color="auto"/>
              <w:right w:val="single" w:sz="4" w:space="0" w:color="auto"/>
            </w:tcBorders>
            <w:noWrap/>
            <w:vAlign w:val="bottom"/>
          </w:tcPr>
          <w:p w14:paraId="7D13D413" w14:textId="311202A7"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0.037</w:t>
            </w:r>
          </w:p>
        </w:tc>
        <w:tc>
          <w:tcPr>
            <w:tcW w:w="385" w:type="pct"/>
            <w:tcBorders>
              <w:top w:val="single" w:sz="4" w:space="0" w:color="auto"/>
              <w:left w:val="single" w:sz="4" w:space="0" w:color="auto"/>
              <w:bottom w:val="single" w:sz="4" w:space="0" w:color="auto"/>
              <w:right w:val="single" w:sz="4" w:space="0" w:color="auto"/>
            </w:tcBorders>
            <w:noWrap/>
            <w:vAlign w:val="bottom"/>
          </w:tcPr>
          <w:p w14:paraId="7CBBDE9A" w14:textId="1AFC9A8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0.969</w:t>
            </w:r>
          </w:p>
        </w:tc>
        <w:tc>
          <w:tcPr>
            <w:tcW w:w="468" w:type="pct"/>
            <w:tcBorders>
              <w:top w:val="single" w:sz="4" w:space="0" w:color="auto"/>
              <w:left w:val="single" w:sz="4" w:space="0" w:color="auto"/>
              <w:bottom w:val="single" w:sz="4" w:space="0" w:color="auto"/>
              <w:right w:val="single" w:sz="4" w:space="0" w:color="auto"/>
            </w:tcBorders>
            <w:noWrap/>
            <w:vAlign w:val="bottom"/>
          </w:tcPr>
          <w:p w14:paraId="4E57A3F8" w14:textId="67C03EE5"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0.999</w:t>
            </w:r>
          </w:p>
        </w:tc>
      </w:tr>
      <w:tr w:rsidR="003D3762" w:rsidRPr="004D353A" w14:paraId="39D5424F"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3C1632F2" w14:textId="5539D6F1" w:rsidR="003D3762" w:rsidRPr="003D3762" w:rsidRDefault="003D3762" w:rsidP="003D3762">
            <w:pPr>
              <w:rPr>
                <w:b w:val="0"/>
                <w:bCs w:val="0"/>
                <w:sz w:val="18"/>
                <w:szCs w:val="18"/>
              </w:rPr>
            </w:pPr>
            <w:r w:rsidRPr="003D3762">
              <w:rPr>
                <w:b w:val="0"/>
                <w:bCs w:val="0"/>
                <w:color w:val="000000"/>
                <w:sz w:val="18"/>
                <w:szCs w:val="18"/>
              </w:rPr>
              <w:t xml:space="preserve">Anti-social </w:t>
            </w:r>
            <w:proofErr w:type="spellStart"/>
            <w:r w:rsidRPr="003D3762">
              <w:rPr>
                <w:b w:val="0"/>
                <w:bCs w:val="0"/>
                <w:color w:val="000000"/>
                <w:sz w:val="18"/>
                <w:szCs w:val="18"/>
              </w:rPr>
              <w:t>behaviour</w:t>
            </w:r>
            <w:proofErr w:type="spellEnd"/>
          </w:p>
        </w:tc>
        <w:tc>
          <w:tcPr>
            <w:tcW w:w="393" w:type="pct"/>
            <w:tcBorders>
              <w:top w:val="single" w:sz="4" w:space="0" w:color="auto"/>
              <w:left w:val="single" w:sz="4" w:space="0" w:color="auto"/>
              <w:bottom w:val="single" w:sz="4" w:space="0" w:color="auto"/>
              <w:right w:val="single" w:sz="4" w:space="0" w:color="auto"/>
            </w:tcBorders>
            <w:noWrap/>
            <w:vAlign w:val="bottom"/>
          </w:tcPr>
          <w:p w14:paraId="3AAD3C37" w14:textId="26F7D024"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0.973</w:t>
            </w:r>
          </w:p>
        </w:tc>
        <w:tc>
          <w:tcPr>
            <w:tcW w:w="472" w:type="pct"/>
            <w:tcBorders>
              <w:top w:val="single" w:sz="4" w:space="0" w:color="auto"/>
              <w:left w:val="single" w:sz="4" w:space="0" w:color="auto"/>
              <w:bottom w:val="single" w:sz="4" w:space="0" w:color="auto"/>
              <w:right w:val="single" w:sz="4" w:space="0" w:color="auto"/>
            </w:tcBorders>
            <w:noWrap/>
            <w:vAlign w:val="bottom"/>
          </w:tcPr>
          <w:p w14:paraId="22EBDCB4" w14:textId="0BF8C0D6"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0.006</w:t>
            </w:r>
          </w:p>
        </w:tc>
        <w:tc>
          <w:tcPr>
            <w:tcW w:w="393" w:type="pct"/>
            <w:tcBorders>
              <w:top w:val="single" w:sz="4" w:space="0" w:color="auto"/>
              <w:left w:val="single" w:sz="4" w:space="0" w:color="auto"/>
              <w:bottom w:val="single" w:sz="4" w:space="0" w:color="auto"/>
              <w:right w:val="single" w:sz="4" w:space="0" w:color="auto"/>
            </w:tcBorders>
            <w:noWrap/>
            <w:vAlign w:val="bottom"/>
          </w:tcPr>
          <w:p w14:paraId="4D7EAD3F" w14:textId="610A775B"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-4.63</w:t>
            </w:r>
          </w:p>
        </w:tc>
        <w:tc>
          <w:tcPr>
            <w:tcW w:w="375" w:type="pct"/>
            <w:tcBorders>
              <w:top w:val="single" w:sz="4" w:space="0" w:color="auto"/>
              <w:left w:val="single" w:sz="4" w:space="0" w:color="auto"/>
              <w:bottom w:val="single" w:sz="4" w:space="0" w:color="auto"/>
              <w:right w:val="single" w:sz="4" w:space="0" w:color="auto"/>
            </w:tcBorders>
            <w:noWrap/>
            <w:vAlign w:val="bottom"/>
          </w:tcPr>
          <w:p w14:paraId="0FC92B26" w14:textId="6991BEF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3388FB71" w14:textId="1756F813"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0.962</w:t>
            </w:r>
          </w:p>
        </w:tc>
        <w:tc>
          <w:tcPr>
            <w:tcW w:w="468" w:type="pct"/>
            <w:tcBorders>
              <w:top w:val="single" w:sz="4" w:space="0" w:color="auto"/>
              <w:left w:val="single" w:sz="4" w:space="0" w:color="auto"/>
              <w:bottom w:val="single" w:sz="4" w:space="0" w:color="auto"/>
              <w:right w:val="single" w:sz="4" w:space="0" w:color="auto"/>
            </w:tcBorders>
            <w:noWrap/>
            <w:vAlign w:val="bottom"/>
          </w:tcPr>
          <w:p w14:paraId="2922DF17" w14:textId="7E77A02E"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0.984</w:t>
            </w:r>
          </w:p>
        </w:tc>
      </w:tr>
      <w:tr w:rsidR="003D3762" w:rsidRPr="004D353A" w14:paraId="7FFE3D96"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455D9914" w14:textId="4E48F627" w:rsidR="003D3762" w:rsidRPr="003D3762" w:rsidRDefault="003D3762" w:rsidP="003D3762">
            <w:pPr>
              <w:rPr>
                <w:b w:val="0"/>
                <w:bCs w:val="0"/>
                <w:sz w:val="18"/>
                <w:szCs w:val="18"/>
              </w:rPr>
            </w:pPr>
            <w:r w:rsidRPr="003D3762">
              <w:rPr>
                <w:b w:val="0"/>
                <w:bCs w:val="0"/>
                <w:color w:val="000000"/>
                <w:sz w:val="18"/>
                <w:szCs w:val="18"/>
              </w:rPr>
              <w:t>Postcodes that are off the gas grid network</w:t>
            </w:r>
          </w:p>
        </w:tc>
        <w:tc>
          <w:tcPr>
            <w:tcW w:w="393" w:type="pct"/>
            <w:tcBorders>
              <w:top w:val="single" w:sz="4" w:space="0" w:color="auto"/>
              <w:left w:val="single" w:sz="4" w:space="0" w:color="auto"/>
              <w:bottom w:val="single" w:sz="4" w:space="0" w:color="auto"/>
              <w:right w:val="single" w:sz="4" w:space="0" w:color="auto"/>
            </w:tcBorders>
            <w:noWrap/>
            <w:vAlign w:val="bottom"/>
          </w:tcPr>
          <w:p w14:paraId="32C67FF0" w14:textId="6018104E"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0.955</w:t>
            </w:r>
          </w:p>
        </w:tc>
        <w:tc>
          <w:tcPr>
            <w:tcW w:w="472" w:type="pct"/>
            <w:tcBorders>
              <w:top w:val="single" w:sz="4" w:space="0" w:color="auto"/>
              <w:left w:val="single" w:sz="4" w:space="0" w:color="auto"/>
              <w:bottom w:val="single" w:sz="4" w:space="0" w:color="auto"/>
              <w:right w:val="single" w:sz="4" w:space="0" w:color="auto"/>
            </w:tcBorders>
            <w:noWrap/>
            <w:vAlign w:val="bottom"/>
          </w:tcPr>
          <w:p w14:paraId="0426F4B4" w14:textId="16366DE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0.015</w:t>
            </w:r>
          </w:p>
        </w:tc>
        <w:tc>
          <w:tcPr>
            <w:tcW w:w="393" w:type="pct"/>
            <w:tcBorders>
              <w:top w:val="single" w:sz="4" w:space="0" w:color="auto"/>
              <w:left w:val="single" w:sz="4" w:space="0" w:color="auto"/>
              <w:bottom w:val="single" w:sz="4" w:space="0" w:color="auto"/>
              <w:right w:val="single" w:sz="4" w:space="0" w:color="auto"/>
            </w:tcBorders>
            <w:noWrap/>
            <w:vAlign w:val="bottom"/>
          </w:tcPr>
          <w:p w14:paraId="6586610D" w14:textId="4122400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-2.99</w:t>
            </w:r>
          </w:p>
        </w:tc>
        <w:tc>
          <w:tcPr>
            <w:tcW w:w="375" w:type="pct"/>
            <w:tcBorders>
              <w:top w:val="single" w:sz="4" w:space="0" w:color="auto"/>
              <w:left w:val="single" w:sz="4" w:space="0" w:color="auto"/>
              <w:bottom w:val="single" w:sz="4" w:space="0" w:color="auto"/>
              <w:right w:val="single" w:sz="4" w:space="0" w:color="auto"/>
            </w:tcBorders>
            <w:noWrap/>
            <w:vAlign w:val="bottom"/>
          </w:tcPr>
          <w:p w14:paraId="6F460A62" w14:textId="59FE5C73"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0.003</w:t>
            </w:r>
          </w:p>
        </w:tc>
        <w:tc>
          <w:tcPr>
            <w:tcW w:w="385" w:type="pct"/>
            <w:tcBorders>
              <w:top w:val="single" w:sz="4" w:space="0" w:color="auto"/>
              <w:left w:val="single" w:sz="4" w:space="0" w:color="auto"/>
              <w:bottom w:val="single" w:sz="4" w:space="0" w:color="auto"/>
              <w:right w:val="single" w:sz="4" w:space="0" w:color="auto"/>
            </w:tcBorders>
            <w:noWrap/>
            <w:vAlign w:val="bottom"/>
          </w:tcPr>
          <w:p w14:paraId="6D09498F" w14:textId="0E2D8BCF"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0.927</w:t>
            </w:r>
          </w:p>
        </w:tc>
        <w:tc>
          <w:tcPr>
            <w:tcW w:w="468" w:type="pct"/>
            <w:tcBorders>
              <w:top w:val="single" w:sz="4" w:space="0" w:color="auto"/>
              <w:left w:val="single" w:sz="4" w:space="0" w:color="auto"/>
              <w:bottom w:val="single" w:sz="4" w:space="0" w:color="auto"/>
              <w:right w:val="single" w:sz="4" w:space="0" w:color="auto"/>
            </w:tcBorders>
            <w:noWrap/>
            <w:vAlign w:val="bottom"/>
          </w:tcPr>
          <w:p w14:paraId="1857EBD0" w14:textId="04594A7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0.984</w:t>
            </w:r>
          </w:p>
        </w:tc>
      </w:tr>
      <w:tr w:rsidR="003D3762" w:rsidRPr="004D353A" w14:paraId="25693EE9"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578D9814" w14:textId="708B390E" w:rsidR="003D3762" w:rsidRPr="003D3762" w:rsidRDefault="003D3762" w:rsidP="003D3762">
            <w:pPr>
              <w:rPr>
                <w:b w:val="0"/>
                <w:bCs w:val="0"/>
                <w:sz w:val="18"/>
                <w:szCs w:val="18"/>
              </w:rPr>
            </w:pPr>
            <w:r w:rsidRPr="003D3762">
              <w:rPr>
                <w:b w:val="0"/>
                <w:bCs w:val="0"/>
                <w:color w:val="000000"/>
                <w:sz w:val="18"/>
                <w:szCs w:val="18"/>
              </w:rPr>
              <w:t>All householders (aged 16+) have English as a main language</w:t>
            </w:r>
          </w:p>
        </w:tc>
        <w:tc>
          <w:tcPr>
            <w:tcW w:w="393" w:type="pct"/>
            <w:tcBorders>
              <w:top w:val="single" w:sz="4" w:space="0" w:color="auto"/>
              <w:left w:val="single" w:sz="4" w:space="0" w:color="auto"/>
              <w:bottom w:val="single" w:sz="4" w:space="0" w:color="auto"/>
              <w:right w:val="single" w:sz="4" w:space="0" w:color="auto"/>
            </w:tcBorders>
            <w:noWrap/>
            <w:vAlign w:val="bottom"/>
          </w:tcPr>
          <w:p w14:paraId="6E102961" w14:textId="2818CF44"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0.908</w:t>
            </w:r>
          </w:p>
        </w:tc>
        <w:tc>
          <w:tcPr>
            <w:tcW w:w="472" w:type="pct"/>
            <w:tcBorders>
              <w:top w:val="single" w:sz="4" w:space="0" w:color="auto"/>
              <w:left w:val="single" w:sz="4" w:space="0" w:color="auto"/>
              <w:bottom w:val="single" w:sz="4" w:space="0" w:color="auto"/>
              <w:right w:val="single" w:sz="4" w:space="0" w:color="auto"/>
            </w:tcBorders>
            <w:noWrap/>
            <w:vAlign w:val="bottom"/>
          </w:tcPr>
          <w:p w14:paraId="7D106093" w14:textId="5AD41CD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0.050</w:t>
            </w:r>
          </w:p>
        </w:tc>
        <w:tc>
          <w:tcPr>
            <w:tcW w:w="393" w:type="pct"/>
            <w:tcBorders>
              <w:top w:val="single" w:sz="4" w:space="0" w:color="auto"/>
              <w:left w:val="single" w:sz="4" w:space="0" w:color="auto"/>
              <w:bottom w:val="single" w:sz="4" w:space="0" w:color="auto"/>
              <w:right w:val="single" w:sz="4" w:space="0" w:color="auto"/>
            </w:tcBorders>
            <w:noWrap/>
            <w:vAlign w:val="bottom"/>
          </w:tcPr>
          <w:p w14:paraId="7855EECB" w14:textId="1664878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-1.75</w:t>
            </w:r>
          </w:p>
        </w:tc>
        <w:tc>
          <w:tcPr>
            <w:tcW w:w="375" w:type="pct"/>
            <w:tcBorders>
              <w:top w:val="single" w:sz="4" w:space="0" w:color="auto"/>
              <w:left w:val="single" w:sz="4" w:space="0" w:color="auto"/>
              <w:bottom w:val="single" w:sz="4" w:space="0" w:color="auto"/>
              <w:right w:val="single" w:sz="4" w:space="0" w:color="auto"/>
            </w:tcBorders>
            <w:noWrap/>
            <w:vAlign w:val="bottom"/>
          </w:tcPr>
          <w:p w14:paraId="13B6EAA5" w14:textId="29B125A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0.08</w:t>
            </w:r>
          </w:p>
        </w:tc>
        <w:tc>
          <w:tcPr>
            <w:tcW w:w="385" w:type="pct"/>
            <w:tcBorders>
              <w:top w:val="single" w:sz="4" w:space="0" w:color="auto"/>
              <w:left w:val="single" w:sz="4" w:space="0" w:color="auto"/>
              <w:bottom w:val="single" w:sz="4" w:space="0" w:color="auto"/>
              <w:right w:val="single" w:sz="4" w:space="0" w:color="auto"/>
            </w:tcBorders>
            <w:noWrap/>
            <w:vAlign w:val="bottom"/>
          </w:tcPr>
          <w:p w14:paraId="6B546A05" w14:textId="0BFF6EE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0.815</w:t>
            </w:r>
          </w:p>
        </w:tc>
        <w:tc>
          <w:tcPr>
            <w:tcW w:w="468" w:type="pct"/>
            <w:tcBorders>
              <w:top w:val="single" w:sz="4" w:space="0" w:color="auto"/>
              <w:left w:val="single" w:sz="4" w:space="0" w:color="auto"/>
              <w:bottom w:val="single" w:sz="4" w:space="0" w:color="auto"/>
              <w:right w:val="single" w:sz="4" w:space="0" w:color="auto"/>
            </w:tcBorders>
            <w:noWrap/>
            <w:vAlign w:val="bottom"/>
          </w:tcPr>
          <w:p w14:paraId="207436DB" w14:textId="614EAD4B"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1.012</w:t>
            </w:r>
          </w:p>
        </w:tc>
      </w:tr>
      <w:tr w:rsidR="003D3762" w:rsidRPr="004D353A" w14:paraId="56D868F4"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519F31D5" w14:textId="225B0F7B" w:rsidR="003D3762" w:rsidRPr="003D3762" w:rsidRDefault="003D3762" w:rsidP="003D3762">
            <w:pPr>
              <w:rPr>
                <w:b w:val="0"/>
                <w:bCs w:val="0"/>
                <w:sz w:val="18"/>
                <w:szCs w:val="18"/>
              </w:rPr>
            </w:pPr>
            <w:r w:rsidRPr="003D3762">
              <w:rPr>
                <w:b w:val="0"/>
                <w:bCs w:val="0"/>
                <w:color w:val="000000"/>
                <w:sz w:val="18"/>
                <w:szCs w:val="18"/>
              </w:rPr>
              <w:t>Current average energy efficiency of domestic buildings</w:t>
            </w:r>
          </w:p>
        </w:tc>
        <w:tc>
          <w:tcPr>
            <w:tcW w:w="393" w:type="pct"/>
            <w:tcBorders>
              <w:top w:val="single" w:sz="4" w:space="0" w:color="auto"/>
              <w:left w:val="single" w:sz="4" w:space="0" w:color="auto"/>
              <w:bottom w:val="single" w:sz="4" w:space="0" w:color="auto"/>
              <w:right w:val="single" w:sz="4" w:space="0" w:color="auto"/>
            </w:tcBorders>
            <w:noWrap/>
            <w:vAlign w:val="bottom"/>
          </w:tcPr>
          <w:p w14:paraId="63479344" w14:textId="1A6DB77B"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0.875</w:t>
            </w:r>
          </w:p>
        </w:tc>
        <w:tc>
          <w:tcPr>
            <w:tcW w:w="472" w:type="pct"/>
            <w:tcBorders>
              <w:top w:val="single" w:sz="4" w:space="0" w:color="auto"/>
              <w:left w:val="single" w:sz="4" w:space="0" w:color="auto"/>
              <w:bottom w:val="single" w:sz="4" w:space="0" w:color="auto"/>
              <w:right w:val="single" w:sz="4" w:space="0" w:color="auto"/>
            </w:tcBorders>
            <w:noWrap/>
            <w:vAlign w:val="bottom"/>
          </w:tcPr>
          <w:p w14:paraId="4BE97E34" w14:textId="7E249C55"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0.046</w:t>
            </w:r>
          </w:p>
        </w:tc>
        <w:tc>
          <w:tcPr>
            <w:tcW w:w="393" w:type="pct"/>
            <w:tcBorders>
              <w:top w:val="single" w:sz="4" w:space="0" w:color="auto"/>
              <w:left w:val="single" w:sz="4" w:space="0" w:color="auto"/>
              <w:bottom w:val="single" w:sz="4" w:space="0" w:color="auto"/>
              <w:right w:val="single" w:sz="4" w:space="0" w:color="auto"/>
            </w:tcBorders>
            <w:noWrap/>
            <w:vAlign w:val="bottom"/>
          </w:tcPr>
          <w:p w14:paraId="579B7D50" w14:textId="5D8E60F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-2.55</w:t>
            </w:r>
          </w:p>
        </w:tc>
        <w:tc>
          <w:tcPr>
            <w:tcW w:w="375" w:type="pct"/>
            <w:tcBorders>
              <w:top w:val="single" w:sz="4" w:space="0" w:color="auto"/>
              <w:left w:val="single" w:sz="4" w:space="0" w:color="auto"/>
              <w:bottom w:val="single" w:sz="4" w:space="0" w:color="auto"/>
              <w:right w:val="single" w:sz="4" w:space="0" w:color="auto"/>
            </w:tcBorders>
            <w:noWrap/>
            <w:vAlign w:val="bottom"/>
          </w:tcPr>
          <w:p w14:paraId="03233989" w14:textId="3A2BAA58"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0.011</w:t>
            </w:r>
          </w:p>
        </w:tc>
        <w:tc>
          <w:tcPr>
            <w:tcW w:w="385" w:type="pct"/>
            <w:tcBorders>
              <w:top w:val="single" w:sz="4" w:space="0" w:color="auto"/>
              <w:left w:val="single" w:sz="4" w:space="0" w:color="auto"/>
              <w:bottom w:val="single" w:sz="4" w:space="0" w:color="auto"/>
              <w:right w:val="single" w:sz="4" w:space="0" w:color="auto"/>
            </w:tcBorders>
            <w:noWrap/>
            <w:vAlign w:val="bottom"/>
          </w:tcPr>
          <w:p w14:paraId="7962FD94" w14:textId="3832C30B"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0.790</w:t>
            </w:r>
          </w:p>
        </w:tc>
        <w:tc>
          <w:tcPr>
            <w:tcW w:w="468" w:type="pct"/>
            <w:tcBorders>
              <w:top w:val="single" w:sz="4" w:space="0" w:color="auto"/>
              <w:left w:val="single" w:sz="4" w:space="0" w:color="auto"/>
              <w:bottom w:val="single" w:sz="4" w:space="0" w:color="auto"/>
              <w:right w:val="single" w:sz="4" w:space="0" w:color="auto"/>
            </w:tcBorders>
            <w:noWrap/>
            <w:vAlign w:val="bottom"/>
          </w:tcPr>
          <w:p w14:paraId="65A71B8A" w14:textId="0E714501"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0.970</w:t>
            </w:r>
          </w:p>
        </w:tc>
      </w:tr>
      <w:tr w:rsidR="003D3762" w:rsidRPr="004D353A" w14:paraId="07E98629"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52ED70C3" w14:textId="2A710032" w:rsidR="003D3762" w:rsidRPr="003D3762" w:rsidRDefault="003D3762" w:rsidP="003D3762">
            <w:pPr>
              <w:rPr>
                <w:b w:val="0"/>
                <w:bCs w:val="0"/>
                <w:sz w:val="18"/>
                <w:szCs w:val="18"/>
              </w:rPr>
            </w:pPr>
            <w:r w:rsidRPr="003D3762">
              <w:rPr>
                <w:b w:val="0"/>
                <w:bCs w:val="0"/>
                <w:color w:val="000000"/>
                <w:sz w:val="18"/>
                <w:szCs w:val="18"/>
              </w:rPr>
              <w:t>Industry: Accommodation and food service activities</w:t>
            </w:r>
          </w:p>
        </w:tc>
        <w:tc>
          <w:tcPr>
            <w:tcW w:w="393" w:type="pct"/>
            <w:tcBorders>
              <w:top w:val="single" w:sz="4" w:space="0" w:color="auto"/>
              <w:left w:val="single" w:sz="4" w:space="0" w:color="auto"/>
              <w:bottom w:val="single" w:sz="4" w:space="0" w:color="auto"/>
              <w:right w:val="single" w:sz="4" w:space="0" w:color="auto"/>
            </w:tcBorders>
            <w:noWrap/>
            <w:vAlign w:val="bottom"/>
          </w:tcPr>
          <w:p w14:paraId="7A0BD3FC" w14:textId="4C2146EB"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0.843</w:t>
            </w:r>
          </w:p>
        </w:tc>
        <w:tc>
          <w:tcPr>
            <w:tcW w:w="472" w:type="pct"/>
            <w:tcBorders>
              <w:top w:val="single" w:sz="4" w:space="0" w:color="auto"/>
              <w:left w:val="single" w:sz="4" w:space="0" w:color="auto"/>
              <w:bottom w:val="single" w:sz="4" w:space="0" w:color="auto"/>
              <w:right w:val="single" w:sz="4" w:space="0" w:color="auto"/>
            </w:tcBorders>
            <w:noWrap/>
            <w:vAlign w:val="bottom"/>
          </w:tcPr>
          <w:p w14:paraId="32D06102" w14:textId="33AA8D86"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0.045</w:t>
            </w:r>
          </w:p>
        </w:tc>
        <w:tc>
          <w:tcPr>
            <w:tcW w:w="393" w:type="pct"/>
            <w:tcBorders>
              <w:top w:val="single" w:sz="4" w:space="0" w:color="auto"/>
              <w:left w:val="single" w:sz="4" w:space="0" w:color="auto"/>
              <w:bottom w:val="single" w:sz="4" w:space="0" w:color="auto"/>
              <w:right w:val="single" w:sz="4" w:space="0" w:color="auto"/>
            </w:tcBorders>
            <w:noWrap/>
            <w:vAlign w:val="bottom"/>
          </w:tcPr>
          <w:p w14:paraId="7F266A4E" w14:textId="31041397"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-3.18</w:t>
            </w:r>
          </w:p>
        </w:tc>
        <w:tc>
          <w:tcPr>
            <w:tcW w:w="375" w:type="pct"/>
            <w:tcBorders>
              <w:top w:val="single" w:sz="4" w:space="0" w:color="auto"/>
              <w:left w:val="single" w:sz="4" w:space="0" w:color="auto"/>
              <w:bottom w:val="single" w:sz="4" w:space="0" w:color="auto"/>
              <w:right w:val="single" w:sz="4" w:space="0" w:color="auto"/>
            </w:tcBorders>
            <w:noWrap/>
            <w:vAlign w:val="bottom"/>
          </w:tcPr>
          <w:p w14:paraId="7FC937B4" w14:textId="04704D65"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0.001</w:t>
            </w:r>
          </w:p>
        </w:tc>
        <w:tc>
          <w:tcPr>
            <w:tcW w:w="385" w:type="pct"/>
            <w:tcBorders>
              <w:top w:val="single" w:sz="4" w:space="0" w:color="auto"/>
              <w:left w:val="single" w:sz="4" w:space="0" w:color="auto"/>
              <w:bottom w:val="single" w:sz="4" w:space="0" w:color="auto"/>
              <w:right w:val="single" w:sz="4" w:space="0" w:color="auto"/>
            </w:tcBorders>
            <w:noWrap/>
            <w:vAlign w:val="bottom"/>
          </w:tcPr>
          <w:p w14:paraId="656B00E1" w14:textId="6355BE62"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0.759</w:t>
            </w:r>
          </w:p>
        </w:tc>
        <w:tc>
          <w:tcPr>
            <w:tcW w:w="468" w:type="pct"/>
            <w:tcBorders>
              <w:top w:val="single" w:sz="4" w:space="0" w:color="auto"/>
              <w:left w:val="single" w:sz="4" w:space="0" w:color="auto"/>
              <w:bottom w:val="single" w:sz="4" w:space="0" w:color="auto"/>
              <w:right w:val="single" w:sz="4" w:space="0" w:color="auto"/>
            </w:tcBorders>
            <w:noWrap/>
            <w:vAlign w:val="bottom"/>
          </w:tcPr>
          <w:p w14:paraId="550DA7C1" w14:textId="6B759342"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0.937</w:t>
            </w:r>
          </w:p>
        </w:tc>
      </w:tr>
      <w:tr w:rsidR="003D3762" w:rsidRPr="004D353A" w14:paraId="04D4F914"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026970E9" w14:textId="189F4D21" w:rsidR="003D3762" w:rsidRPr="003D3762" w:rsidRDefault="003D3762" w:rsidP="003D3762">
            <w:pPr>
              <w:rPr>
                <w:b w:val="0"/>
                <w:bCs w:val="0"/>
                <w:sz w:val="18"/>
                <w:szCs w:val="18"/>
              </w:rPr>
            </w:pPr>
            <w:r w:rsidRPr="003D3762">
              <w:rPr>
                <w:b w:val="0"/>
                <w:bCs w:val="0"/>
                <w:color w:val="000000"/>
                <w:sz w:val="18"/>
                <w:szCs w:val="18"/>
              </w:rPr>
              <w:t>Industry: Wholesale and retail trade; repair of motor vehicles and motor cycles</w:t>
            </w:r>
          </w:p>
        </w:tc>
        <w:tc>
          <w:tcPr>
            <w:tcW w:w="393" w:type="pct"/>
            <w:tcBorders>
              <w:top w:val="single" w:sz="4" w:space="0" w:color="auto"/>
              <w:left w:val="single" w:sz="4" w:space="0" w:color="auto"/>
              <w:bottom w:val="single" w:sz="4" w:space="0" w:color="auto"/>
              <w:right w:val="single" w:sz="4" w:space="0" w:color="auto"/>
            </w:tcBorders>
            <w:noWrap/>
            <w:vAlign w:val="bottom"/>
          </w:tcPr>
          <w:p w14:paraId="221D462E" w14:textId="325EB219"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0.822</w:t>
            </w:r>
          </w:p>
        </w:tc>
        <w:tc>
          <w:tcPr>
            <w:tcW w:w="472" w:type="pct"/>
            <w:tcBorders>
              <w:top w:val="single" w:sz="4" w:space="0" w:color="auto"/>
              <w:left w:val="single" w:sz="4" w:space="0" w:color="auto"/>
              <w:bottom w:val="single" w:sz="4" w:space="0" w:color="auto"/>
              <w:right w:val="single" w:sz="4" w:space="0" w:color="auto"/>
            </w:tcBorders>
            <w:noWrap/>
            <w:vAlign w:val="bottom"/>
          </w:tcPr>
          <w:p w14:paraId="581A1AA5" w14:textId="75E32B04"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0.047</w:t>
            </w:r>
          </w:p>
        </w:tc>
        <w:tc>
          <w:tcPr>
            <w:tcW w:w="393" w:type="pct"/>
            <w:tcBorders>
              <w:top w:val="single" w:sz="4" w:space="0" w:color="auto"/>
              <w:left w:val="single" w:sz="4" w:space="0" w:color="auto"/>
              <w:bottom w:val="single" w:sz="4" w:space="0" w:color="auto"/>
              <w:right w:val="single" w:sz="4" w:space="0" w:color="auto"/>
            </w:tcBorders>
            <w:noWrap/>
            <w:vAlign w:val="bottom"/>
          </w:tcPr>
          <w:p w14:paraId="7C7D04CE" w14:textId="26F632A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-3.46</w:t>
            </w:r>
          </w:p>
        </w:tc>
        <w:tc>
          <w:tcPr>
            <w:tcW w:w="375" w:type="pct"/>
            <w:tcBorders>
              <w:top w:val="single" w:sz="4" w:space="0" w:color="auto"/>
              <w:left w:val="single" w:sz="4" w:space="0" w:color="auto"/>
              <w:bottom w:val="single" w:sz="4" w:space="0" w:color="auto"/>
              <w:right w:val="single" w:sz="4" w:space="0" w:color="auto"/>
            </w:tcBorders>
            <w:noWrap/>
            <w:vAlign w:val="bottom"/>
          </w:tcPr>
          <w:p w14:paraId="632E3D02" w14:textId="4E026120"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0.001</w:t>
            </w:r>
          </w:p>
        </w:tc>
        <w:tc>
          <w:tcPr>
            <w:tcW w:w="385" w:type="pct"/>
            <w:tcBorders>
              <w:top w:val="single" w:sz="4" w:space="0" w:color="auto"/>
              <w:left w:val="single" w:sz="4" w:space="0" w:color="auto"/>
              <w:bottom w:val="single" w:sz="4" w:space="0" w:color="auto"/>
              <w:right w:val="single" w:sz="4" w:space="0" w:color="auto"/>
            </w:tcBorders>
            <w:noWrap/>
            <w:vAlign w:val="bottom"/>
          </w:tcPr>
          <w:p w14:paraId="7FE75E66" w14:textId="4C54D966"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0.736</w:t>
            </w:r>
          </w:p>
        </w:tc>
        <w:tc>
          <w:tcPr>
            <w:tcW w:w="468" w:type="pct"/>
            <w:tcBorders>
              <w:top w:val="single" w:sz="4" w:space="0" w:color="auto"/>
              <w:left w:val="single" w:sz="4" w:space="0" w:color="auto"/>
              <w:bottom w:val="single" w:sz="4" w:space="0" w:color="auto"/>
              <w:right w:val="single" w:sz="4" w:space="0" w:color="auto"/>
            </w:tcBorders>
            <w:noWrap/>
            <w:vAlign w:val="bottom"/>
          </w:tcPr>
          <w:p w14:paraId="6A1D65BD" w14:textId="6E24F08C"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0.919</w:t>
            </w:r>
          </w:p>
        </w:tc>
      </w:tr>
      <w:tr w:rsidR="003D3762" w:rsidRPr="004D353A" w14:paraId="623EAA6E"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79641994" w14:textId="1A2D2A8A" w:rsidR="003D3762" w:rsidRPr="003D3762" w:rsidRDefault="003D3762" w:rsidP="003D3762">
            <w:pPr>
              <w:rPr>
                <w:b w:val="0"/>
                <w:bCs w:val="0"/>
                <w:sz w:val="18"/>
                <w:szCs w:val="18"/>
              </w:rPr>
            </w:pPr>
            <w:r w:rsidRPr="003D3762">
              <w:rPr>
                <w:b w:val="0"/>
                <w:bCs w:val="0"/>
                <w:color w:val="000000"/>
                <w:sz w:val="18"/>
                <w:szCs w:val="18"/>
              </w:rPr>
              <w:t>No people in household have English as a main language</w:t>
            </w:r>
          </w:p>
        </w:tc>
        <w:tc>
          <w:tcPr>
            <w:tcW w:w="393" w:type="pct"/>
            <w:tcBorders>
              <w:top w:val="single" w:sz="4" w:space="0" w:color="auto"/>
              <w:left w:val="single" w:sz="4" w:space="0" w:color="auto"/>
              <w:bottom w:val="single" w:sz="4" w:space="0" w:color="auto"/>
              <w:right w:val="single" w:sz="4" w:space="0" w:color="auto"/>
            </w:tcBorders>
            <w:noWrap/>
            <w:vAlign w:val="bottom"/>
          </w:tcPr>
          <w:p w14:paraId="10362E24" w14:textId="51C5B764"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0.807</w:t>
            </w:r>
          </w:p>
        </w:tc>
        <w:tc>
          <w:tcPr>
            <w:tcW w:w="472" w:type="pct"/>
            <w:tcBorders>
              <w:top w:val="single" w:sz="4" w:space="0" w:color="auto"/>
              <w:left w:val="single" w:sz="4" w:space="0" w:color="auto"/>
              <w:bottom w:val="single" w:sz="4" w:space="0" w:color="auto"/>
              <w:right w:val="single" w:sz="4" w:space="0" w:color="auto"/>
            </w:tcBorders>
            <w:noWrap/>
            <w:vAlign w:val="bottom"/>
          </w:tcPr>
          <w:p w14:paraId="0994D9CC" w14:textId="29194734"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0.074</w:t>
            </w:r>
          </w:p>
        </w:tc>
        <w:tc>
          <w:tcPr>
            <w:tcW w:w="393" w:type="pct"/>
            <w:tcBorders>
              <w:top w:val="single" w:sz="4" w:space="0" w:color="auto"/>
              <w:left w:val="single" w:sz="4" w:space="0" w:color="auto"/>
              <w:bottom w:val="single" w:sz="4" w:space="0" w:color="auto"/>
              <w:right w:val="single" w:sz="4" w:space="0" w:color="auto"/>
            </w:tcBorders>
            <w:noWrap/>
            <w:vAlign w:val="bottom"/>
          </w:tcPr>
          <w:p w14:paraId="2E741BDC" w14:textId="49CD617E"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-2.33</w:t>
            </w:r>
          </w:p>
        </w:tc>
        <w:tc>
          <w:tcPr>
            <w:tcW w:w="375" w:type="pct"/>
            <w:tcBorders>
              <w:top w:val="single" w:sz="4" w:space="0" w:color="auto"/>
              <w:left w:val="single" w:sz="4" w:space="0" w:color="auto"/>
              <w:bottom w:val="single" w:sz="4" w:space="0" w:color="auto"/>
              <w:right w:val="single" w:sz="4" w:space="0" w:color="auto"/>
            </w:tcBorders>
            <w:noWrap/>
            <w:vAlign w:val="bottom"/>
          </w:tcPr>
          <w:p w14:paraId="375D9BF7" w14:textId="6722032D"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0.02</w:t>
            </w:r>
          </w:p>
        </w:tc>
        <w:tc>
          <w:tcPr>
            <w:tcW w:w="385" w:type="pct"/>
            <w:tcBorders>
              <w:top w:val="single" w:sz="4" w:space="0" w:color="auto"/>
              <w:left w:val="single" w:sz="4" w:space="0" w:color="auto"/>
              <w:bottom w:val="single" w:sz="4" w:space="0" w:color="auto"/>
              <w:right w:val="single" w:sz="4" w:space="0" w:color="auto"/>
            </w:tcBorders>
            <w:noWrap/>
            <w:vAlign w:val="bottom"/>
          </w:tcPr>
          <w:p w14:paraId="1D3532CA" w14:textId="1EE0BE79"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0.674</w:t>
            </w:r>
          </w:p>
        </w:tc>
        <w:tc>
          <w:tcPr>
            <w:tcW w:w="468" w:type="pct"/>
            <w:tcBorders>
              <w:top w:val="single" w:sz="4" w:space="0" w:color="auto"/>
              <w:left w:val="single" w:sz="4" w:space="0" w:color="auto"/>
              <w:bottom w:val="single" w:sz="4" w:space="0" w:color="auto"/>
              <w:right w:val="single" w:sz="4" w:space="0" w:color="auto"/>
            </w:tcBorders>
            <w:noWrap/>
            <w:vAlign w:val="bottom"/>
          </w:tcPr>
          <w:p w14:paraId="1CEA43FB" w14:textId="2EF7FBB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0.967</w:t>
            </w:r>
          </w:p>
        </w:tc>
      </w:tr>
      <w:tr w:rsidR="003D3762" w:rsidRPr="004D353A" w14:paraId="5B17043A"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191D2B49" w14:textId="7A80EB41" w:rsidR="003D3762" w:rsidRPr="003D3762" w:rsidRDefault="003D3762" w:rsidP="003D3762">
            <w:pPr>
              <w:rPr>
                <w:b w:val="0"/>
                <w:bCs w:val="0"/>
                <w:sz w:val="18"/>
                <w:szCs w:val="18"/>
              </w:rPr>
            </w:pPr>
            <w:r w:rsidRPr="003D3762">
              <w:rPr>
                <w:b w:val="0"/>
                <w:bCs w:val="0"/>
                <w:color w:val="000000"/>
                <w:sz w:val="18"/>
                <w:szCs w:val="18"/>
              </w:rPr>
              <w:t>Economically inactive: Looking after home or family</w:t>
            </w:r>
          </w:p>
        </w:tc>
        <w:tc>
          <w:tcPr>
            <w:tcW w:w="393" w:type="pct"/>
            <w:tcBorders>
              <w:top w:val="single" w:sz="4" w:space="0" w:color="auto"/>
              <w:left w:val="single" w:sz="4" w:space="0" w:color="auto"/>
              <w:bottom w:val="single" w:sz="4" w:space="0" w:color="auto"/>
              <w:right w:val="single" w:sz="4" w:space="0" w:color="auto"/>
            </w:tcBorders>
            <w:noWrap/>
            <w:vAlign w:val="bottom"/>
          </w:tcPr>
          <w:p w14:paraId="0F124386" w14:textId="3ECE10E7"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0.803</w:t>
            </w:r>
          </w:p>
        </w:tc>
        <w:tc>
          <w:tcPr>
            <w:tcW w:w="472" w:type="pct"/>
            <w:tcBorders>
              <w:top w:val="single" w:sz="4" w:space="0" w:color="auto"/>
              <w:left w:val="single" w:sz="4" w:space="0" w:color="auto"/>
              <w:bottom w:val="single" w:sz="4" w:space="0" w:color="auto"/>
              <w:right w:val="single" w:sz="4" w:space="0" w:color="auto"/>
            </w:tcBorders>
            <w:noWrap/>
            <w:vAlign w:val="bottom"/>
          </w:tcPr>
          <w:p w14:paraId="4AB52167" w14:textId="026B442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0.103</w:t>
            </w:r>
          </w:p>
        </w:tc>
        <w:tc>
          <w:tcPr>
            <w:tcW w:w="393" w:type="pct"/>
            <w:tcBorders>
              <w:top w:val="single" w:sz="4" w:space="0" w:color="auto"/>
              <w:left w:val="single" w:sz="4" w:space="0" w:color="auto"/>
              <w:bottom w:val="single" w:sz="4" w:space="0" w:color="auto"/>
              <w:right w:val="single" w:sz="4" w:space="0" w:color="auto"/>
            </w:tcBorders>
            <w:noWrap/>
            <w:vAlign w:val="bottom"/>
          </w:tcPr>
          <w:p w14:paraId="21CF4F53" w14:textId="6822B55B"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-1.71</w:t>
            </w:r>
          </w:p>
        </w:tc>
        <w:tc>
          <w:tcPr>
            <w:tcW w:w="375" w:type="pct"/>
            <w:tcBorders>
              <w:top w:val="single" w:sz="4" w:space="0" w:color="auto"/>
              <w:left w:val="single" w:sz="4" w:space="0" w:color="auto"/>
              <w:bottom w:val="single" w:sz="4" w:space="0" w:color="auto"/>
              <w:right w:val="single" w:sz="4" w:space="0" w:color="auto"/>
            </w:tcBorders>
            <w:noWrap/>
            <w:vAlign w:val="bottom"/>
          </w:tcPr>
          <w:p w14:paraId="2922F400" w14:textId="16944373"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0.088</w:t>
            </w:r>
          </w:p>
        </w:tc>
        <w:tc>
          <w:tcPr>
            <w:tcW w:w="385" w:type="pct"/>
            <w:tcBorders>
              <w:top w:val="single" w:sz="4" w:space="0" w:color="auto"/>
              <w:left w:val="single" w:sz="4" w:space="0" w:color="auto"/>
              <w:bottom w:val="single" w:sz="4" w:space="0" w:color="auto"/>
              <w:right w:val="single" w:sz="4" w:space="0" w:color="auto"/>
            </w:tcBorders>
            <w:noWrap/>
            <w:vAlign w:val="bottom"/>
          </w:tcPr>
          <w:p w14:paraId="3CF77D77" w14:textId="50EC3FA9"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0.624</w:t>
            </w:r>
          </w:p>
        </w:tc>
        <w:tc>
          <w:tcPr>
            <w:tcW w:w="468" w:type="pct"/>
            <w:tcBorders>
              <w:top w:val="single" w:sz="4" w:space="0" w:color="auto"/>
              <w:left w:val="single" w:sz="4" w:space="0" w:color="auto"/>
              <w:bottom w:val="single" w:sz="4" w:space="0" w:color="auto"/>
              <w:right w:val="single" w:sz="4" w:space="0" w:color="auto"/>
            </w:tcBorders>
            <w:noWrap/>
            <w:vAlign w:val="bottom"/>
          </w:tcPr>
          <w:p w14:paraId="7D95136C" w14:textId="125308AB"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1.033</w:t>
            </w:r>
          </w:p>
        </w:tc>
      </w:tr>
      <w:tr w:rsidR="003D3762" w:rsidRPr="004D353A" w14:paraId="6F403FFD"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1D0A17CA" w14:textId="35A3D39C" w:rsidR="003D3762" w:rsidRPr="003D3762" w:rsidRDefault="003D3762" w:rsidP="003D3762">
            <w:pPr>
              <w:rPr>
                <w:b w:val="0"/>
                <w:bCs w:val="0"/>
                <w:sz w:val="18"/>
                <w:szCs w:val="18"/>
              </w:rPr>
            </w:pPr>
            <w:r w:rsidRPr="003D3762">
              <w:rPr>
                <w:b w:val="0"/>
                <w:bCs w:val="0"/>
                <w:color w:val="000000"/>
                <w:sz w:val="18"/>
                <w:szCs w:val="18"/>
              </w:rPr>
              <w:t xml:space="preserve">Industry: Public administration and </w:t>
            </w:r>
            <w:r w:rsidR="005952C3" w:rsidRPr="003D3762">
              <w:rPr>
                <w:b w:val="0"/>
                <w:bCs w:val="0"/>
                <w:color w:val="000000"/>
                <w:sz w:val="18"/>
                <w:szCs w:val="18"/>
              </w:rPr>
              <w:t>defense</w:t>
            </w:r>
            <w:r w:rsidRPr="003D3762">
              <w:rPr>
                <w:b w:val="0"/>
                <w:bCs w:val="0"/>
                <w:color w:val="000000"/>
                <w:sz w:val="18"/>
                <w:szCs w:val="18"/>
              </w:rPr>
              <w:t>; compulsory social security</w:t>
            </w:r>
          </w:p>
        </w:tc>
        <w:tc>
          <w:tcPr>
            <w:tcW w:w="393" w:type="pct"/>
            <w:tcBorders>
              <w:top w:val="single" w:sz="4" w:space="0" w:color="auto"/>
              <w:left w:val="single" w:sz="4" w:space="0" w:color="auto"/>
              <w:bottom w:val="single" w:sz="4" w:space="0" w:color="auto"/>
              <w:right w:val="single" w:sz="4" w:space="0" w:color="auto"/>
            </w:tcBorders>
            <w:noWrap/>
            <w:vAlign w:val="bottom"/>
          </w:tcPr>
          <w:p w14:paraId="273F5762" w14:textId="5304D106"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0.788</w:t>
            </w:r>
          </w:p>
        </w:tc>
        <w:tc>
          <w:tcPr>
            <w:tcW w:w="472" w:type="pct"/>
            <w:tcBorders>
              <w:top w:val="single" w:sz="4" w:space="0" w:color="auto"/>
              <w:left w:val="single" w:sz="4" w:space="0" w:color="auto"/>
              <w:bottom w:val="single" w:sz="4" w:space="0" w:color="auto"/>
              <w:right w:val="single" w:sz="4" w:space="0" w:color="auto"/>
            </w:tcBorders>
            <w:noWrap/>
            <w:vAlign w:val="bottom"/>
          </w:tcPr>
          <w:p w14:paraId="44080A84" w14:textId="7AD3C84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0.061</w:t>
            </w:r>
          </w:p>
        </w:tc>
        <w:tc>
          <w:tcPr>
            <w:tcW w:w="393" w:type="pct"/>
            <w:tcBorders>
              <w:top w:val="single" w:sz="4" w:space="0" w:color="auto"/>
              <w:left w:val="single" w:sz="4" w:space="0" w:color="auto"/>
              <w:bottom w:val="single" w:sz="4" w:space="0" w:color="auto"/>
              <w:right w:val="single" w:sz="4" w:space="0" w:color="auto"/>
            </w:tcBorders>
            <w:noWrap/>
            <w:vAlign w:val="bottom"/>
          </w:tcPr>
          <w:p w14:paraId="03884179" w14:textId="29B7BB6A"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-3.1</w:t>
            </w:r>
          </w:p>
        </w:tc>
        <w:tc>
          <w:tcPr>
            <w:tcW w:w="375" w:type="pct"/>
            <w:tcBorders>
              <w:top w:val="single" w:sz="4" w:space="0" w:color="auto"/>
              <w:left w:val="single" w:sz="4" w:space="0" w:color="auto"/>
              <w:bottom w:val="single" w:sz="4" w:space="0" w:color="auto"/>
              <w:right w:val="single" w:sz="4" w:space="0" w:color="auto"/>
            </w:tcBorders>
            <w:noWrap/>
            <w:vAlign w:val="bottom"/>
          </w:tcPr>
          <w:p w14:paraId="1D44786E" w14:textId="089DA728"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0.002</w:t>
            </w:r>
          </w:p>
        </w:tc>
        <w:tc>
          <w:tcPr>
            <w:tcW w:w="385" w:type="pct"/>
            <w:tcBorders>
              <w:top w:val="single" w:sz="4" w:space="0" w:color="auto"/>
              <w:left w:val="single" w:sz="4" w:space="0" w:color="auto"/>
              <w:bottom w:val="single" w:sz="4" w:space="0" w:color="auto"/>
              <w:right w:val="single" w:sz="4" w:space="0" w:color="auto"/>
            </w:tcBorders>
            <w:noWrap/>
            <w:vAlign w:val="bottom"/>
          </w:tcPr>
          <w:p w14:paraId="66CCD3A6" w14:textId="23224E40"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0.677</w:t>
            </w:r>
          </w:p>
        </w:tc>
        <w:tc>
          <w:tcPr>
            <w:tcW w:w="468" w:type="pct"/>
            <w:tcBorders>
              <w:top w:val="single" w:sz="4" w:space="0" w:color="auto"/>
              <w:left w:val="single" w:sz="4" w:space="0" w:color="auto"/>
              <w:bottom w:val="single" w:sz="4" w:space="0" w:color="auto"/>
              <w:right w:val="single" w:sz="4" w:space="0" w:color="auto"/>
            </w:tcBorders>
            <w:noWrap/>
            <w:vAlign w:val="bottom"/>
          </w:tcPr>
          <w:p w14:paraId="5AE07047" w14:textId="7620A0D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0.916</w:t>
            </w:r>
          </w:p>
        </w:tc>
      </w:tr>
      <w:tr w:rsidR="003D3762" w:rsidRPr="004D353A" w14:paraId="11AD901C"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0EE3B1D8" w14:textId="5CC890FB" w:rsidR="003D3762" w:rsidRPr="003D3762" w:rsidRDefault="003D3762" w:rsidP="003D3762">
            <w:pPr>
              <w:rPr>
                <w:b w:val="0"/>
                <w:bCs w:val="0"/>
                <w:sz w:val="18"/>
                <w:szCs w:val="18"/>
              </w:rPr>
            </w:pPr>
            <w:r w:rsidRPr="003D3762">
              <w:rPr>
                <w:b w:val="0"/>
                <w:bCs w:val="0"/>
                <w:color w:val="000000"/>
                <w:sz w:val="18"/>
                <w:szCs w:val="18"/>
              </w:rPr>
              <w:t>Part-time employees</w:t>
            </w:r>
          </w:p>
        </w:tc>
        <w:tc>
          <w:tcPr>
            <w:tcW w:w="393" w:type="pct"/>
            <w:tcBorders>
              <w:top w:val="single" w:sz="4" w:space="0" w:color="auto"/>
              <w:left w:val="single" w:sz="4" w:space="0" w:color="auto"/>
              <w:bottom w:val="single" w:sz="4" w:space="0" w:color="auto"/>
              <w:right w:val="single" w:sz="4" w:space="0" w:color="auto"/>
            </w:tcBorders>
            <w:noWrap/>
            <w:vAlign w:val="bottom"/>
          </w:tcPr>
          <w:p w14:paraId="502A525B" w14:textId="156EE4B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0.766</w:t>
            </w:r>
          </w:p>
        </w:tc>
        <w:tc>
          <w:tcPr>
            <w:tcW w:w="472" w:type="pct"/>
            <w:tcBorders>
              <w:top w:val="single" w:sz="4" w:space="0" w:color="auto"/>
              <w:left w:val="single" w:sz="4" w:space="0" w:color="auto"/>
              <w:bottom w:val="single" w:sz="4" w:space="0" w:color="auto"/>
              <w:right w:val="single" w:sz="4" w:space="0" w:color="auto"/>
            </w:tcBorders>
            <w:noWrap/>
            <w:vAlign w:val="bottom"/>
          </w:tcPr>
          <w:p w14:paraId="02A65151" w14:textId="5A484FA3"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0.065</w:t>
            </w:r>
          </w:p>
        </w:tc>
        <w:tc>
          <w:tcPr>
            <w:tcW w:w="393" w:type="pct"/>
            <w:tcBorders>
              <w:top w:val="single" w:sz="4" w:space="0" w:color="auto"/>
              <w:left w:val="single" w:sz="4" w:space="0" w:color="auto"/>
              <w:bottom w:val="single" w:sz="4" w:space="0" w:color="auto"/>
              <w:right w:val="single" w:sz="4" w:space="0" w:color="auto"/>
            </w:tcBorders>
            <w:noWrap/>
            <w:vAlign w:val="bottom"/>
          </w:tcPr>
          <w:p w14:paraId="418A4540" w14:textId="23240B4A"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-3.13</w:t>
            </w:r>
          </w:p>
        </w:tc>
        <w:tc>
          <w:tcPr>
            <w:tcW w:w="375" w:type="pct"/>
            <w:tcBorders>
              <w:top w:val="single" w:sz="4" w:space="0" w:color="auto"/>
              <w:left w:val="single" w:sz="4" w:space="0" w:color="auto"/>
              <w:bottom w:val="single" w:sz="4" w:space="0" w:color="auto"/>
              <w:right w:val="single" w:sz="4" w:space="0" w:color="auto"/>
            </w:tcBorders>
            <w:noWrap/>
            <w:vAlign w:val="bottom"/>
          </w:tcPr>
          <w:p w14:paraId="708F8443" w14:textId="38D1DF03"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0.002</w:t>
            </w:r>
          </w:p>
        </w:tc>
        <w:tc>
          <w:tcPr>
            <w:tcW w:w="385" w:type="pct"/>
            <w:tcBorders>
              <w:top w:val="single" w:sz="4" w:space="0" w:color="auto"/>
              <w:left w:val="single" w:sz="4" w:space="0" w:color="auto"/>
              <w:bottom w:val="single" w:sz="4" w:space="0" w:color="auto"/>
              <w:right w:val="single" w:sz="4" w:space="0" w:color="auto"/>
            </w:tcBorders>
            <w:noWrap/>
            <w:vAlign w:val="bottom"/>
          </w:tcPr>
          <w:p w14:paraId="4CD1F148" w14:textId="66655AB7"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0.648</w:t>
            </w:r>
          </w:p>
        </w:tc>
        <w:tc>
          <w:tcPr>
            <w:tcW w:w="468" w:type="pct"/>
            <w:tcBorders>
              <w:top w:val="single" w:sz="4" w:space="0" w:color="auto"/>
              <w:left w:val="single" w:sz="4" w:space="0" w:color="auto"/>
              <w:bottom w:val="single" w:sz="4" w:space="0" w:color="auto"/>
              <w:right w:val="single" w:sz="4" w:space="0" w:color="auto"/>
            </w:tcBorders>
            <w:noWrap/>
            <w:vAlign w:val="bottom"/>
          </w:tcPr>
          <w:p w14:paraId="2D222336" w14:textId="59561C8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0.905</w:t>
            </w:r>
          </w:p>
        </w:tc>
      </w:tr>
      <w:tr w:rsidR="003D3762" w:rsidRPr="004D353A" w14:paraId="66BA5231" w14:textId="77777777" w:rsidTr="004D353A">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4A7E2C35" w14:textId="579094FF" w:rsidR="003D3762" w:rsidRPr="003D3762" w:rsidRDefault="003D3762" w:rsidP="003D3762">
            <w:pPr>
              <w:rPr>
                <w:b w:val="0"/>
                <w:bCs w:val="0"/>
                <w:sz w:val="18"/>
                <w:szCs w:val="18"/>
              </w:rPr>
            </w:pPr>
            <w:r w:rsidRPr="003D3762">
              <w:rPr>
                <w:b w:val="0"/>
                <w:bCs w:val="0"/>
                <w:color w:val="000000"/>
                <w:sz w:val="18"/>
                <w:szCs w:val="18"/>
              </w:rPr>
              <w:t>Highest level of qualification: Level 4/5 (degree or higher) qualifications</w:t>
            </w:r>
          </w:p>
        </w:tc>
        <w:tc>
          <w:tcPr>
            <w:tcW w:w="393" w:type="pct"/>
            <w:tcBorders>
              <w:top w:val="single" w:sz="4" w:space="0" w:color="auto"/>
              <w:left w:val="single" w:sz="4" w:space="0" w:color="auto"/>
              <w:bottom w:val="single" w:sz="4" w:space="0" w:color="auto"/>
              <w:right w:val="single" w:sz="4" w:space="0" w:color="auto"/>
            </w:tcBorders>
            <w:noWrap/>
            <w:vAlign w:val="bottom"/>
          </w:tcPr>
          <w:p w14:paraId="6572C345" w14:textId="60B0D872"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0.758</w:t>
            </w:r>
          </w:p>
        </w:tc>
        <w:tc>
          <w:tcPr>
            <w:tcW w:w="472" w:type="pct"/>
            <w:tcBorders>
              <w:top w:val="single" w:sz="4" w:space="0" w:color="auto"/>
              <w:left w:val="single" w:sz="4" w:space="0" w:color="auto"/>
              <w:bottom w:val="single" w:sz="4" w:space="0" w:color="auto"/>
              <w:right w:val="single" w:sz="4" w:space="0" w:color="auto"/>
            </w:tcBorders>
            <w:noWrap/>
            <w:vAlign w:val="bottom"/>
          </w:tcPr>
          <w:p w14:paraId="7EBA1BFC" w14:textId="7B6C7722"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0.037</w:t>
            </w:r>
          </w:p>
        </w:tc>
        <w:tc>
          <w:tcPr>
            <w:tcW w:w="393" w:type="pct"/>
            <w:tcBorders>
              <w:top w:val="single" w:sz="4" w:space="0" w:color="auto"/>
              <w:left w:val="single" w:sz="4" w:space="0" w:color="auto"/>
              <w:bottom w:val="single" w:sz="4" w:space="0" w:color="auto"/>
              <w:right w:val="single" w:sz="4" w:space="0" w:color="auto"/>
            </w:tcBorders>
            <w:noWrap/>
            <w:vAlign w:val="bottom"/>
          </w:tcPr>
          <w:p w14:paraId="44D07E4B" w14:textId="0B235EDF"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-5.73</w:t>
            </w:r>
          </w:p>
        </w:tc>
        <w:tc>
          <w:tcPr>
            <w:tcW w:w="375" w:type="pct"/>
            <w:tcBorders>
              <w:top w:val="single" w:sz="4" w:space="0" w:color="auto"/>
              <w:left w:val="single" w:sz="4" w:space="0" w:color="auto"/>
              <w:bottom w:val="single" w:sz="4" w:space="0" w:color="auto"/>
              <w:right w:val="single" w:sz="4" w:space="0" w:color="auto"/>
            </w:tcBorders>
            <w:noWrap/>
            <w:vAlign w:val="bottom"/>
          </w:tcPr>
          <w:p w14:paraId="0D89E4E2" w14:textId="66FB4CE1"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w:t>
            </w:r>
          </w:p>
        </w:tc>
        <w:tc>
          <w:tcPr>
            <w:tcW w:w="385" w:type="pct"/>
            <w:tcBorders>
              <w:top w:val="single" w:sz="4" w:space="0" w:color="auto"/>
              <w:left w:val="single" w:sz="4" w:space="0" w:color="auto"/>
              <w:bottom w:val="single" w:sz="4" w:space="0" w:color="auto"/>
              <w:right w:val="single" w:sz="4" w:space="0" w:color="auto"/>
            </w:tcBorders>
            <w:noWrap/>
            <w:vAlign w:val="bottom"/>
          </w:tcPr>
          <w:p w14:paraId="7E1E5936" w14:textId="51C13299"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0.689</w:t>
            </w:r>
          </w:p>
        </w:tc>
        <w:tc>
          <w:tcPr>
            <w:tcW w:w="468" w:type="pct"/>
            <w:tcBorders>
              <w:top w:val="single" w:sz="4" w:space="0" w:color="auto"/>
              <w:left w:val="single" w:sz="4" w:space="0" w:color="auto"/>
              <w:bottom w:val="single" w:sz="4" w:space="0" w:color="auto"/>
              <w:right w:val="single" w:sz="4" w:space="0" w:color="auto"/>
            </w:tcBorders>
            <w:noWrap/>
            <w:vAlign w:val="bottom"/>
          </w:tcPr>
          <w:p w14:paraId="6D5165C6" w14:textId="7BBEEFC5" w:rsidR="003D3762" w:rsidRPr="003D3762" w:rsidRDefault="003D3762" w:rsidP="003D3762">
            <w:pPr>
              <w:jc w:val="right"/>
              <w:cnfStyle w:val="000000000000" w:firstRow="0" w:lastRow="0" w:firstColumn="0" w:lastColumn="0" w:oddVBand="0" w:evenVBand="0" w:oddHBand="0" w:evenHBand="0" w:firstRowFirstColumn="0" w:firstRowLastColumn="0" w:lastRowFirstColumn="0" w:lastRowLastColumn="0"/>
              <w:rPr>
                <w:sz w:val="18"/>
                <w:szCs w:val="18"/>
              </w:rPr>
            </w:pPr>
            <w:r w:rsidRPr="003D3762">
              <w:rPr>
                <w:color w:val="000000"/>
                <w:sz w:val="18"/>
                <w:szCs w:val="18"/>
              </w:rPr>
              <w:t>0.833</w:t>
            </w:r>
          </w:p>
        </w:tc>
      </w:tr>
      <w:tr w:rsidR="003D3762" w:rsidRPr="004D353A" w14:paraId="797D725B" w14:textId="77777777" w:rsidTr="004D3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pct"/>
            <w:tcBorders>
              <w:top w:val="single" w:sz="4" w:space="0" w:color="auto"/>
              <w:left w:val="single" w:sz="4" w:space="0" w:color="auto"/>
              <w:bottom w:val="single" w:sz="4" w:space="0" w:color="auto"/>
              <w:right w:val="single" w:sz="4" w:space="0" w:color="auto"/>
            </w:tcBorders>
            <w:noWrap/>
            <w:vAlign w:val="bottom"/>
          </w:tcPr>
          <w:p w14:paraId="0F6246D2" w14:textId="4766D9AA" w:rsidR="003D3762" w:rsidRPr="003D3762" w:rsidRDefault="003D3762" w:rsidP="003D3762">
            <w:pPr>
              <w:rPr>
                <w:b w:val="0"/>
                <w:bCs w:val="0"/>
                <w:sz w:val="18"/>
                <w:szCs w:val="18"/>
              </w:rPr>
            </w:pPr>
            <w:r w:rsidRPr="003D3762">
              <w:rPr>
                <w:b w:val="0"/>
                <w:bCs w:val="0"/>
                <w:color w:val="000000"/>
                <w:sz w:val="18"/>
                <w:szCs w:val="18"/>
              </w:rPr>
              <w:t>Employment area ratio: workplace population / resident population</w:t>
            </w:r>
          </w:p>
        </w:tc>
        <w:tc>
          <w:tcPr>
            <w:tcW w:w="393" w:type="pct"/>
            <w:tcBorders>
              <w:top w:val="single" w:sz="4" w:space="0" w:color="auto"/>
              <w:left w:val="single" w:sz="4" w:space="0" w:color="auto"/>
              <w:bottom w:val="single" w:sz="4" w:space="0" w:color="auto"/>
              <w:right w:val="single" w:sz="4" w:space="0" w:color="auto"/>
            </w:tcBorders>
            <w:noWrap/>
            <w:vAlign w:val="bottom"/>
          </w:tcPr>
          <w:p w14:paraId="48438D1A" w14:textId="4FB92DFE"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0.336</w:t>
            </w:r>
          </w:p>
        </w:tc>
        <w:tc>
          <w:tcPr>
            <w:tcW w:w="472" w:type="pct"/>
            <w:tcBorders>
              <w:top w:val="single" w:sz="4" w:space="0" w:color="auto"/>
              <w:left w:val="single" w:sz="4" w:space="0" w:color="auto"/>
              <w:bottom w:val="single" w:sz="4" w:space="0" w:color="auto"/>
              <w:right w:val="single" w:sz="4" w:space="0" w:color="auto"/>
            </w:tcBorders>
            <w:noWrap/>
            <w:vAlign w:val="bottom"/>
          </w:tcPr>
          <w:p w14:paraId="6288FBBB" w14:textId="0E263DF2"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0.118</w:t>
            </w:r>
          </w:p>
        </w:tc>
        <w:tc>
          <w:tcPr>
            <w:tcW w:w="393" w:type="pct"/>
            <w:tcBorders>
              <w:top w:val="single" w:sz="4" w:space="0" w:color="auto"/>
              <w:left w:val="single" w:sz="4" w:space="0" w:color="auto"/>
              <w:bottom w:val="single" w:sz="4" w:space="0" w:color="auto"/>
              <w:right w:val="single" w:sz="4" w:space="0" w:color="auto"/>
            </w:tcBorders>
            <w:noWrap/>
            <w:vAlign w:val="bottom"/>
          </w:tcPr>
          <w:p w14:paraId="3C2E143E" w14:textId="6C232A21"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-3.12</w:t>
            </w:r>
          </w:p>
        </w:tc>
        <w:tc>
          <w:tcPr>
            <w:tcW w:w="375" w:type="pct"/>
            <w:tcBorders>
              <w:top w:val="single" w:sz="4" w:space="0" w:color="auto"/>
              <w:left w:val="single" w:sz="4" w:space="0" w:color="auto"/>
              <w:bottom w:val="single" w:sz="4" w:space="0" w:color="auto"/>
              <w:right w:val="single" w:sz="4" w:space="0" w:color="auto"/>
            </w:tcBorders>
            <w:noWrap/>
            <w:vAlign w:val="bottom"/>
          </w:tcPr>
          <w:p w14:paraId="4ECB6A29" w14:textId="1C141D31"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0.002</w:t>
            </w:r>
          </w:p>
        </w:tc>
        <w:tc>
          <w:tcPr>
            <w:tcW w:w="385" w:type="pct"/>
            <w:tcBorders>
              <w:top w:val="single" w:sz="4" w:space="0" w:color="auto"/>
              <w:left w:val="single" w:sz="4" w:space="0" w:color="auto"/>
              <w:bottom w:val="single" w:sz="4" w:space="0" w:color="auto"/>
              <w:right w:val="single" w:sz="4" w:space="0" w:color="auto"/>
            </w:tcBorders>
            <w:noWrap/>
            <w:vAlign w:val="bottom"/>
          </w:tcPr>
          <w:p w14:paraId="6CB4865A" w14:textId="4AB0952D"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0.169</w:t>
            </w:r>
          </w:p>
        </w:tc>
        <w:tc>
          <w:tcPr>
            <w:tcW w:w="468" w:type="pct"/>
            <w:tcBorders>
              <w:top w:val="single" w:sz="4" w:space="0" w:color="auto"/>
              <w:left w:val="single" w:sz="4" w:space="0" w:color="auto"/>
              <w:bottom w:val="single" w:sz="4" w:space="0" w:color="auto"/>
              <w:right w:val="single" w:sz="4" w:space="0" w:color="auto"/>
            </w:tcBorders>
            <w:noWrap/>
            <w:vAlign w:val="bottom"/>
          </w:tcPr>
          <w:p w14:paraId="64931444" w14:textId="7357B7E9" w:rsidR="003D3762" w:rsidRPr="003D3762" w:rsidRDefault="003D3762" w:rsidP="003D3762">
            <w:pPr>
              <w:jc w:val="right"/>
              <w:cnfStyle w:val="000000100000" w:firstRow="0" w:lastRow="0" w:firstColumn="0" w:lastColumn="0" w:oddVBand="0" w:evenVBand="0" w:oddHBand="1" w:evenHBand="0" w:firstRowFirstColumn="0" w:firstRowLastColumn="0" w:lastRowFirstColumn="0" w:lastRowLastColumn="0"/>
              <w:rPr>
                <w:sz w:val="18"/>
                <w:szCs w:val="18"/>
              </w:rPr>
            </w:pPr>
            <w:r w:rsidRPr="003D3762">
              <w:rPr>
                <w:color w:val="000000"/>
                <w:sz w:val="18"/>
                <w:szCs w:val="18"/>
              </w:rPr>
              <w:t>0.667</w:t>
            </w:r>
          </w:p>
        </w:tc>
      </w:tr>
    </w:tbl>
    <w:p w14:paraId="69E239DB" w14:textId="77777777" w:rsidR="00AC056F" w:rsidRPr="00AC056F" w:rsidRDefault="00AC056F" w:rsidP="00AC056F"/>
    <w:p w14:paraId="796339A7" w14:textId="11B86408" w:rsidR="00E25EB0" w:rsidRDefault="00E25EB0" w:rsidP="00112873">
      <w:pPr>
        <w:pStyle w:val="Heading2"/>
        <w:rPr>
          <w:rFonts w:eastAsia="Times New Roman"/>
          <w:lang w:val="en-US"/>
        </w:rPr>
      </w:pPr>
      <w:bookmarkStart w:id="19" w:name="_Toc71790739"/>
      <w:r>
        <w:rPr>
          <w:lang w:val="en-US"/>
        </w:rPr>
        <w:t>Interpreting the models</w:t>
      </w:r>
      <w:bookmarkEnd w:id="19"/>
    </w:p>
    <w:p w14:paraId="187755A9" w14:textId="77777777" w:rsidR="00112873" w:rsidRDefault="00112873" w:rsidP="00E25EB0">
      <w:pPr>
        <w:rPr>
          <w:lang w:val="en-US"/>
        </w:rPr>
      </w:pPr>
    </w:p>
    <w:p w14:paraId="6EA7AE28" w14:textId="6CEB4307" w:rsidR="00E25EB0" w:rsidRDefault="00E25EB0" w:rsidP="00E25EB0">
      <w:r>
        <w:rPr>
          <w:lang w:val="en-US"/>
        </w:rPr>
        <w:t>The model outputs can be interpreted to identify the strength of the model, and which indicators are significant risk predictors</w:t>
      </w:r>
      <w:r>
        <w:t>:</w:t>
      </w:r>
    </w:p>
    <w:p w14:paraId="31D1235A" w14:textId="77777777" w:rsidR="00E25EB0" w:rsidRDefault="00E25EB0" w:rsidP="00E25EB0"/>
    <w:p w14:paraId="3F46000C" w14:textId="79E616DF" w:rsidR="00E25EB0" w:rsidRDefault="00E25EB0" w:rsidP="00E25EB0">
      <w:pPr>
        <w:rPr>
          <w:lang w:val="en-US"/>
        </w:rPr>
      </w:pPr>
      <w:r>
        <w:rPr>
          <w:i/>
          <w:lang w:val="en-US"/>
        </w:rPr>
        <w:lastRenderedPageBreak/>
        <w:t>Strength of the model</w:t>
      </w:r>
      <w:r>
        <w:rPr>
          <w:lang w:val="en-US"/>
        </w:rPr>
        <w:t xml:space="preserve">: Logistic regression techniques typically return a </w:t>
      </w:r>
      <w:r>
        <w:rPr>
          <w:rFonts w:hint="eastAsia"/>
          <w:lang w:val="en-US"/>
        </w:rPr>
        <w:t>“</w:t>
      </w:r>
      <w:r>
        <w:rPr>
          <w:lang w:val="en-US"/>
        </w:rPr>
        <w:t>pseudo-R</w:t>
      </w:r>
      <w:r>
        <w:rPr>
          <w:vertAlign w:val="superscript"/>
          <w:lang w:val="en-US"/>
        </w:rPr>
        <w:t>2</w:t>
      </w:r>
      <w:r>
        <w:rPr>
          <w:rFonts w:hint="eastAsia"/>
          <w:lang w:val="en-US"/>
        </w:rPr>
        <w:t>”</w:t>
      </w:r>
      <w:r>
        <w:rPr>
          <w:lang w:val="en-US"/>
        </w:rPr>
        <w:t xml:space="preserve"> statistic indicating what proportion of the variance at individual level is explained by the model. In this case, the pseudo-R</w:t>
      </w:r>
      <w:r>
        <w:rPr>
          <w:vertAlign w:val="superscript"/>
          <w:lang w:val="en-US"/>
        </w:rPr>
        <w:t>2</w:t>
      </w:r>
      <w:r>
        <w:rPr>
          <w:lang w:val="en-US"/>
        </w:rPr>
        <w:t xml:space="preserve"> statistic indicates that </w:t>
      </w:r>
      <w:r w:rsidR="00FF4893">
        <w:rPr>
          <w:lang w:val="en-US"/>
        </w:rPr>
        <w:t>67.5</w:t>
      </w:r>
      <w:r>
        <w:rPr>
          <w:lang w:val="en-US"/>
        </w:rPr>
        <w:t xml:space="preserve">% of the variance is explained. This suggests that the model is a relatively strong predictor of whether an area is likely to be </w:t>
      </w:r>
      <w:r w:rsidR="00892278">
        <w:rPr>
          <w:lang w:val="en-US"/>
        </w:rPr>
        <w:t>‘</w:t>
      </w:r>
      <w:r>
        <w:rPr>
          <w:lang w:val="en-US"/>
        </w:rPr>
        <w:t>left-behind</w:t>
      </w:r>
      <w:r w:rsidR="00892278">
        <w:rPr>
          <w:lang w:val="en-US"/>
        </w:rPr>
        <w:t>’</w:t>
      </w:r>
      <w:r>
        <w:rPr>
          <w:lang w:val="en-US"/>
        </w:rPr>
        <w:t>.</w:t>
      </w:r>
    </w:p>
    <w:p w14:paraId="7B7CA9B7" w14:textId="77777777" w:rsidR="00E25EB0" w:rsidRDefault="00E25EB0" w:rsidP="00E25EB0"/>
    <w:p w14:paraId="34857B33" w14:textId="36C9E9F3" w:rsidR="00497D58" w:rsidRDefault="00E25EB0" w:rsidP="00497D58">
      <w:pPr>
        <w:rPr>
          <w:lang w:val="en-US"/>
        </w:rPr>
      </w:pPr>
      <w:r>
        <w:rPr>
          <w:i/>
          <w:lang w:val="en-US"/>
        </w:rPr>
        <w:t>Significant factors</w:t>
      </w:r>
      <w:r>
        <w:rPr>
          <w:lang w:val="en-US"/>
        </w:rPr>
        <w:t>: The model identifies a set of factors associated with risk of an area becoming ‘left-</w:t>
      </w:r>
      <w:r w:rsidRPr="00497D58">
        <w:rPr>
          <w:lang w:val="en-US"/>
        </w:rPr>
        <w:t>behind’.</w:t>
      </w:r>
      <w:r w:rsidR="00FF4893" w:rsidRPr="00497D58">
        <w:rPr>
          <w:lang w:val="en-US"/>
        </w:rPr>
        <w:t xml:space="preserve"> </w:t>
      </w:r>
      <w:r w:rsidR="00FF4893" w:rsidRPr="00497D58">
        <w:t xml:space="preserve">The strongest individual level predictors were </w:t>
      </w:r>
      <w:r w:rsidR="002E0640" w:rsidRPr="00497D58">
        <w:t>the unemployment rate among older people (aged 50+)</w:t>
      </w:r>
      <w:r w:rsidR="00420822">
        <w:t xml:space="preserve"> -</w:t>
      </w:r>
      <w:r w:rsidR="002E0640" w:rsidRPr="00497D58">
        <w:t xml:space="preserve"> </w:t>
      </w:r>
      <w:r w:rsidR="00FF4893" w:rsidRPr="00497D58">
        <w:t xml:space="preserve">areas with high scores on this factor were </w:t>
      </w:r>
      <w:r w:rsidR="002E0640" w:rsidRPr="00497D58">
        <w:rPr>
          <w:lang w:val="en-US"/>
        </w:rPr>
        <w:t xml:space="preserve">96% more likely to be ‘left-behind’. </w:t>
      </w:r>
      <w:r w:rsidR="003D3762">
        <w:rPr>
          <w:lang w:val="en-US"/>
        </w:rPr>
        <w:t>Another</w:t>
      </w:r>
      <w:r w:rsidRPr="00497D58">
        <w:rPr>
          <w:lang w:val="en-US"/>
        </w:rPr>
        <w:t xml:space="preserve"> important risk factor</w:t>
      </w:r>
      <w:r w:rsidR="003D3762">
        <w:rPr>
          <w:lang w:val="en-US"/>
        </w:rPr>
        <w:t xml:space="preserve"> was</w:t>
      </w:r>
      <w:r w:rsidRPr="00497D58">
        <w:rPr>
          <w:lang w:val="en-US"/>
        </w:rPr>
        <w:t xml:space="preserve"> </w:t>
      </w:r>
      <w:r w:rsidR="002E0640" w:rsidRPr="00497D58">
        <w:rPr>
          <w:lang w:val="en-US"/>
        </w:rPr>
        <w:t>children with a limiting long-term illness</w:t>
      </w:r>
      <w:r w:rsidR="003D3762">
        <w:rPr>
          <w:lang w:val="en-US"/>
        </w:rPr>
        <w:t xml:space="preserve">, where areas with high values were </w:t>
      </w:r>
      <w:r w:rsidR="002E0640" w:rsidRPr="00497D58">
        <w:rPr>
          <w:lang w:val="en-US"/>
        </w:rPr>
        <w:t>60% more likely</w:t>
      </w:r>
      <w:r w:rsidR="003D3762">
        <w:rPr>
          <w:lang w:val="en-US"/>
        </w:rPr>
        <w:t xml:space="preserve"> to be</w:t>
      </w:r>
      <w:r w:rsidR="00700193">
        <w:rPr>
          <w:lang w:val="en-US"/>
        </w:rPr>
        <w:t xml:space="preserve"> </w:t>
      </w:r>
      <w:r w:rsidR="003D3762">
        <w:rPr>
          <w:lang w:val="en-US"/>
        </w:rPr>
        <w:t>’left-behind’</w:t>
      </w:r>
      <w:r w:rsidRPr="00497D58">
        <w:rPr>
          <w:lang w:val="en-US"/>
        </w:rPr>
        <w:t xml:space="preserve">. </w:t>
      </w:r>
      <w:bookmarkEnd w:id="12"/>
      <w:r w:rsidR="003D3762">
        <w:rPr>
          <w:lang w:val="en-US"/>
        </w:rPr>
        <w:t xml:space="preserve">By contrast, areas with a high ratio of in-commuters (a larger workplace population than a resident population) were 66% less likely to be ‘left-behind’ while those with a high proportion of degree educated residents where more than 25% less likely to be ‘left-behind’. </w:t>
      </w:r>
    </w:p>
    <w:p w14:paraId="41AAE6A4" w14:textId="545EF2B9" w:rsidR="00D25FB0" w:rsidRDefault="00D25FB0" w:rsidP="00497D58">
      <w:pPr>
        <w:rPr>
          <w:lang w:val="en-US"/>
        </w:rPr>
      </w:pPr>
    </w:p>
    <w:p w14:paraId="3F683B92" w14:textId="2D11EBCF" w:rsidR="00700193" w:rsidRDefault="00700193" w:rsidP="00497D58">
      <w:pPr>
        <w:rPr>
          <w:lang w:val="en-US"/>
        </w:rPr>
      </w:pPr>
      <w:r>
        <w:rPr>
          <w:lang w:val="en-US"/>
        </w:rPr>
        <w:t>We can</w:t>
      </w:r>
      <w:r w:rsidR="00420822">
        <w:rPr>
          <w:lang w:val="en-US"/>
        </w:rPr>
        <w:t xml:space="preserve"> therefore</w:t>
      </w:r>
      <w:r>
        <w:rPr>
          <w:lang w:val="en-US"/>
        </w:rPr>
        <w:t xml:space="preserve"> conclude that the following factors exert a significant influence on whether or not an area is likely to be identified as ‘left-</w:t>
      </w:r>
      <w:proofErr w:type="gramStart"/>
      <w:r>
        <w:rPr>
          <w:lang w:val="en-US"/>
        </w:rPr>
        <w:t>behind</w:t>
      </w:r>
      <w:proofErr w:type="gramEnd"/>
      <w:r>
        <w:rPr>
          <w:lang w:val="en-US"/>
        </w:rPr>
        <w:t xml:space="preserve">’ </w:t>
      </w:r>
    </w:p>
    <w:p w14:paraId="5CE4EFE7" w14:textId="499821D2" w:rsidR="00700193" w:rsidRDefault="00700193" w:rsidP="00497D58">
      <w:pPr>
        <w:rPr>
          <w:lang w:val="en-US"/>
        </w:rPr>
      </w:pPr>
    </w:p>
    <w:p w14:paraId="6C5CF1A7" w14:textId="02D10EAE" w:rsidR="00700193" w:rsidRPr="00700193" w:rsidRDefault="00700193" w:rsidP="00700193">
      <w:pPr>
        <w:pStyle w:val="ListParagraph"/>
        <w:numPr>
          <w:ilvl w:val="0"/>
          <w:numId w:val="31"/>
        </w:numPr>
        <w:rPr>
          <w:lang w:val="en-US"/>
        </w:rPr>
      </w:pPr>
      <w:r>
        <w:t>U</w:t>
      </w:r>
      <w:r w:rsidRPr="00497D58">
        <w:t>nemployment rate among older people (aged 50+)</w:t>
      </w:r>
      <w:r>
        <w:t xml:space="preserve"> </w:t>
      </w:r>
      <w:r w:rsidR="00892278">
        <w:t xml:space="preserve">= </w:t>
      </w:r>
      <w:r>
        <w:t xml:space="preserve">more likely to be </w:t>
      </w:r>
      <w:r w:rsidR="00892278">
        <w:t>‘</w:t>
      </w:r>
      <w:r>
        <w:t>left-behind</w:t>
      </w:r>
      <w:r w:rsidR="00892278">
        <w:t>’</w:t>
      </w:r>
    </w:p>
    <w:p w14:paraId="4590F52D" w14:textId="0E158963" w:rsidR="00700193" w:rsidRPr="00700193" w:rsidRDefault="00700193" w:rsidP="00700193">
      <w:pPr>
        <w:pStyle w:val="ListParagraph"/>
        <w:numPr>
          <w:ilvl w:val="0"/>
          <w:numId w:val="31"/>
        </w:numPr>
        <w:rPr>
          <w:lang w:val="en-US"/>
        </w:rPr>
      </w:pPr>
      <w:r>
        <w:t xml:space="preserve">Children (aged 0-15) with a limiting long-term illness </w:t>
      </w:r>
      <w:r w:rsidR="00892278">
        <w:t xml:space="preserve">= </w:t>
      </w:r>
      <w:r>
        <w:t xml:space="preserve">more likely to be </w:t>
      </w:r>
      <w:r w:rsidR="00892278">
        <w:t>‘left-behind’</w:t>
      </w:r>
    </w:p>
    <w:p w14:paraId="619F550F" w14:textId="5C61BE2D" w:rsidR="00700193" w:rsidRDefault="00700193" w:rsidP="00700193">
      <w:pPr>
        <w:pStyle w:val="ListParagraph"/>
        <w:numPr>
          <w:ilvl w:val="0"/>
          <w:numId w:val="31"/>
        </w:numPr>
        <w:rPr>
          <w:lang w:val="en-US"/>
        </w:rPr>
      </w:pPr>
      <w:r>
        <w:rPr>
          <w:lang w:val="en-US"/>
        </w:rPr>
        <w:t xml:space="preserve">Areas with a high ratio of in-commuters </w:t>
      </w:r>
      <w:r w:rsidR="00892278">
        <w:rPr>
          <w:lang w:val="en-US"/>
        </w:rPr>
        <w:t xml:space="preserve">= </w:t>
      </w:r>
      <w:r>
        <w:rPr>
          <w:lang w:val="en-US"/>
        </w:rPr>
        <w:t xml:space="preserve">less likely to be </w:t>
      </w:r>
      <w:r w:rsidR="00892278">
        <w:t>‘left-behind’</w:t>
      </w:r>
    </w:p>
    <w:p w14:paraId="50EDB07A" w14:textId="3F7A1A85" w:rsidR="00700193" w:rsidRPr="00892278" w:rsidRDefault="00700193" w:rsidP="00AB41AF">
      <w:pPr>
        <w:pStyle w:val="ListParagraph"/>
        <w:numPr>
          <w:ilvl w:val="0"/>
          <w:numId w:val="31"/>
        </w:numPr>
        <w:rPr>
          <w:lang w:val="en-US"/>
        </w:rPr>
      </w:pPr>
      <w:r w:rsidRPr="00892278">
        <w:rPr>
          <w:lang w:val="en-US"/>
        </w:rPr>
        <w:t xml:space="preserve">Areas with a high proportion of people holding degree or higher level qualifications </w:t>
      </w:r>
      <w:r w:rsidR="00892278" w:rsidRPr="00892278">
        <w:rPr>
          <w:lang w:val="en-US"/>
        </w:rPr>
        <w:t xml:space="preserve">= </w:t>
      </w:r>
      <w:r w:rsidR="00892278">
        <w:rPr>
          <w:lang w:val="en-US"/>
        </w:rPr>
        <w:t xml:space="preserve">less likely to be </w:t>
      </w:r>
      <w:r w:rsidR="00892278">
        <w:t>‘left-behind’.</w:t>
      </w:r>
    </w:p>
    <w:p w14:paraId="4A58289F" w14:textId="77777777" w:rsidR="00892278" w:rsidRPr="00892278" w:rsidRDefault="00892278" w:rsidP="00892278">
      <w:pPr>
        <w:rPr>
          <w:lang w:val="en-US"/>
        </w:rPr>
      </w:pPr>
    </w:p>
    <w:p w14:paraId="6D9A94FD" w14:textId="065521D5" w:rsidR="00892278" w:rsidRDefault="00F85821" w:rsidP="00497D58">
      <w:pPr>
        <w:rPr>
          <w:lang w:val="en-US"/>
        </w:rPr>
      </w:pPr>
      <w:r>
        <w:rPr>
          <w:lang w:val="en-US"/>
        </w:rPr>
        <w:t>Unemployment rate among those aged 50+ is likely to directly relate to deprivation measures concerning employment outcomes</w:t>
      </w:r>
      <w:r w:rsidR="00254F6D">
        <w:rPr>
          <w:lang w:val="en-US"/>
        </w:rPr>
        <w:t xml:space="preserve"> as well as having a slight but significant association with low levels of engagement and civic participation.</w:t>
      </w:r>
    </w:p>
    <w:p w14:paraId="2416C9E9" w14:textId="77777777" w:rsidR="00892278" w:rsidRDefault="00892278" w:rsidP="00497D58">
      <w:pPr>
        <w:rPr>
          <w:lang w:val="en-US"/>
        </w:rPr>
      </w:pPr>
    </w:p>
    <w:p w14:paraId="162B79D8" w14:textId="23902564" w:rsidR="00254F6D" w:rsidRDefault="00F85821" w:rsidP="00497D58">
      <w:pPr>
        <w:rPr>
          <w:lang w:val="en-US"/>
        </w:rPr>
      </w:pPr>
      <w:r>
        <w:rPr>
          <w:lang w:val="en-US"/>
        </w:rPr>
        <w:t xml:space="preserve">Limiting-long-term illness among children </w:t>
      </w:r>
      <w:r w:rsidR="00254F6D">
        <w:rPr>
          <w:lang w:val="en-US"/>
        </w:rPr>
        <w:t xml:space="preserve">has direct associations with </w:t>
      </w:r>
      <w:r>
        <w:rPr>
          <w:lang w:val="en-US"/>
        </w:rPr>
        <w:t>health outcomes</w:t>
      </w:r>
      <w:r w:rsidR="00254F6D">
        <w:rPr>
          <w:lang w:val="en-US"/>
        </w:rPr>
        <w:t xml:space="preserve"> in the Indices of Deprivation </w:t>
      </w:r>
      <w:r>
        <w:rPr>
          <w:lang w:val="en-US"/>
        </w:rPr>
        <w:t xml:space="preserve">as well </w:t>
      </w:r>
      <w:r w:rsidR="00254F6D">
        <w:rPr>
          <w:lang w:val="en-US"/>
        </w:rPr>
        <w:t xml:space="preserve">as having some indirect impacts in terms of affecting household income and </w:t>
      </w:r>
      <w:r>
        <w:rPr>
          <w:lang w:val="en-US"/>
        </w:rPr>
        <w:t>ability</w:t>
      </w:r>
      <w:r w:rsidR="00254F6D">
        <w:rPr>
          <w:lang w:val="en-US"/>
        </w:rPr>
        <w:t xml:space="preserve"> </w:t>
      </w:r>
      <w:r>
        <w:rPr>
          <w:lang w:val="en-US"/>
        </w:rPr>
        <w:t>to participate in the wider community due to social care demands.</w:t>
      </w:r>
    </w:p>
    <w:p w14:paraId="744DAF68" w14:textId="77777777" w:rsidR="00254F6D" w:rsidRDefault="00254F6D" w:rsidP="00497D58">
      <w:pPr>
        <w:rPr>
          <w:lang w:val="en-US"/>
        </w:rPr>
      </w:pPr>
    </w:p>
    <w:p w14:paraId="3E9B1B71" w14:textId="77777777" w:rsidR="00254F6D" w:rsidRDefault="00F85821" w:rsidP="00497D58">
      <w:pPr>
        <w:rPr>
          <w:lang w:val="en-US"/>
        </w:rPr>
      </w:pPr>
      <w:r>
        <w:rPr>
          <w:lang w:val="en-US"/>
        </w:rPr>
        <w:t>A</w:t>
      </w:r>
      <w:r w:rsidR="00700193">
        <w:rPr>
          <w:lang w:val="en-US"/>
        </w:rPr>
        <w:t xml:space="preserve">reas with high levels of in-commuting are likely to have greater service </w:t>
      </w:r>
      <w:r>
        <w:rPr>
          <w:lang w:val="en-US"/>
        </w:rPr>
        <w:t xml:space="preserve">and civic assets </w:t>
      </w:r>
      <w:r w:rsidR="00700193">
        <w:rPr>
          <w:lang w:val="en-US"/>
        </w:rPr>
        <w:t>provision</w:t>
      </w:r>
      <w:r>
        <w:rPr>
          <w:lang w:val="en-US"/>
        </w:rPr>
        <w:t xml:space="preserve"> as they serve a wider local community</w:t>
      </w:r>
      <w:r w:rsidR="00254F6D">
        <w:rPr>
          <w:lang w:val="en-US"/>
        </w:rPr>
        <w:t xml:space="preserve"> and larger population. By contrast</w:t>
      </w:r>
      <w:r>
        <w:rPr>
          <w:lang w:val="en-US"/>
        </w:rPr>
        <w:t xml:space="preserve">, areas which experience </w:t>
      </w:r>
      <w:r w:rsidR="00254F6D">
        <w:rPr>
          <w:lang w:val="en-US"/>
        </w:rPr>
        <w:t>considerable</w:t>
      </w:r>
      <w:r>
        <w:rPr>
          <w:lang w:val="en-US"/>
        </w:rPr>
        <w:t xml:space="preserve"> out</w:t>
      </w:r>
      <w:r w:rsidR="00892278">
        <w:rPr>
          <w:lang w:val="en-US"/>
        </w:rPr>
        <w:t>-</w:t>
      </w:r>
      <w:r>
        <w:rPr>
          <w:lang w:val="en-US"/>
        </w:rPr>
        <w:t xml:space="preserve">commuting are more likely to have poorer provision as there is less use of assets </w:t>
      </w:r>
      <w:r w:rsidR="00254F6D">
        <w:rPr>
          <w:lang w:val="en-US"/>
        </w:rPr>
        <w:t xml:space="preserve">in these neighbourhoods </w:t>
      </w:r>
      <w:r>
        <w:rPr>
          <w:lang w:val="en-US"/>
        </w:rPr>
        <w:t>during the day.</w:t>
      </w:r>
      <w:r w:rsidR="00254F6D">
        <w:rPr>
          <w:lang w:val="en-US"/>
        </w:rPr>
        <w:t xml:space="preserve"> Strong levels of in-commuting are also a proxy measure of a strong local economy, suggesting the presence of employment locally.</w:t>
      </w:r>
    </w:p>
    <w:p w14:paraId="30B57402" w14:textId="77777777" w:rsidR="00254F6D" w:rsidRDefault="00254F6D" w:rsidP="00497D58">
      <w:pPr>
        <w:rPr>
          <w:lang w:val="en-US"/>
        </w:rPr>
      </w:pPr>
    </w:p>
    <w:p w14:paraId="4616DF0A" w14:textId="6BF721DA" w:rsidR="00B8788F" w:rsidRDefault="00F85821" w:rsidP="00497D58">
      <w:pPr>
        <w:rPr>
          <w:lang w:val="en-US"/>
        </w:rPr>
      </w:pPr>
      <w:r>
        <w:rPr>
          <w:lang w:val="en-US"/>
        </w:rPr>
        <w:t xml:space="preserve">The measure of degree education has a more indirect relationship with the measures of deprivation and community need encompassed in the ‘left-behind’ metric; however, high levels of education are likely to impact on </w:t>
      </w:r>
      <w:proofErr w:type="spellStart"/>
      <w:r>
        <w:rPr>
          <w:lang w:val="en-US"/>
        </w:rPr>
        <w:t>labour</w:t>
      </w:r>
      <w:proofErr w:type="spellEnd"/>
      <w:r>
        <w:rPr>
          <w:lang w:val="en-US"/>
        </w:rPr>
        <w:t xml:space="preserve"> market, income and skills measures while those with higher education may have more skills in community advocacy </w:t>
      </w:r>
      <w:r w:rsidR="00254F6D">
        <w:rPr>
          <w:lang w:val="en-US"/>
        </w:rPr>
        <w:t xml:space="preserve">to </w:t>
      </w:r>
      <w:r>
        <w:rPr>
          <w:lang w:val="en-US"/>
        </w:rPr>
        <w:t xml:space="preserve">support and protect the civic assets in their area </w:t>
      </w:r>
      <w:r w:rsidR="00254F6D">
        <w:rPr>
          <w:lang w:val="en-US"/>
        </w:rPr>
        <w:t xml:space="preserve">and participate in local activism </w:t>
      </w:r>
      <w:r>
        <w:rPr>
          <w:lang w:val="en-US"/>
        </w:rPr>
        <w:t>– which may account for the association between low community need and high presence of people with degree education.</w:t>
      </w:r>
    </w:p>
    <w:p w14:paraId="5AEFCD77" w14:textId="77777777" w:rsidR="00B8788F" w:rsidRDefault="00B8788F" w:rsidP="00497D58">
      <w:pPr>
        <w:rPr>
          <w:lang w:val="en-US"/>
        </w:rPr>
      </w:pPr>
    </w:p>
    <w:p w14:paraId="5992988B" w14:textId="76775474" w:rsidR="00D25FB0" w:rsidRDefault="00D25FB0" w:rsidP="00497D58">
      <w:pPr>
        <w:rPr>
          <w:lang w:val="en-US"/>
        </w:rPr>
      </w:pPr>
      <w:r>
        <w:rPr>
          <w:lang w:val="en-US"/>
        </w:rPr>
        <w:t>In the following section we identify wards in Essex which score highly on each of these three factors in order to highlight which areas are at greater risk of becoming ‘left-behind’ in future.</w:t>
      </w:r>
    </w:p>
    <w:p w14:paraId="6F6800A5" w14:textId="03EDB44E" w:rsidR="00D25FB0" w:rsidRDefault="00D25FB0" w:rsidP="00497D58">
      <w:pPr>
        <w:rPr>
          <w:lang w:val="en-US"/>
        </w:rPr>
      </w:pPr>
    </w:p>
    <w:p w14:paraId="660BAE34" w14:textId="77777777" w:rsidR="00D25FB0" w:rsidRDefault="00D25FB0">
      <w:pPr>
        <w:spacing w:after="160" w:line="259" w:lineRule="auto"/>
        <w:rPr>
          <w:rFonts w:eastAsiaTheme="majorEastAsia" w:cstheme="majorBidi"/>
          <w:color w:val="2F5496" w:themeColor="accent1" w:themeShade="BF"/>
          <w:sz w:val="32"/>
          <w:szCs w:val="32"/>
          <w:lang w:val="en-US"/>
        </w:rPr>
      </w:pPr>
      <w:r>
        <w:rPr>
          <w:lang w:val="en-US"/>
        </w:rPr>
        <w:br w:type="page"/>
      </w:r>
    </w:p>
    <w:p w14:paraId="512AB946" w14:textId="24A4EC58" w:rsidR="00D25FB0" w:rsidRDefault="00D25FB0" w:rsidP="00D25FB0">
      <w:pPr>
        <w:pStyle w:val="Heading1"/>
        <w:rPr>
          <w:lang w:val="en-US"/>
        </w:rPr>
      </w:pPr>
      <w:bookmarkStart w:id="20" w:name="_Toc71790740"/>
      <w:r>
        <w:rPr>
          <w:lang w:val="en-US"/>
        </w:rPr>
        <w:lastRenderedPageBreak/>
        <w:t>Section 3: Areas in Essex that are potentially at greater risk of being identified as ‘left-behind’</w:t>
      </w:r>
      <w:bookmarkEnd w:id="20"/>
    </w:p>
    <w:p w14:paraId="0FE22260" w14:textId="714D64E2" w:rsidR="00D25FB0" w:rsidRDefault="00D25FB0" w:rsidP="00D25FB0">
      <w:pPr>
        <w:rPr>
          <w:lang w:val="en-US"/>
        </w:rPr>
      </w:pPr>
    </w:p>
    <w:p w14:paraId="41243227" w14:textId="02DA8EB4" w:rsidR="00D25FB0" w:rsidRPr="00D25FB0" w:rsidRDefault="00D25FB0" w:rsidP="00D25FB0">
      <w:pPr>
        <w:rPr>
          <w:lang w:val="en-US"/>
        </w:rPr>
      </w:pPr>
      <w:r>
        <w:rPr>
          <w:lang w:val="en-US"/>
        </w:rPr>
        <w:t xml:space="preserve">The regression model above identified </w:t>
      </w:r>
      <w:r w:rsidR="00B8788F">
        <w:rPr>
          <w:lang w:val="en-US"/>
        </w:rPr>
        <w:t>four</w:t>
      </w:r>
      <w:r>
        <w:rPr>
          <w:lang w:val="en-US"/>
        </w:rPr>
        <w:t xml:space="preserve"> key factors which are likely to increase the risk of an area becoming ‘left-behind</w:t>
      </w:r>
      <w:r w:rsidR="00420822">
        <w:rPr>
          <w:lang w:val="en-US"/>
        </w:rPr>
        <w:t>:</w:t>
      </w:r>
      <w:r>
        <w:rPr>
          <w:lang w:val="en-US"/>
        </w:rPr>
        <w:t xml:space="preserve"> </w:t>
      </w:r>
    </w:p>
    <w:p w14:paraId="6AA66913" w14:textId="77777777" w:rsidR="00B8788F" w:rsidRDefault="00B8788F" w:rsidP="00B8788F">
      <w:pPr>
        <w:rPr>
          <w:lang w:val="en-US"/>
        </w:rPr>
      </w:pPr>
    </w:p>
    <w:p w14:paraId="0B5E91F4" w14:textId="77777777" w:rsidR="00254F6D" w:rsidRPr="00700193" w:rsidRDefault="00254F6D" w:rsidP="00254F6D">
      <w:pPr>
        <w:pStyle w:val="ListParagraph"/>
        <w:numPr>
          <w:ilvl w:val="0"/>
          <w:numId w:val="31"/>
        </w:numPr>
        <w:rPr>
          <w:lang w:val="en-US"/>
        </w:rPr>
      </w:pPr>
      <w:r>
        <w:t>U</w:t>
      </w:r>
      <w:r w:rsidRPr="00497D58">
        <w:t>nemployment rate among older people (aged 50+)</w:t>
      </w:r>
      <w:r>
        <w:t xml:space="preserve"> = more likely to be ‘left-behind’</w:t>
      </w:r>
    </w:p>
    <w:p w14:paraId="4611E4E7" w14:textId="77777777" w:rsidR="00254F6D" w:rsidRPr="00700193" w:rsidRDefault="00254F6D" w:rsidP="00254F6D">
      <w:pPr>
        <w:pStyle w:val="ListParagraph"/>
        <w:numPr>
          <w:ilvl w:val="0"/>
          <w:numId w:val="31"/>
        </w:numPr>
        <w:rPr>
          <w:lang w:val="en-US"/>
        </w:rPr>
      </w:pPr>
      <w:r>
        <w:t>Children (aged 0-15) with a limiting long-term illness = more likely to be ‘left-behind’</w:t>
      </w:r>
    </w:p>
    <w:p w14:paraId="378752A7" w14:textId="77777777" w:rsidR="00254F6D" w:rsidRDefault="00254F6D" w:rsidP="00254F6D">
      <w:pPr>
        <w:pStyle w:val="ListParagraph"/>
        <w:numPr>
          <w:ilvl w:val="0"/>
          <w:numId w:val="31"/>
        </w:numPr>
        <w:rPr>
          <w:lang w:val="en-US"/>
        </w:rPr>
      </w:pPr>
      <w:r>
        <w:rPr>
          <w:lang w:val="en-US"/>
        </w:rPr>
        <w:t xml:space="preserve">Areas with a high ratio of in-commuters = less likely to be </w:t>
      </w:r>
      <w:r>
        <w:t>‘left-behind’</w:t>
      </w:r>
    </w:p>
    <w:p w14:paraId="5D7A9740" w14:textId="77777777" w:rsidR="00254F6D" w:rsidRPr="00892278" w:rsidRDefault="00254F6D" w:rsidP="00254F6D">
      <w:pPr>
        <w:pStyle w:val="ListParagraph"/>
        <w:numPr>
          <w:ilvl w:val="0"/>
          <w:numId w:val="31"/>
        </w:numPr>
        <w:rPr>
          <w:lang w:val="en-US"/>
        </w:rPr>
      </w:pPr>
      <w:r w:rsidRPr="00892278">
        <w:rPr>
          <w:lang w:val="en-US"/>
        </w:rPr>
        <w:t xml:space="preserve">Areas with a high proportion of people holding degree or higher level qualifications = </w:t>
      </w:r>
      <w:r>
        <w:rPr>
          <w:lang w:val="en-US"/>
        </w:rPr>
        <w:t xml:space="preserve">less likely to be </w:t>
      </w:r>
      <w:r>
        <w:t>‘left-behind’.</w:t>
      </w:r>
    </w:p>
    <w:p w14:paraId="3B18DEAF" w14:textId="7C71CDF9" w:rsidR="00D25FB0" w:rsidRDefault="00D25FB0" w:rsidP="00B8788F"/>
    <w:p w14:paraId="49AD9A23" w14:textId="0FE2AFE2" w:rsidR="00B8788F" w:rsidRDefault="00B8788F" w:rsidP="00B8788F">
      <w:r>
        <w:t>This section identifies neighbourhoods in Essex which score highly on these measures and are therefore likely to be at increased risk of being identified as ‘left-behind’.</w:t>
      </w:r>
    </w:p>
    <w:p w14:paraId="1BFC459C" w14:textId="77777777" w:rsidR="00B8788F" w:rsidRDefault="00B8788F" w:rsidP="00B8788F"/>
    <w:p w14:paraId="332A6502" w14:textId="58241F51" w:rsidR="00B8788F" w:rsidRDefault="00B8788F" w:rsidP="00B8788F">
      <w:pPr>
        <w:pStyle w:val="Heading2"/>
      </w:pPr>
      <w:bookmarkStart w:id="21" w:name="_Toc71790741"/>
      <w:r>
        <w:t>U</w:t>
      </w:r>
      <w:r w:rsidRPr="00497D58">
        <w:t>nemployment rate among older people</w:t>
      </w:r>
      <w:bookmarkEnd w:id="21"/>
    </w:p>
    <w:p w14:paraId="702ECB5F" w14:textId="15A12F17" w:rsidR="00B51E4F" w:rsidRDefault="00B8788F" w:rsidP="00B51E4F">
      <w:r>
        <w:br/>
        <w:t>Unemployment rates</w:t>
      </w:r>
      <w:r w:rsidR="00B51E4F">
        <w:t xml:space="preserve"> among older people </w:t>
      </w:r>
      <w:r>
        <w:t xml:space="preserve">are </w:t>
      </w:r>
      <w:r w:rsidR="00B51E4F">
        <w:t>calculated</w:t>
      </w:r>
      <w:r>
        <w:t xml:space="preserve"> as those receiving Jobseekers Allowance or Universal Credit who are out of work and actively seeking work and who are aged between 50 and 64</w:t>
      </w:r>
      <w:r w:rsidR="00B51E4F">
        <w:t xml:space="preserve"> </w:t>
      </w:r>
      <w:r w:rsidR="00254F6D">
        <w:t>(</w:t>
      </w:r>
      <w:r w:rsidR="00B51E4F">
        <w:t>as a proportion of all aged 50-64</w:t>
      </w:r>
      <w:r w:rsidR="00254F6D">
        <w:t>)</w:t>
      </w:r>
      <w:r w:rsidR="00B51E4F">
        <w:t>.</w:t>
      </w:r>
    </w:p>
    <w:p w14:paraId="7B831F3B" w14:textId="77777777" w:rsidR="000C4327" w:rsidRDefault="000C4327" w:rsidP="00B51E4F"/>
    <w:p w14:paraId="0BE6A16D" w14:textId="7D4EF5BA" w:rsidR="00B8788F" w:rsidRDefault="00B51E4F" w:rsidP="00B8788F">
      <w:r>
        <w:t>65 of the 239 wards in Essex (27.2%) have a higher unemployment rate among those aged 50+ than the national average (2.7%). The table below presents the 20 wards in Essex with the highest rates of unemployment among those aged 50+. Areas identified as ‘left-behind’ are shaded blue.</w:t>
      </w:r>
    </w:p>
    <w:p w14:paraId="397E9D1B" w14:textId="77777777" w:rsidR="00B8788F" w:rsidRDefault="00B8788F" w:rsidP="00B8788F"/>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gridCol w:w="3526"/>
      </w:tblGrid>
      <w:tr w:rsidR="00B51E4F" w:rsidRPr="00192ECD" w14:paraId="2D85269D" w14:textId="77777777" w:rsidTr="000C4327">
        <w:trPr>
          <w:trHeight w:val="300"/>
        </w:trPr>
        <w:tc>
          <w:tcPr>
            <w:tcW w:w="3256" w:type="dxa"/>
            <w:shd w:val="clear" w:color="auto" w:fill="002060"/>
            <w:noWrap/>
            <w:vAlign w:val="center"/>
          </w:tcPr>
          <w:p w14:paraId="0AC9C6A5" w14:textId="77777777" w:rsidR="00B51E4F" w:rsidRPr="00192ECD" w:rsidRDefault="00B51E4F" w:rsidP="000C4327">
            <w:pPr>
              <w:rPr>
                <w:rFonts w:eastAsia="Times New Roman" w:cs="Calibri"/>
                <w:color w:val="FFFFFF" w:themeColor="background1"/>
                <w:szCs w:val="20"/>
                <w:lang w:eastAsia="en-GB"/>
              </w:rPr>
            </w:pPr>
            <w:r>
              <w:rPr>
                <w:rFonts w:eastAsia="Times New Roman" w:cs="Calibri"/>
                <w:color w:val="FFFFFF" w:themeColor="background1"/>
                <w:szCs w:val="20"/>
                <w:lang w:eastAsia="en-GB"/>
              </w:rPr>
              <w:t>Area</w:t>
            </w:r>
          </w:p>
        </w:tc>
        <w:tc>
          <w:tcPr>
            <w:tcW w:w="2126" w:type="dxa"/>
            <w:shd w:val="clear" w:color="auto" w:fill="002060"/>
            <w:noWrap/>
            <w:vAlign w:val="center"/>
          </w:tcPr>
          <w:p w14:paraId="79D66C0C" w14:textId="77777777" w:rsidR="00B51E4F" w:rsidRPr="00192ECD" w:rsidRDefault="00B51E4F" w:rsidP="000C4327">
            <w:pPr>
              <w:rPr>
                <w:rFonts w:eastAsia="Times New Roman" w:cs="Calibri"/>
                <w:color w:val="FFFFFF" w:themeColor="background1"/>
                <w:szCs w:val="20"/>
                <w:lang w:eastAsia="en-GB"/>
              </w:rPr>
            </w:pPr>
            <w:r>
              <w:rPr>
                <w:color w:val="FFFFFF" w:themeColor="background1"/>
              </w:rPr>
              <w:t>Local Authority</w:t>
            </w:r>
          </w:p>
        </w:tc>
        <w:tc>
          <w:tcPr>
            <w:tcW w:w="3526" w:type="dxa"/>
            <w:shd w:val="clear" w:color="auto" w:fill="002060"/>
            <w:noWrap/>
            <w:vAlign w:val="center"/>
          </w:tcPr>
          <w:p w14:paraId="31FC0CD5" w14:textId="77278871" w:rsidR="00B51E4F" w:rsidRPr="00192ECD" w:rsidRDefault="0019397E" w:rsidP="0019397E">
            <w:pPr>
              <w:rPr>
                <w:rFonts w:eastAsia="Times New Roman" w:cs="Calibri"/>
                <w:color w:val="FFFFFF" w:themeColor="background1"/>
                <w:szCs w:val="20"/>
                <w:lang w:eastAsia="en-GB"/>
              </w:rPr>
            </w:pPr>
            <w:r>
              <w:rPr>
                <w:rFonts w:eastAsia="Times New Roman" w:cs="Calibri"/>
                <w:color w:val="FFFFFF" w:themeColor="background1"/>
                <w:szCs w:val="20"/>
                <w:lang w:eastAsia="en-GB"/>
              </w:rPr>
              <w:t>Unemployment rate (aged 50+)</w:t>
            </w:r>
            <w:r w:rsidR="000C4327">
              <w:rPr>
                <w:rFonts w:eastAsia="Times New Roman" w:cs="Calibri"/>
                <w:color w:val="FFFFFF" w:themeColor="background1"/>
                <w:szCs w:val="20"/>
                <w:lang w:eastAsia="en-GB"/>
              </w:rPr>
              <w:t xml:space="preserve"> (%)</w:t>
            </w:r>
          </w:p>
        </w:tc>
      </w:tr>
      <w:tr w:rsidR="0019397E" w:rsidRPr="00192ECD" w14:paraId="3A9E87FC" w14:textId="77777777" w:rsidTr="000C4327">
        <w:trPr>
          <w:trHeight w:val="300"/>
        </w:trPr>
        <w:tc>
          <w:tcPr>
            <w:tcW w:w="3256" w:type="dxa"/>
            <w:shd w:val="clear" w:color="auto" w:fill="FFFFFF" w:themeFill="background1"/>
            <w:noWrap/>
            <w:vAlign w:val="bottom"/>
          </w:tcPr>
          <w:p w14:paraId="682729B4" w14:textId="180C567C" w:rsidR="0019397E" w:rsidRPr="0019397E" w:rsidRDefault="0019397E" w:rsidP="0019397E">
            <w:pPr>
              <w:rPr>
                <w:szCs w:val="20"/>
              </w:rPr>
            </w:pPr>
            <w:r w:rsidRPr="0019397E">
              <w:rPr>
                <w:color w:val="000000"/>
                <w:szCs w:val="20"/>
              </w:rPr>
              <w:t>Pier</w:t>
            </w:r>
          </w:p>
        </w:tc>
        <w:tc>
          <w:tcPr>
            <w:tcW w:w="2126" w:type="dxa"/>
            <w:shd w:val="clear" w:color="auto" w:fill="FFFFFF" w:themeFill="background1"/>
            <w:noWrap/>
            <w:vAlign w:val="bottom"/>
          </w:tcPr>
          <w:p w14:paraId="4177C1F8" w14:textId="41E86E04" w:rsidR="0019397E" w:rsidRPr="0019397E" w:rsidRDefault="0019397E" w:rsidP="0019397E">
            <w:pPr>
              <w:rPr>
                <w:szCs w:val="20"/>
              </w:rPr>
            </w:pPr>
            <w:r w:rsidRPr="0019397E">
              <w:rPr>
                <w:color w:val="000000"/>
                <w:szCs w:val="20"/>
              </w:rPr>
              <w:t>Tendring</w:t>
            </w:r>
          </w:p>
        </w:tc>
        <w:tc>
          <w:tcPr>
            <w:tcW w:w="3526" w:type="dxa"/>
            <w:shd w:val="clear" w:color="auto" w:fill="FFFFFF" w:themeFill="background1"/>
            <w:noWrap/>
            <w:vAlign w:val="bottom"/>
          </w:tcPr>
          <w:p w14:paraId="2A59304B" w14:textId="4105EC62" w:rsidR="0019397E" w:rsidRPr="0019397E" w:rsidRDefault="0019397E" w:rsidP="0019397E">
            <w:pPr>
              <w:jc w:val="right"/>
              <w:rPr>
                <w:rFonts w:eastAsia="Times New Roman" w:cs="Calibri"/>
                <w:color w:val="000000" w:themeColor="text1"/>
                <w:szCs w:val="20"/>
                <w:lang w:eastAsia="en-GB"/>
              </w:rPr>
            </w:pPr>
            <w:r w:rsidRPr="0019397E">
              <w:rPr>
                <w:color w:val="000000"/>
                <w:szCs w:val="20"/>
              </w:rPr>
              <w:t>7.0</w:t>
            </w:r>
          </w:p>
        </w:tc>
      </w:tr>
      <w:tr w:rsidR="0019397E" w:rsidRPr="00192ECD" w14:paraId="116769F6" w14:textId="77777777" w:rsidTr="000C4327">
        <w:trPr>
          <w:trHeight w:val="300"/>
        </w:trPr>
        <w:tc>
          <w:tcPr>
            <w:tcW w:w="3256" w:type="dxa"/>
            <w:shd w:val="clear" w:color="auto" w:fill="0070C0"/>
            <w:noWrap/>
            <w:vAlign w:val="bottom"/>
          </w:tcPr>
          <w:p w14:paraId="6ED3A71C" w14:textId="572BE627" w:rsidR="0019397E" w:rsidRPr="0019397E" w:rsidRDefault="0019397E" w:rsidP="0019397E">
            <w:pPr>
              <w:rPr>
                <w:color w:val="FFFFFF" w:themeColor="background1"/>
                <w:szCs w:val="20"/>
              </w:rPr>
            </w:pPr>
            <w:r w:rsidRPr="0019397E">
              <w:rPr>
                <w:color w:val="FFFFFF" w:themeColor="background1"/>
                <w:szCs w:val="20"/>
              </w:rPr>
              <w:t>Harwich &amp; Kingsway</w:t>
            </w:r>
          </w:p>
        </w:tc>
        <w:tc>
          <w:tcPr>
            <w:tcW w:w="2126" w:type="dxa"/>
            <w:shd w:val="clear" w:color="auto" w:fill="0070C0"/>
            <w:noWrap/>
            <w:vAlign w:val="bottom"/>
          </w:tcPr>
          <w:p w14:paraId="48BED1D6" w14:textId="2C4FB57A" w:rsidR="0019397E" w:rsidRPr="0019397E" w:rsidRDefault="0019397E" w:rsidP="0019397E">
            <w:pPr>
              <w:rPr>
                <w:color w:val="FFFFFF" w:themeColor="background1"/>
                <w:szCs w:val="20"/>
              </w:rPr>
            </w:pPr>
            <w:r w:rsidRPr="0019397E">
              <w:rPr>
                <w:color w:val="FFFFFF" w:themeColor="background1"/>
                <w:szCs w:val="20"/>
              </w:rPr>
              <w:t>Tendring</w:t>
            </w:r>
          </w:p>
        </w:tc>
        <w:tc>
          <w:tcPr>
            <w:tcW w:w="3526" w:type="dxa"/>
            <w:shd w:val="clear" w:color="auto" w:fill="0070C0"/>
            <w:noWrap/>
            <w:vAlign w:val="bottom"/>
          </w:tcPr>
          <w:p w14:paraId="5B84D189" w14:textId="1B4A3269" w:rsidR="0019397E" w:rsidRPr="0019397E" w:rsidRDefault="0019397E" w:rsidP="0019397E">
            <w:pPr>
              <w:jc w:val="right"/>
              <w:rPr>
                <w:rFonts w:eastAsia="Times New Roman" w:cs="Arial"/>
                <w:color w:val="FFFFFF" w:themeColor="background1"/>
                <w:szCs w:val="20"/>
                <w:lang w:eastAsia="en-GB"/>
              </w:rPr>
            </w:pPr>
            <w:r w:rsidRPr="0019397E">
              <w:rPr>
                <w:color w:val="FFFFFF" w:themeColor="background1"/>
                <w:szCs w:val="20"/>
              </w:rPr>
              <w:t>5.5</w:t>
            </w:r>
          </w:p>
        </w:tc>
      </w:tr>
      <w:tr w:rsidR="0019397E" w:rsidRPr="00192ECD" w14:paraId="1B1F51BE" w14:textId="77777777" w:rsidTr="000C4327">
        <w:trPr>
          <w:trHeight w:val="300"/>
        </w:trPr>
        <w:tc>
          <w:tcPr>
            <w:tcW w:w="3256" w:type="dxa"/>
            <w:shd w:val="clear" w:color="auto" w:fill="0070C0"/>
            <w:noWrap/>
            <w:vAlign w:val="bottom"/>
          </w:tcPr>
          <w:p w14:paraId="4758B924" w14:textId="4034A9A1" w:rsidR="0019397E" w:rsidRPr="0019397E" w:rsidRDefault="0019397E" w:rsidP="0019397E">
            <w:pPr>
              <w:rPr>
                <w:color w:val="FFFFFF" w:themeColor="background1"/>
                <w:szCs w:val="20"/>
              </w:rPr>
            </w:pPr>
            <w:r w:rsidRPr="0019397E">
              <w:rPr>
                <w:color w:val="FFFFFF" w:themeColor="background1"/>
                <w:szCs w:val="20"/>
              </w:rPr>
              <w:t>Lee Chapel North</w:t>
            </w:r>
          </w:p>
        </w:tc>
        <w:tc>
          <w:tcPr>
            <w:tcW w:w="2126" w:type="dxa"/>
            <w:shd w:val="clear" w:color="auto" w:fill="0070C0"/>
            <w:noWrap/>
            <w:vAlign w:val="bottom"/>
          </w:tcPr>
          <w:p w14:paraId="31C36B74" w14:textId="5779B766" w:rsidR="0019397E" w:rsidRPr="0019397E" w:rsidRDefault="0019397E" w:rsidP="0019397E">
            <w:pPr>
              <w:rPr>
                <w:color w:val="FFFFFF" w:themeColor="background1"/>
                <w:szCs w:val="20"/>
              </w:rPr>
            </w:pPr>
            <w:r w:rsidRPr="0019397E">
              <w:rPr>
                <w:color w:val="FFFFFF" w:themeColor="background1"/>
                <w:szCs w:val="20"/>
              </w:rPr>
              <w:t>Basildon</w:t>
            </w:r>
          </w:p>
        </w:tc>
        <w:tc>
          <w:tcPr>
            <w:tcW w:w="3526" w:type="dxa"/>
            <w:shd w:val="clear" w:color="auto" w:fill="0070C0"/>
            <w:noWrap/>
            <w:vAlign w:val="bottom"/>
          </w:tcPr>
          <w:p w14:paraId="30FDFEA8" w14:textId="087CB293" w:rsidR="0019397E" w:rsidRPr="0019397E" w:rsidRDefault="0019397E" w:rsidP="0019397E">
            <w:pPr>
              <w:jc w:val="right"/>
              <w:rPr>
                <w:rFonts w:eastAsia="Times New Roman" w:cs="Calibri"/>
                <w:color w:val="FFFFFF" w:themeColor="background1"/>
                <w:szCs w:val="20"/>
                <w:lang w:eastAsia="en-GB"/>
              </w:rPr>
            </w:pPr>
            <w:r w:rsidRPr="0019397E">
              <w:rPr>
                <w:color w:val="FFFFFF" w:themeColor="background1"/>
                <w:szCs w:val="20"/>
              </w:rPr>
              <w:t>5.1</w:t>
            </w:r>
          </w:p>
        </w:tc>
      </w:tr>
      <w:tr w:rsidR="0019397E" w:rsidRPr="00192ECD" w14:paraId="7F0678D0" w14:textId="77777777" w:rsidTr="000C4327">
        <w:trPr>
          <w:trHeight w:val="300"/>
        </w:trPr>
        <w:tc>
          <w:tcPr>
            <w:tcW w:w="3256" w:type="dxa"/>
            <w:shd w:val="clear" w:color="auto" w:fill="0070C0"/>
            <w:noWrap/>
            <w:vAlign w:val="bottom"/>
          </w:tcPr>
          <w:p w14:paraId="1B8FB048" w14:textId="384CA744" w:rsidR="0019397E" w:rsidRPr="0019397E" w:rsidRDefault="0019397E" w:rsidP="0019397E">
            <w:pPr>
              <w:rPr>
                <w:color w:val="FFFFFF" w:themeColor="background1"/>
                <w:szCs w:val="20"/>
              </w:rPr>
            </w:pPr>
            <w:r w:rsidRPr="0019397E">
              <w:rPr>
                <w:color w:val="FFFFFF" w:themeColor="background1"/>
                <w:szCs w:val="20"/>
              </w:rPr>
              <w:t>West Clacton &amp; Jaywick Sands</w:t>
            </w:r>
          </w:p>
        </w:tc>
        <w:tc>
          <w:tcPr>
            <w:tcW w:w="2126" w:type="dxa"/>
            <w:shd w:val="clear" w:color="auto" w:fill="0070C0"/>
            <w:noWrap/>
            <w:vAlign w:val="bottom"/>
          </w:tcPr>
          <w:p w14:paraId="726A6DDB" w14:textId="401AC254" w:rsidR="0019397E" w:rsidRPr="0019397E" w:rsidRDefault="0019397E" w:rsidP="0019397E">
            <w:pPr>
              <w:rPr>
                <w:color w:val="FFFFFF" w:themeColor="background1"/>
                <w:szCs w:val="20"/>
              </w:rPr>
            </w:pPr>
            <w:r w:rsidRPr="0019397E">
              <w:rPr>
                <w:color w:val="FFFFFF" w:themeColor="background1"/>
                <w:szCs w:val="20"/>
              </w:rPr>
              <w:t>Tendring</w:t>
            </w:r>
          </w:p>
        </w:tc>
        <w:tc>
          <w:tcPr>
            <w:tcW w:w="3526" w:type="dxa"/>
            <w:shd w:val="clear" w:color="auto" w:fill="0070C0"/>
            <w:noWrap/>
            <w:vAlign w:val="bottom"/>
          </w:tcPr>
          <w:p w14:paraId="78055122" w14:textId="32DB6F5F" w:rsidR="0019397E" w:rsidRPr="0019397E" w:rsidRDefault="0019397E" w:rsidP="0019397E">
            <w:pPr>
              <w:jc w:val="right"/>
              <w:rPr>
                <w:rFonts w:eastAsia="Times New Roman" w:cs="Calibri"/>
                <w:color w:val="FFFFFF" w:themeColor="background1"/>
                <w:szCs w:val="20"/>
                <w:lang w:eastAsia="en-GB"/>
              </w:rPr>
            </w:pPr>
            <w:r w:rsidRPr="0019397E">
              <w:rPr>
                <w:color w:val="FFFFFF" w:themeColor="background1"/>
                <w:szCs w:val="20"/>
              </w:rPr>
              <w:t>5.0</w:t>
            </w:r>
          </w:p>
        </w:tc>
      </w:tr>
      <w:tr w:rsidR="0019397E" w:rsidRPr="00192ECD" w14:paraId="47E72EFE" w14:textId="77777777" w:rsidTr="000C4327">
        <w:trPr>
          <w:trHeight w:val="300"/>
        </w:trPr>
        <w:tc>
          <w:tcPr>
            <w:tcW w:w="3256" w:type="dxa"/>
            <w:shd w:val="clear" w:color="auto" w:fill="FFFFFF" w:themeFill="background1"/>
            <w:noWrap/>
            <w:vAlign w:val="bottom"/>
          </w:tcPr>
          <w:p w14:paraId="3655C052" w14:textId="0B9994BD" w:rsidR="0019397E" w:rsidRPr="0019397E" w:rsidRDefault="0019397E" w:rsidP="0019397E">
            <w:pPr>
              <w:rPr>
                <w:szCs w:val="20"/>
              </w:rPr>
            </w:pPr>
            <w:r w:rsidRPr="0019397E">
              <w:rPr>
                <w:color w:val="000000"/>
                <w:szCs w:val="20"/>
              </w:rPr>
              <w:t>Loughton Alderton</w:t>
            </w:r>
          </w:p>
        </w:tc>
        <w:tc>
          <w:tcPr>
            <w:tcW w:w="2126" w:type="dxa"/>
            <w:shd w:val="clear" w:color="auto" w:fill="FFFFFF" w:themeFill="background1"/>
            <w:noWrap/>
            <w:vAlign w:val="bottom"/>
          </w:tcPr>
          <w:p w14:paraId="12BFCDE7" w14:textId="79323855" w:rsidR="0019397E" w:rsidRPr="0019397E" w:rsidRDefault="0019397E" w:rsidP="0019397E">
            <w:pPr>
              <w:rPr>
                <w:szCs w:val="20"/>
              </w:rPr>
            </w:pPr>
            <w:r w:rsidRPr="0019397E">
              <w:rPr>
                <w:color w:val="000000"/>
                <w:szCs w:val="20"/>
              </w:rPr>
              <w:t>Epping Forest</w:t>
            </w:r>
          </w:p>
        </w:tc>
        <w:tc>
          <w:tcPr>
            <w:tcW w:w="3526" w:type="dxa"/>
            <w:shd w:val="clear" w:color="auto" w:fill="FFFFFF" w:themeFill="background1"/>
            <w:noWrap/>
            <w:vAlign w:val="bottom"/>
          </w:tcPr>
          <w:p w14:paraId="634ACEAA" w14:textId="274C4B4E" w:rsidR="0019397E" w:rsidRPr="0019397E" w:rsidRDefault="0019397E" w:rsidP="0019397E">
            <w:pPr>
              <w:jc w:val="right"/>
              <w:rPr>
                <w:rFonts w:eastAsia="Times New Roman" w:cs="Calibri"/>
                <w:color w:val="000000" w:themeColor="text1"/>
                <w:szCs w:val="20"/>
                <w:lang w:eastAsia="en-GB"/>
              </w:rPr>
            </w:pPr>
            <w:r w:rsidRPr="0019397E">
              <w:rPr>
                <w:color w:val="000000"/>
                <w:szCs w:val="20"/>
              </w:rPr>
              <w:t>5.0</w:t>
            </w:r>
          </w:p>
        </w:tc>
      </w:tr>
      <w:tr w:rsidR="0019397E" w:rsidRPr="00192ECD" w14:paraId="0AA6662E" w14:textId="77777777" w:rsidTr="000C4327">
        <w:trPr>
          <w:trHeight w:val="300"/>
        </w:trPr>
        <w:tc>
          <w:tcPr>
            <w:tcW w:w="3256" w:type="dxa"/>
            <w:shd w:val="clear" w:color="auto" w:fill="FFFFFF" w:themeFill="background1"/>
            <w:noWrap/>
            <w:vAlign w:val="bottom"/>
          </w:tcPr>
          <w:p w14:paraId="0B029AF2" w14:textId="48D61D08" w:rsidR="0019397E" w:rsidRPr="0019397E" w:rsidRDefault="0019397E" w:rsidP="0019397E">
            <w:pPr>
              <w:rPr>
                <w:szCs w:val="20"/>
              </w:rPr>
            </w:pPr>
            <w:r w:rsidRPr="0019397E">
              <w:rPr>
                <w:color w:val="000000"/>
                <w:szCs w:val="20"/>
              </w:rPr>
              <w:t xml:space="preserve">Little </w:t>
            </w:r>
            <w:proofErr w:type="spellStart"/>
            <w:r w:rsidRPr="0019397E">
              <w:rPr>
                <w:color w:val="000000"/>
                <w:szCs w:val="20"/>
              </w:rPr>
              <w:t>Parndon</w:t>
            </w:r>
            <w:proofErr w:type="spellEnd"/>
            <w:r w:rsidRPr="0019397E">
              <w:rPr>
                <w:color w:val="000000"/>
                <w:szCs w:val="20"/>
              </w:rPr>
              <w:t xml:space="preserve"> and Hare Street</w:t>
            </w:r>
          </w:p>
        </w:tc>
        <w:tc>
          <w:tcPr>
            <w:tcW w:w="2126" w:type="dxa"/>
            <w:shd w:val="clear" w:color="auto" w:fill="FFFFFF" w:themeFill="background1"/>
            <w:noWrap/>
            <w:vAlign w:val="bottom"/>
          </w:tcPr>
          <w:p w14:paraId="7DFEF321" w14:textId="6BC82F99" w:rsidR="0019397E" w:rsidRPr="0019397E" w:rsidRDefault="0019397E" w:rsidP="0019397E">
            <w:pPr>
              <w:rPr>
                <w:szCs w:val="20"/>
              </w:rPr>
            </w:pPr>
            <w:r w:rsidRPr="0019397E">
              <w:rPr>
                <w:color w:val="000000"/>
                <w:szCs w:val="20"/>
              </w:rPr>
              <w:t>Harlow</w:t>
            </w:r>
          </w:p>
        </w:tc>
        <w:tc>
          <w:tcPr>
            <w:tcW w:w="3526" w:type="dxa"/>
            <w:shd w:val="clear" w:color="auto" w:fill="FFFFFF" w:themeFill="background1"/>
            <w:noWrap/>
            <w:vAlign w:val="bottom"/>
          </w:tcPr>
          <w:p w14:paraId="38C22230" w14:textId="34F1C73A"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4.8</w:t>
            </w:r>
          </w:p>
        </w:tc>
      </w:tr>
      <w:tr w:rsidR="0019397E" w:rsidRPr="00192ECD" w14:paraId="08D6A718" w14:textId="77777777" w:rsidTr="000C4327">
        <w:trPr>
          <w:trHeight w:val="300"/>
        </w:trPr>
        <w:tc>
          <w:tcPr>
            <w:tcW w:w="3256" w:type="dxa"/>
            <w:shd w:val="clear" w:color="auto" w:fill="FFFFFF" w:themeFill="background1"/>
            <w:noWrap/>
            <w:vAlign w:val="bottom"/>
          </w:tcPr>
          <w:p w14:paraId="2CAAA4EA" w14:textId="47F8542F" w:rsidR="0019397E" w:rsidRPr="0019397E" w:rsidRDefault="0019397E" w:rsidP="0019397E">
            <w:pPr>
              <w:rPr>
                <w:szCs w:val="20"/>
              </w:rPr>
            </w:pPr>
            <w:r w:rsidRPr="0019397E">
              <w:rPr>
                <w:color w:val="000000"/>
                <w:szCs w:val="20"/>
              </w:rPr>
              <w:t>Loughton Broadway</w:t>
            </w:r>
          </w:p>
        </w:tc>
        <w:tc>
          <w:tcPr>
            <w:tcW w:w="2126" w:type="dxa"/>
            <w:shd w:val="clear" w:color="auto" w:fill="FFFFFF" w:themeFill="background1"/>
            <w:noWrap/>
            <w:vAlign w:val="bottom"/>
          </w:tcPr>
          <w:p w14:paraId="2985734F" w14:textId="689EB1EB" w:rsidR="0019397E" w:rsidRPr="0019397E" w:rsidRDefault="0019397E" w:rsidP="0019397E">
            <w:pPr>
              <w:rPr>
                <w:szCs w:val="20"/>
              </w:rPr>
            </w:pPr>
            <w:r w:rsidRPr="0019397E">
              <w:rPr>
                <w:color w:val="000000"/>
                <w:szCs w:val="20"/>
              </w:rPr>
              <w:t>Epping Forest</w:t>
            </w:r>
          </w:p>
        </w:tc>
        <w:tc>
          <w:tcPr>
            <w:tcW w:w="3526" w:type="dxa"/>
            <w:shd w:val="clear" w:color="auto" w:fill="FFFFFF" w:themeFill="background1"/>
            <w:noWrap/>
            <w:vAlign w:val="bottom"/>
          </w:tcPr>
          <w:p w14:paraId="7FA5706B" w14:textId="3A74D862"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4.7</w:t>
            </w:r>
          </w:p>
        </w:tc>
      </w:tr>
      <w:tr w:rsidR="0019397E" w:rsidRPr="00192ECD" w14:paraId="7C7A73DA" w14:textId="77777777" w:rsidTr="000C4327">
        <w:trPr>
          <w:trHeight w:val="300"/>
        </w:trPr>
        <w:tc>
          <w:tcPr>
            <w:tcW w:w="3256" w:type="dxa"/>
            <w:shd w:val="clear" w:color="auto" w:fill="FFFFFF" w:themeFill="background1"/>
            <w:noWrap/>
            <w:vAlign w:val="bottom"/>
          </w:tcPr>
          <w:p w14:paraId="2DD4FEB0" w14:textId="001C8CD2" w:rsidR="0019397E" w:rsidRPr="0019397E" w:rsidRDefault="0019397E" w:rsidP="0019397E">
            <w:pPr>
              <w:rPr>
                <w:szCs w:val="20"/>
              </w:rPr>
            </w:pPr>
            <w:r w:rsidRPr="0019397E">
              <w:rPr>
                <w:color w:val="000000"/>
                <w:szCs w:val="20"/>
              </w:rPr>
              <w:t>St Martin's</w:t>
            </w:r>
          </w:p>
        </w:tc>
        <w:tc>
          <w:tcPr>
            <w:tcW w:w="2126" w:type="dxa"/>
            <w:shd w:val="clear" w:color="auto" w:fill="FFFFFF" w:themeFill="background1"/>
            <w:noWrap/>
            <w:vAlign w:val="bottom"/>
          </w:tcPr>
          <w:p w14:paraId="5F3B7DE7" w14:textId="25104AE1" w:rsidR="0019397E" w:rsidRPr="0019397E" w:rsidRDefault="0019397E" w:rsidP="0019397E">
            <w:pPr>
              <w:rPr>
                <w:szCs w:val="20"/>
              </w:rPr>
            </w:pPr>
            <w:r w:rsidRPr="0019397E">
              <w:rPr>
                <w:color w:val="000000"/>
                <w:szCs w:val="20"/>
              </w:rPr>
              <w:t>Basildon</w:t>
            </w:r>
          </w:p>
        </w:tc>
        <w:tc>
          <w:tcPr>
            <w:tcW w:w="3526" w:type="dxa"/>
            <w:shd w:val="clear" w:color="auto" w:fill="FFFFFF" w:themeFill="background1"/>
            <w:noWrap/>
            <w:vAlign w:val="bottom"/>
          </w:tcPr>
          <w:p w14:paraId="0859EA34" w14:textId="2F9DF90D"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4.7</w:t>
            </w:r>
          </w:p>
        </w:tc>
      </w:tr>
      <w:tr w:rsidR="0019397E" w:rsidRPr="00192ECD" w14:paraId="3016E436" w14:textId="77777777" w:rsidTr="000C4327">
        <w:trPr>
          <w:trHeight w:val="300"/>
        </w:trPr>
        <w:tc>
          <w:tcPr>
            <w:tcW w:w="3256" w:type="dxa"/>
            <w:shd w:val="clear" w:color="auto" w:fill="0070C0"/>
            <w:noWrap/>
            <w:vAlign w:val="bottom"/>
          </w:tcPr>
          <w:p w14:paraId="00BB5D6C" w14:textId="39FD1214" w:rsidR="0019397E" w:rsidRPr="0019397E" w:rsidRDefault="0019397E" w:rsidP="0019397E">
            <w:pPr>
              <w:rPr>
                <w:color w:val="FFFFFF" w:themeColor="background1"/>
                <w:szCs w:val="20"/>
              </w:rPr>
            </w:pPr>
            <w:proofErr w:type="spellStart"/>
            <w:r w:rsidRPr="0019397E">
              <w:rPr>
                <w:color w:val="FFFFFF" w:themeColor="background1"/>
                <w:szCs w:val="20"/>
              </w:rPr>
              <w:t>Vange</w:t>
            </w:r>
            <w:proofErr w:type="spellEnd"/>
          </w:p>
        </w:tc>
        <w:tc>
          <w:tcPr>
            <w:tcW w:w="2126" w:type="dxa"/>
            <w:shd w:val="clear" w:color="auto" w:fill="0070C0"/>
            <w:noWrap/>
            <w:vAlign w:val="bottom"/>
          </w:tcPr>
          <w:p w14:paraId="2EFBA904" w14:textId="140BEB3F" w:rsidR="0019397E" w:rsidRPr="0019397E" w:rsidRDefault="0019397E" w:rsidP="0019397E">
            <w:pPr>
              <w:rPr>
                <w:color w:val="FFFFFF" w:themeColor="background1"/>
                <w:szCs w:val="20"/>
              </w:rPr>
            </w:pPr>
            <w:r w:rsidRPr="0019397E">
              <w:rPr>
                <w:color w:val="FFFFFF" w:themeColor="background1"/>
                <w:szCs w:val="20"/>
              </w:rPr>
              <w:t>Basildon</w:t>
            </w:r>
          </w:p>
        </w:tc>
        <w:tc>
          <w:tcPr>
            <w:tcW w:w="3526" w:type="dxa"/>
            <w:shd w:val="clear" w:color="auto" w:fill="0070C0"/>
            <w:noWrap/>
            <w:vAlign w:val="bottom"/>
          </w:tcPr>
          <w:p w14:paraId="078FBB73" w14:textId="5A682C35" w:rsidR="0019397E" w:rsidRPr="0019397E" w:rsidRDefault="0019397E" w:rsidP="0019397E">
            <w:pPr>
              <w:jc w:val="right"/>
              <w:rPr>
                <w:rFonts w:eastAsia="Times New Roman" w:cs="Calibri"/>
                <w:color w:val="FFFFFF" w:themeColor="background1"/>
                <w:szCs w:val="20"/>
                <w:lang w:eastAsia="en-GB"/>
              </w:rPr>
            </w:pPr>
            <w:r w:rsidRPr="0019397E">
              <w:rPr>
                <w:color w:val="FFFFFF" w:themeColor="background1"/>
                <w:szCs w:val="20"/>
              </w:rPr>
              <w:t>4.7</w:t>
            </w:r>
          </w:p>
        </w:tc>
      </w:tr>
      <w:tr w:rsidR="0019397E" w:rsidRPr="00192ECD" w14:paraId="26031A68" w14:textId="77777777" w:rsidTr="000C4327">
        <w:trPr>
          <w:trHeight w:val="300"/>
        </w:trPr>
        <w:tc>
          <w:tcPr>
            <w:tcW w:w="3256" w:type="dxa"/>
            <w:shd w:val="clear" w:color="auto" w:fill="FFFFFF" w:themeFill="background1"/>
            <w:noWrap/>
            <w:vAlign w:val="bottom"/>
          </w:tcPr>
          <w:p w14:paraId="793DBB00" w14:textId="19BD1F71" w:rsidR="0019397E" w:rsidRPr="0019397E" w:rsidRDefault="0019397E" w:rsidP="0019397E">
            <w:pPr>
              <w:rPr>
                <w:szCs w:val="20"/>
              </w:rPr>
            </w:pPr>
            <w:r w:rsidRPr="0019397E">
              <w:rPr>
                <w:color w:val="000000"/>
                <w:szCs w:val="20"/>
              </w:rPr>
              <w:t>Shelley</w:t>
            </w:r>
          </w:p>
        </w:tc>
        <w:tc>
          <w:tcPr>
            <w:tcW w:w="2126" w:type="dxa"/>
            <w:shd w:val="clear" w:color="auto" w:fill="FFFFFF" w:themeFill="background1"/>
            <w:noWrap/>
            <w:vAlign w:val="bottom"/>
          </w:tcPr>
          <w:p w14:paraId="503BED37" w14:textId="55DA8977" w:rsidR="0019397E" w:rsidRPr="0019397E" w:rsidRDefault="0019397E" w:rsidP="0019397E">
            <w:pPr>
              <w:rPr>
                <w:szCs w:val="20"/>
              </w:rPr>
            </w:pPr>
            <w:r w:rsidRPr="0019397E">
              <w:rPr>
                <w:color w:val="000000"/>
                <w:szCs w:val="20"/>
              </w:rPr>
              <w:t>Epping Forest</w:t>
            </w:r>
          </w:p>
        </w:tc>
        <w:tc>
          <w:tcPr>
            <w:tcW w:w="3526" w:type="dxa"/>
            <w:shd w:val="clear" w:color="auto" w:fill="FFFFFF" w:themeFill="background1"/>
            <w:noWrap/>
            <w:vAlign w:val="bottom"/>
          </w:tcPr>
          <w:p w14:paraId="2608431B" w14:textId="6974C7D7"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4.7</w:t>
            </w:r>
          </w:p>
        </w:tc>
      </w:tr>
      <w:tr w:rsidR="0019397E" w:rsidRPr="00192ECD" w14:paraId="18FF2498" w14:textId="77777777" w:rsidTr="000C4327">
        <w:trPr>
          <w:trHeight w:val="300"/>
        </w:trPr>
        <w:tc>
          <w:tcPr>
            <w:tcW w:w="3256" w:type="dxa"/>
            <w:shd w:val="clear" w:color="auto" w:fill="FFFFFF" w:themeFill="background1"/>
            <w:noWrap/>
            <w:vAlign w:val="bottom"/>
          </w:tcPr>
          <w:p w14:paraId="6018D914" w14:textId="7D4DC127" w:rsidR="0019397E" w:rsidRPr="0019397E" w:rsidRDefault="0019397E" w:rsidP="0019397E">
            <w:pPr>
              <w:rPr>
                <w:szCs w:val="20"/>
              </w:rPr>
            </w:pPr>
            <w:r w:rsidRPr="0019397E">
              <w:rPr>
                <w:color w:val="000000"/>
                <w:szCs w:val="20"/>
              </w:rPr>
              <w:t xml:space="preserve">Loughton </w:t>
            </w:r>
            <w:proofErr w:type="spellStart"/>
            <w:r w:rsidRPr="0019397E">
              <w:rPr>
                <w:color w:val="000000"/>
                <w:szCs w:val="20"/>
              </w:rPr>
              <w:t>Fairmead</w:t>
            </w:r>
            <w:proofErr w:type="spellEnd"/>
          </w:p>
        </w:tc>
        <w:tc>
          <w:tcPr>
            <w:tcW w:w="2126" w:type="dxa"/>
            <w:shd w:val="clear" w:color="auto" w:fill="FFFFFF" w:themeFill="background1"/>
            <w:noWrap/>
            <w:vAlign w:val="bottom"/>
          </w:tcPr>
          <w:p w14:paraId="344CB12E" w14:textId="02F22D44" w:rsidR="0019397E" w:rsidRPr="0019397E" w:rsidRDefault="0019397E" w:rsidP="0019397E">
            <w:pPr>
              <w:rPr>
                <w:szCs w:val="20"/>
              </w:rPr>
            </w:pPr>
            <w:r w:rsidRPr="0019397E">
              <w:rPr>
                <w:color w:val="000000"/>
                <w:szCs w:val="20"/>
              </w:rPr>
              <w:t>Epping Forest</w:t>
            </w:r>
          </w:p>
        </w:tc>
        <w:tc>
          <w:tcPr>
            <w:tcW w:w="3526" w:type="dxa"/>
            <w:shd w:val="clear" w:color="auto" w:fill="FFFFFF" w:themeFill="background1"/>
            <w:noWrap/>
            <w:vAlign w:val="bottom"/>
          </w:tcPr>
          <w:p w14:paraId="7D35EE2D" w14:textId="40237419"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4.7</w:t>
            </w:r>
          </w:p>
        </w:tc>
      </w:tr>
      <w:tr w:rsidR="0019397E" w:rsidRPr="00192ECD" w14:paraId="49B85F9F" w14:textId="77777777" w:rsidTr="000C4327">
        <w:trPr>
          <w:trHeight w:val="300"/>
        </w:trPr>
        <w:tc>
          <w:tcPr>
            <w:tcW w:w="3256" w:type="dxa"/>
            <w:shd w:val="clear" w:color="auto" w:fill="FFFFFF" w:themeFill="background1"/>
            <w:noWrap/>
            <w:vAlign w:val="bottom"/>
          </w:tcPr>
          <w:p w14:paraId="0F2B9298" w14:textId="0721F950" w:rsidR="0019397E" w:rsidRPr="0019397E" w:rsidRDefault="0019397E" w:rsidP="0019397E">
            <w:pPr>
              <w:rPr>
                <w:szCs w:val="20"/>
              </w:rPr>
            </w:pPr>
            <w:r w:rsidRPr="0019397E">
              <w:rPr>
                <w:color w:val="000000"/>
                <w:szCs w:val="20"/>
              </w:rPr>
              <w:t>Marconi</w:t>
            </w:r>
          </w:p>
        </w:tc>
        <w:tc>
          <w:tcPr>
            <w:tcW w:w="2126" w:type="dxa"/>
            <w:shd w:val="clear" w:color="auto" w:fill="FFFFFF" w:themeFill="background1"/>
            <w:noWrap/>
            <w:vAlign w:val="bottom"/>
          </w:tcPr>
          <w:p w14:paraId="15A38D9D" w14:textId="10148F54" w:rsidR="0019397E" w:rsidRPr="0019397E" w:rsidRDefault="0019397E" w:rsidP="0019397E">
            <w:pPr>
              <w:rPr>
                <w:szCs w:val="20"/>
              </w:rPr>
            </w:pPr>
            <w:r w:rsidRPr="0019397E">
              <w:rPr>
                <w:color w:val="000000"/>
                <w:szCs w:val="20"/>
              </w:rPr>
              <w:t>Chelmsford</w:t>
            </w:r>
          </w:p>
        </w:tc>
        <w:tc>
          <w:tcPr>
            <w:tcW w:w="3526" w:type="dxa"/>
            <w:shd w:val="clear" w:color="auto" w:fill="FFFFFF" w:themeFill="background1"/>
            <w:noWrap/>
            <w:vAlign w:val="bottom"/>
          </w:tcPr>
          <w:p w14:paraId="3E7C82F2" w14:textId="2B29B9A0"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4.5</w:t>
            </w:r>
          </w:p>
        </w:tc>
      </w:tr>
      <w:tr w:rsidR="0019397E" w:rsidRPr="00192ECD" w14:paraId="23BAF003" w14:textId="77777777" w:rsidTr="000C4327">
        <w:trPr>
          <w:trHeight w:val="300"/>
        </w:trPr>
        <w:tc>
          <w:tcPr>
            <w:tcW w:w="3256" w:type="dxa"/>
            <w:shd w:val="clear" w:color="auto" w:fill="FFFFFF" w:themeFill="background1"/>
            <w:noWrap/>
            <w:vAlign w:val="bottom"/>
          </w:tcPr>
          <w:p w14:paraId="41392B35" w14:textId="34E3D772" w:rsidR="0019397E" w:rsidRPr="0019397E" w:rsidRDefault="0019397E" w:rsidP="0019397E">
            <w:pPr>
              <w:rPr>
                <w:szCs w:val="20"/>
              </w:rPr>
            </w:pPr>
            <w:r w:rsidRPr="0019397E">
              <w:rPr>
                <w:color w:val="000000"/>
                <w:szCs w:val="20"/>
              </w:rPr>
              <w:t>New Town and Christ Church</w:t>
            </w:r>
          </w:p>
        </w:tc>
        <w:tc>
          <w:tcPr>
            <w:tcW w:w="2126" w:type="dxa"/>
            <w:shd w:val="clear" w:color="auto" w:fill="FFFFFF" w:themeFill="background1"/>
            <w:noWrap/>
            <w:vAlign w:val="bottom"/>
          </w:tcPr>
          <w:p w14:paraId="493B5EEE" w14:textId="08045FD9" w:rsidR="0019397E" w:rsidRPr="0019397E" w:rsidRDefault="0019397E" w:rsidP="0019397E">
            <w:pPr>
              <w:rPr>
                <w:szCs w:val="20"/>
              </w:rPr>
            </w:pPr>
            <w:r w:rsidRPr="0019397E">
              <w:rPr>
                <w:color w:val="000000"/>
                <w:szCs w:val="20"/>
              </w:rPr>
              <w:t>Colchester</w:t>
            </w:r>
          </w:p>
        </w:tc>
        <w:tc>
          <w:tcPr>
            <w:tcW w:w="3526" w:type="dxa"/>
            <w:shd w:val="clear" w:color="auto" w:fill="FFFFFF" w:themeFill="background1"/>
            <w:noWrap/>
            <w:vAlign w:val="bottom"/>
          </w:tcPr>
          <w:p w14:paraId="05B59FAA" w14:textId="7AC30118"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4.3</w:t>
            </w:r>
          </w:p>
        </w:tc>
      </w:tr>
      <w:tr w:rsidR="0019397E" w:rsidRPr="00192ECD" w14:paraId="34380D94" w14:textId="77777777" w:rsidTr="000C4327">
        <w:trPr>
          <w:trHeight w:val="300"/>
        </w:trPr>
        <w:tc>
          <w:tcPr>
            <w:tcW w:w="3256" w:type="dxa"/>
            <w:shd w:val="clear" w:color="auto" w:fill="FFFFFF" w:themeFill="background1"/>
            <w:noWrap/>
            <w:vAlign w:val="bottom"/>
          </w:tcPr>
          <w:p w14:paraId="55965FDB" w14:textId="15736DE0" w:rsidR="0019397E" w:rsidRPr="0019397E" w:rsidRDefault="0019397E" w:rsidP="0019397E">
            <w:pPr>
              <w:rPr>
                <w:szCs w:val="20"/>
              </w:rPr>
            </w:pPr>
            <w:proofErr w:type="spellStart"/>
            <w:r w:rsidRPr="0019397E">
              <w:rPr>
                <w:color w:val="000000"/>
                <w:szCs w:val="20"/>
              </w:rPr>
              <w:t>Netteswell</w:t>
            </w:r>
            <w:proofErr w:type="spellEnd"/>
          </w:p>
        </w:tc>
        <w:tc>
          <w:tcPr>
            <w:tcW w:w="2126" w:type="dxa"/>
            <w:shd w:val="clear" w:color="auto" w:fill="FFFFFF" w:themeFill="background1"/>
            <w:noWrap/>
            <w:vAlign w:val="bottom"/>
          </w:tcPr>
          <w:p w14:paraId="04E83A51" w14:textId="3F1618DD" w:rsidR="0019397E" w:rsidRPr="0019397E" w:rsidRDefault="0019397E" w:rsidP="0019397E">
            <w:pPr>
              <w:rPr>
                <w:szCs w:val="20"/>
              </w:rPr>
            </w:pPr>
            <w:r w:rsidRPr="0019397E">
              <w:rPr>
                <w:color w:val="000000"/>
                <w:szCs w:val="20"/>
              </w:rPr>
              <w:t>Harlow</w:t>
            </w:r>
          </w:p>
        </w:tc>
        <w:tc>
          <w:tcPr>
            <w:tcW w:w="3526" w:type="dxa"/>
            <w:shd w:val="clear" w:color="auto" w:fill="FFFFFF" w:themeFill="background1"/>
            <w:noWrap/>
            <w:vAlign w:val="bottom"/>
          </w:tcPr>
          <w:p w14:paraId="5C11DC2A" w14:textId="260DEAFC"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4.3</w:t>
            </w:r>
          </w:p>
        </w:tc>
      </w:tr>
      <w:tr w:rsidR="0019397E" w:rsidRPr="00192ECD" w14:paraId="2113C8C4" w14:textId="77777777" w:rsidTr="000C4327">
        <w:trPr>
          <w:trHeight w:val="300"/>
        </w:trPr>
        <w:tc>
          <w:tcPr>
            <w:tcW w:w="3256" w:type="dxa"/>
            <w:shd w:val="clear" w:color="auto" w:fill="0070C0"/>
            <w:noWrap/>
            <w:vAlign w:val="bottom"/>
          </w:tcPr>
          <w:p w14:paraId="656DA3D5" w14:textId="0B60E76D" w:rsidR="0019397E" w:rsidRPr="0019397E" w:rsidRDefault="0019397E" w:rsidP="0019397E">
            <w:pPr>
              <w:rPr>
                <w:color w:val="FFFFFF" w:themeColor="background1"/>
                <w:szCs w:val="20"/>
              </w:rPr>
            </w:pPr>
            <w:proofErr w:type="spellStart"/>
            <w:r w:rsidRPr="0019397E">
              <w:rPr>
                <w:color w:val="FFFFFF" w:themeColor="background1"/>
                <w:szCs w:val="20"/>
              </w:rPr>
              <w:t>Coppins</w:t>
            </w:r>
            <w:proofErr w:type="spellEnd"/>
          </w:p>
        </w:tc>
        <w:tc>
          <w:tcPr>
            <w:tcW w:w="2126" w:type="dxa"/>
            <w:shd w:val="clear" w:color="auto" w:fill="0070C0"/>
            <w:noWrap/>
            <w:vAlign w:val="bottom"/>
          </w:tcPr>
          <w:p w14:paraId="3A32FDA4" w14:textId="14C66345" w:rsidR="0019397E" w:rsidRPr="0019397E" w:rsidRDefault="0019397E" w:rsidP="0019397E">
            <w:pPr>
              <w:rPr>
                <w:color w:val="FFFFFF" w:themeColor="background1"/>
                <w:szCs w:val="20"/>
              </w:rPr>
            </w:pPr>
            <w:r w:rsidRPr="0019397E">
              <w:rPr>
                <w:color w:val="FFFFFF" w:themeColor="background1"/>
                <w:szCs w:val="20"/>
              </w:rPr>
              <w:t>Tendring</w:t>
            </w:r>
          </w:p>
        </w:tc>
        <w:tc>
          <w:tcPr>
            <w:tcW w:w="3526" w:type="dxa"/>
            <w:shd w:val="clear" w:color="auto" w:fill="0070C0"/>
            <w:noWrap/>
            <w:vAlign w:val="bottom"/>
          </w:tcPr>
          <w:p w14:paraId="51395F8F" w14:textId="7EFC835C" w:rsidR="0019397E" w:rsidRPr="0019397E" w:rsidRDefault="0019397E" w:rsidP="0019397E">
            <w:pPr>
              <w:jc w:val="right"/>
              <w:rPr>
                <w:rFonts w:eastAsia="Times New Roman" w:cs="Calibri"/>
                <w:color w:val="FFFFFF" w:themeColor="background1"/>
                <w:szCs w:val="20"/>
                <w:lang w:eastAsia="en-GB"/>
              </w:rPr>
            </w:pPr>
            <w:r w:rsidRPr="0019397E">
              <w:rPr>
                <w:color w:val="FFFFFF" w:themeColor="background1"/>
                <w:szCs w:val="20"/>
              </w:rPr>
              <w:t>4.3</w:t>
            </w:r>
          </w:p>
        </w:tc>
      </w:tr>
      <w:tr w:rsidR="0019397E" w:rsidRPr="00192ECD" w14:paraId="135D6CA7" w14:textId="77777777" w:rsidTr="000C4327">
        <w:trPr>
          <w:trHeight w:val="300"/>
        </w:trPr>
        <w:tc>
          <w:tcPr>
            <w:tcW w:w="3256" w:type="dxa"/>
            <w:shd w:val="clear" w:color="auto" w:fill="0070C0"/>
            <w:noWrap/>
            <w:vAlign w:val="bottom"/>
          </w:tcPr>
          <w:p w14:paraId="0F09DC8D" w14:textId="02D9B788" w:rsidR="0019397E" w:rsidRPr="0019397E" w:rsidRDefault="0019397E" w:rsidP="0019397E">
            <w:pPr>
              <w:rPr>
                <w:color w:val="FFFFFF" w:themeColor="background1"/>
                <w:szCs w:val="20"/>
              </w:rPr>
            </w:pPr>
            <w:proofErr w:type="spellStart"/>
            <w:r w:rsidRPr="0019397E">
              <w:rPr>
                <w:color w:val="FFFFFF" w:themeColor="background1"/>
                <w:szCs w:val="20"/>
              </w:rPr>
              <w:t>Bluehouse</w:t>
            </w:r>
            <w:proofErr w:type="spellEnd"/>
          </w:p>
        </w:tc>
        <w:tc>
          <w:tcPr>
            <w:tcW w:w="2126" w:type="dxa"/>
            <w:shd w:val="clear" w:color="auto" w:fill="0070C0"/>
            <w:noWrap/>
            <w:vAlign w:val="bottom"/>
          </w:tcPr>
          <w:p w14:paraId="085EBC6E" w14:textId="630E0D91" w:rsidR="0019397E" w:rsidRPr="0019397E" w:rsidRDefault="0019397E" w:rsidP="0019397E">
            <w:pPr>
              <w:rPr>
                <w:color w:val="FFFFFF" w:themeColor="background1"/>
                <w:szCs w:val="20"/>
              </w:rPr>
            </w:pPr>
            <w:r w:rsidRPr="0019397E">
              <w:rPr>
                <w:color w:val="FFFFFF" w:themeColor="background1"/>
                <w:szCs w:val="20"/>
              </w:rPr>
              <w:t>Tendring</w:t>
            </w:r>
          </w:p>
        </w:tc>
        <w:tc>
          <w:tcPr>
            <w:tcW w:w="3526" w:type="dxa"/>
            <w:shd w:val="clear" w:color="auto" w:fill="0070C0"/>
            <w:noWrap/>
            <w:vAlign w:val="bottom"/>
          </w:tcPr>
          <w:p w14:paraId="356F8C12" w14:textId="38485B01" w:rsidR="0019397E" w:rsidRPr="0019397E" w:rsidRDefault="0019397E" w:rsidP="0019397E">
            <w:pPr>
              <w:jc w:val="right"/>
              <w:rPr>
                <w:rFonts w:eastAsia="Times New Roman" w:cs="Calibri"/>
                <w:color w:val="FFFFFF" w:themeColor="background1"/>
                <w:szCs w:val="20"/>
                <w:lang w:eastAsia="en-GB"/>
              </w:rPr>
            </w:pPr>
            <w:r w:rsidRPr="0019397E">
              <w:rPr>
                <w:color w:val="FFFFFF" w:themeColor="background1"/>
                <w:szCs w:val="20"/>
              </w:rPr>
              <w:t>4.3</w:t>
            </w:r>
          </w:p>
        </w:tc>
      </w:tr>
      <w:tr w:rsidR="0019397E" w:rsidRPr="00192ECD" w14:paraId="530597ED" w14:textId="77777777" w:rsidTr="000C4327">
        <w:trPr>
          <w:trHeight w:val="300"/>
        </w:trPr>
        <w:tc>
          <w:tcPr>
            <w:tcW w:w="3256" w:type="dxa"/>
            <w:shd w:val="clear" w:color="auto" w:fill="FFFFFF" w:themeFill="background1"/>
            <w:noWrap/>
            <w:vAlign w:val="bottom"/>
          </w:tcPr>
          <w:p w14:paraId="021DFB8B" w14:textId="7121546F" w:rsidR="0019397E" w:rsidRPr="0019397E" w:rsidRDefault="0019397E" w:rsidP="0019397E">
            <w:pPr>
              <w:rPr>
                <w:szCs w:val="20"/>
              </w:rPr>
            </w:pPr>
            <w:r w:rsidRPr="0019397E">
              <w:rPr>
                <w:color w:val="000000"/>
                <w:szCs w:val="20"/>
              </w:rPr>
              <w:t>Waltham Abbey South West</w:t>
            </w:r>
          </w:p>
        </w:tc>
        <w:tc>
          <w:tcPr>
            <w:tcW w:w="2126" w:type="dxa"/>
            <w:shd w:val="clear" w:color="auto" w:fill="FFFFFF" w:themeFill="background1"/>
            <w:noWrap/>
            <w:vAlign w:val="bottom"/>
          </w:tcPr>
          <w:p w14:paraId="5347B1CD" w14:textId="72347C69" w:rsidR="0019397E" w:rsidRPr="0019397E" w:rsidRDefault="0019397E" w:rsidP="0019397E">
            <w:pPr>
              <w:rPr>
                <w:szCs w:val="20"/>
              </w:rPr>
            </w:pPr>
            <w:r w:rsidRPr="0019397E">
              <w:rPr>
                <w:color w:val="000000"/>
                <w:szCs w:val="20"/>
              </w:rPr>
              <w:t>Epping Forest</w:t>
            </w:r>
          </w:p>
        </w:tc>
        <w:tc>
          <w:tcPr>
            <w:tcW w:w="3526" w:type="dxa"/>
            <w:shd w:val="clear" w:color="auto" w:fill="FFFFFF" w:themeFill="background1"/>
            <w:noWrap/>
            <w:vAlign w:val="bottom"/>
          </w:tcPr>
          <w:p w14:paraId="007CE90F" w14:textId="4AD8157F"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4.2</w:t>
            </w:r>
          </w:p>
        </w:tc>
      </w:tr>
      <w:tr w:rsidR="0019397E" w:rsidRPr="00192ECD" w14:paraId="3C3AFB75" w14:textId="77777777" w:rsidTr="000C4327">
        <w:trPr>
          <w:trHeight w:val="300"/>
        </w:trPr>
        <w:tc>
          <w:tcPr>
            <w:tcW w:w="3256" w:type="dxa"/>
            <w:shd w:val="clear" w:color="auto" w:fill="FFFFFF" w:themeFill="background1"/>
            <w:noWrap/>
            <w:vAlign w:val="bottom"/>
          </w:tcPr>
          <w:p w14:paraId="18A230C6" w14:textId="27C6698F" w:rsidR="0019397E" w:rsidRPr="0019397E" w:rsidRDefault="0019397E" w:rsidP="0019397E">
            <w:pPr>
              <w:rPr>
                <w:szCs w:val="20"/>
              </w:rPr>
            </w:pPr>
            <w:proofErr w:type="spellStart"/>
            <w:r w:rsidRPr="0019397E">
              <w:rPr>
                <w:color w:val="000000"/>
                <w:szCs w:val="20"/>
              </w:rPr>
              <w:t>Toddbrook</w:t>
            </w:r>
            <w:proofErr w:type="spellEnd"/>
          </w:p>
        </w:tc>
        <w:tc>
          <w:tcPr>
            <w:tcW w:w="2126" w:type="dxa"/>
            <w:shd w:val="clear" w:color="auto" w:fill="FFFFFF" w:themeFill="background1"/>
            <w:noWrap/>
            <w:vAlign w:val="bottom"/>
          </w:tcPr>
          <w:p w14:paraId="2135DA6C" w14:textId="19BB7B77" w:rsidR="0019397E" w:rsidRPr="0019397E" w:rsidRDefault="0019397E" w:rsidP="0019397E">
            <w:pPr>
              <w:rPr>
                <w:szCs w:val="20"/>
              </w:rPr>
            </w:pPr>
            <w:r w:rsidRPr="0019397E">
              <w:rPr>
                <w:color w:val="000000"/>
                <w:szCs w:val="20"/>
              </w:rPr>
              <w:t>Harlow</w:t>
            </w:r>
          </w:p>
        </w:tc>
        <w:tc>
          <w:tcPr>
            <w:tcW w:w="3526" w:type="dxa"/>
            <w:shd w:val="clear" w:color="auto" w:fill="FFFFFF" w:themeFill="background1"/>
            <w:noWrap/>
            <w:vAlign w:val="bottom"/>
          </w:tcPr>
          <w:p w14:paraId="2A092772" w14:textId="5EBD84B3"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4.2</w:t>
            </w:r>
          </w:p>
        </w:tc>
      </w:tr>
      <w:tr w:rsidR="0019397E" w:rsidRPr="00192ECD" w14:paraId="708B201B" w14:textId="77777777" w:rsidTr="000C4327">
        <w:trPr>
          <w:trHeight w:val="300"/>
        </w:trPr>
        <w:tc>
          <w:tcPr>
            <w:tcW w:w="3256" w:type="dxa"/>
            <w:shd w:val="clear" w:color="auto" w:fill="FFFFFF" w:themeFill="background1"/>
            <w:noWrap/>
            <w:vAlign w:val="bottom"/>
          </w:tcPr>
          <w:p w14:paraId="3DCD9670" w14:textId="6046E55E" w:rsidR="0019397E" w:rsidRPr="0019397E" w:rsidRDefault="0019397E" w:rsidP="0019397E">
            <w:pPr>
              <w:rPr>
                <w:szCs w:val="20"/>
              </w:rPr>
            </w:pPr>
            <w:r w:rsidRPr="0019397E">
              <w:rPr>
                <w:color w:val="000000"/>
                <w:szCs w:val="20"/>
              </w:rPr>
              <w:t xml:space="preserve">Staple </w:t>
            </w:r>
            <w:proofErr w:type="spellStart"/>
            <w:r w:rsidRPr="0019397E">
              <w:rPr>
                <w:color w:val="000000"/>
                <w:szCs w:val="20"/>
              </w:rPr>
              <w:t>Tye</w:t>
            </w:r>
            <w:proofErr w:type="spellEnd"/>
          </w:p>
        </w:tc>
        <w:tc>
          <w:tcPr>
            <w:tcW w:w="2126" w:type="dxa"/>
            <w:shd w:val="clear" w:color="auto" w:fill="FFFFFF" w:themeFill="background1"/>
            <w:noWrap/>
            <w:vAlign w:val="bottom"/>
          </w:tcPr>
          <w:p w14:paraId="131125D9" w14:textId="3F470387" w:rsidR="0019397E" w:rsidRPr="0019397E" w:rsidRDefault="0019397E" w:rsidP="0019397E">
            <w:pPr>
              <w:rPr>
                <w:szCs w:val="20"/>
              </w:rPr>
            </w:pPr>
            <w:r w:rsidRPr="0019397E">
              <w:rPr>
                <w:color w:val="000000"/>
                <w:szCs w:val="20"/>
              </w:rPr>
              <w:t>Harlow</w:t>
            </w:r>
          </w:p>
        </w:tc>
        <w:tc>
          <w:tcPr>
            <w:tcW w:w="3526" w:type="dxa"/>
            <w:shd w:val="clear" w:color="auto" w:fill="FFFFFF" w:themeFill="background1"/>
            <w:noWrap/>
            <w:vAlign w:val="bottom"/>
          </w:tcPr>
          <w:p w14:paraId="13E5C389" w14:textId="14908DD3" w:rsidR="0019397E" w:rsidRPr="0019397E" w:rsidRDefault="0019397E" w:rsidP="0019397E">
            <w:pPr>
              <w:jc w:val="right"/>
              <w:rPr>
                <w:rFonts w:eastAsia="Times New Roman" w:cs="Calibri"/>
                <w:color w:val="000000" w:themeColor="text1"/>
                <w:szCs w:val="20"/>
                <w:lang w:eastAsia="en-GB"/>
              </w:rPr>
            </w:pPr>
            <w:r w:rsidRPr="0019397E">
              <w:rPr>
                <w:color w:val="000000"/>
                <w:szCs w:val="20"/>
              </w:rPr>
              <w:t>4.1</w:t>
            </w:r>
          </w:p>
        </w:tc>
      </w:tr>
      <w:tr w:rsidR="0019397E" w:rsidRPr="00192ECD" w14:paraId="7E179A48" w14:textId="77777777" w:rsidTr="000C4327">
        <w:trPr>
          <w:trHeight w:val="300"/>
        </w:trPr>
        <w:tc>
          <w:tcPr>
            <w:tcW w:w="3256" w:type="dxa"/>
            <w:shd w:val="clear" w:color="auto" w:fill="0070C0"/>
            <w:noWrap/>
            <w:vAlign w:val="bottom"/>
          </w:tcPr>
          <w:p w14:paraId="245B94A3" w14:textId="382ECE42" w:rsidR="0019397E" w:rsidRPr="0019397E" w:rsidRDefault="0019397E" w:rsidP="0019397E">
            <w:pPr>
              <w:rPr>
                <w:color w:val="FFFFFF" w:themeColor="background1"/>
                <w:szCs w:val="20"/>
              </w:rPr>
            </w:pPr>
            <w:r w:rsidRPr="0019397E">
              <w:rPr>
                <w:color w:val="FFFFFF" w:themeColor="background1"/>
                <w:szCs w:val="20"/>
              </w:rPr>
              <w:t>Pitsea North West</w:t>
            </w:r>
          </w:p>
        </w:tc>
        <w:tc>
          <w:tcPr>
            <w:tcW w:w="2126" w:type="dxa"/>
            <w:shd w:val="clear" w:color="auto" w:fill="0070C0"/>
            <w:noWrap/>
            <w:vAlign w:val="bottom"/>
          </w:tcPr>
          <w:p w14:paraId="6861E92F" w14:textId="2CC8E7D4" w:rsidR="0019397E" w:rsidRPr="0019397E" w:rsidRDefault="0019397E" w:rsidP="0019397E">
            <w:pPr>
              <w:rPr>
                <w:color w:val="FFFFFF" w:themeColor="background1"/>
                <w:szCs w:val="20"/>
              </w:rPr>
            </w:pPr>
            <w:r w:rsidRPr="0019397E">
              <w:rPr>
                <w:color w:val="FFFFFF" w:themeColor="background1"/>
                <w:szCs w:val="20"/>
              </w:rPr>
              <w:t>Basildon</w:t>
            </w:r>
          </w:p>
        </w:tc>
        <w:tc>
          <w:tcPr>
            <w:tcW w:w="3526" w:type="dxa"/>
            <w:shd w:val="clear" w:color="auto" w:fill="0070C0"/>
            <w:noWrap/>
            <w:vAlign w:val="bottom"/>
          </w:tcPr>
          <w:p w14:paraId="0F3BA437" w14:textId="35CF1A03" w:rsidR="0019397E" w:rsidRPr="0019397E" w:rsidRDefault="0019397E" w:rsidP="0019397E">
            <w:pPr>
              <w:jc w:val="right"/>
              <w:rPr>
                <w:rFonts w:eastAsia="Times New Roman" w:cs="Calibri"/>
                <w:color w:val="FFFFFF" w:themeColor="background1"/>
                <w:szCs w:val="20"/>
                <w:lang w:eastAsia="en-GB"/>
              </w:rPr>
            </w:pPr>
            <w:r w:rsidRPr="0019397E">
              <w:rPr>
                <w:color w:val="FFFFFF" w:themeColor="background1"/>
                <w:szCs w:val="20"/>
              </w:rPr>
              <w:t>4.0</w:t>
            </w:r>
          </w:p>
        </w:tc>
      </w:tr>
      <w:tr w:rsidR="00B51E4F" w:rsidRPr="00192ECD" w14:paraId="4F95B457" w14:textId="77777777" w:rsidTr="00AB41AF">
        <w:trPr>
          <w:trHeight w:val="300"/>
        </w:trPr>
        <w:tc>
          <w:tcPr>
            <w:tcW w:w="8908" w:type="dxa"/>
            <w:gridSpan w:val="3"/>
            <w:shd w:val="clear" w:color="auto" w:fill="FFFFFF" w:themeFill="background1"/>
            <w:noWrap/>
            <w:vAlign w:val="bottom"/>
          </w:tcPr>
          <w:p w14:paraId="6A86C739" w14:textId="435F9A36" w:rsidR="00B51E4F" w:rsidRPr="00192ECD" w:rsidRDefault="00B51E4F" w:rsidP="00AB41AF">
            <w:pPr>
              <w:rPr>
                <w:rFonts w:eastAsia="Times New Roman" w:cs="Calibri"/>
                <w:color w:val="000000" w:themeColor="text1"/>
                <w:szCs w:val="20"/>
                <w:lang w:eastAsia="en-GB"/>
              </w:rPr>
            </w:pPr>
            <w:r w:rsidRPr="00192ECD">
              <w:rPr>
                <w:color w:val="000000" w:themeColor="text1"/>
              </w:rPr>
              <w:t xml:space="preserve">Source: </w:t>
            </w:r>
            <w:r>
              <w:rPr>
                <w:color w:val="000000" w:themeColor="text1"/>
              </w:rPr>
              <w:t>Department for Work and Pensions February 2021</w:t>
            </w:r>
          </w:p>
        </w:tc>
      </w:tr>
    </w:tbl>
    <w:p w14:paraId="1298A9BA" w14:textId="73DC17BD" w:rsidR="00B8788F" w:rsidRDefault="00B8788F" w:rsidP="00B8788F"/>
    <w:p w14:paraId="5D87A852" w14:textId="2BF339A3" w:rsidR="0019397E" w:rsidRDefault="0019397E" w:rsidP="00B8788F">
      <w:r>
        <w:t>Seven of the 12 LBAs in Essex feature among the 20 wards with the highest levels of unemployment among older workers. However, the ward with the highest unemployment among older workers – Pier in Tendring is not identified as ‘left-behind’.</w:t>
      </w:r>
    </w:p>
    <w:p w14:paraId="2CF6FB28" w14:textId="1A0DF850" w:rsidR="0019397E" w:rsidRDefault="0019397E" w:rsidP="00B8788F"/>
    <w:p w14:paraId="24FBD32E" w14:textId="5805B528" w:rsidR="0019397E" w:rsidRDefault="0019397E" w:rsidP="00B8788F">
      <w:r>
        <w:t xml:space="preserve">Five wards in Epping Forest (including three in Laughton) feature among the top 20 in terms of unemployment rates of older people – suggesting a high prevalence of this risk factor in Epping Forest. </w:t>
      </w:r>
    </w:p>
    <w:p w14:paraId="1BA10C99" w14:textId="0C6D19C2" w:rsidR="0019397E" w:rsidRDefault="0019397E" w:rsidP="00B8788F"/>
    <w:p w14:paraId="5081E897" w14:textId="0382FEF5" w:rsidR="0019397E" w:rsidRDefault="0019397E" w:rsidP="0019397E">
      <w:pPr>
        <w:pStyle w:val="Heading2"/>
      </w:pPr>
      <w:bookmarkStart w:id="22" w:name="_Toc71790742"/>
      <w:r>
        <w:t>Children (aged 0-15) with a limiting long-term illness</w:t>
      </w:r>
      <w:bookmarkEnd w:id="22"/>
    </w:p>
    <w:p w14:paraId="1F631CBB" w14:textId="77777777" w:rsidR="000C4327" w:rsidRDefault="000C4327" w:rsidP="0019397E"/>
    <w:p w14:paraId="01027814" w14:textId="63983276" w:rsidR="0019397E" w:rsidRDefault="000C4327" w:rsidP="0019397E">
      <w:r>
        <w:t>Data on t</w:t>
      </w:r>
      <w:r w:rsidRPr="000C4327">
        <w:t xml:space="preserve">he proportion of residents aged 0-15 with a limiting long-term illness are </w:t>
      </w:r>
      <w:r>
        <w:t>derived</w:t>
      </w:r>
      <w:r w:rsidRPr="000C4327">
        <w:t xml:space="preserve"> from responses to the 2011 Census, based on a self</w:t>
      </w:r>
      <w:r>
        <w:t>-</w:t>
      </w:r>
      <w:r w:rsidRPr="000C4327">
        <w:t xml:space="preserve">assessment </w:t>
      </w:r>
      <w:r w:rsidR="00420822">
        <w:t xml:space="preserve">of </w:t>
      </w:r>
      <w:proofErr w:type="gramStart"/>
      <w:r w:rsidRPr="000C4327">
        <w:t>whether or not</w:t>
      </w:r>
      <w:proofErr w:type="gramEnd"/>
      <w:r w:rsidRPr="000C4327">
        <w:t xml:space="preserve"> a person </w:t>
      </w:r>
      <w:r>
        <w:t xml:space="preserve">who is aged 0-15 </w:t>
      </w:r>
      <w:r w:rsidRPr="000C4327">
        <w:t>has a limiting long-term illness, health problem or disability which limits their daily activities or the work they can do</w:t>
      </w:r>
      <w:r>
        <w:t xml:space="preserve">. </w:t>
      </w:r>
    </w:p>
    <w:p w14:paraId="7A2CF49A" w14:textId="65D1AECB" w:rsidR="000C4327" w:rsidRDefault="000C4327" w:rsidP="0019397E"/>
    <w:p w14:paraId="4DBAE27E" w14:textId="50519C07" w:rsidR="000C4327" w:rsidRDefault="000C4327" w:rsidP="0019397E">
      <w:r>
        <w:t xml:space="preserve">84 of the 239 wards in Essex (35.1%) have a higher </w:t>
      </w:r>
      <w:r w:rsidR="00C86E2C">
        <w:t>proportion of children with a limiting-lon</w:t>
      </w:r>
      <w:r w:rsidR="00254F6D">
        <w:t>g</w:t>
      </w:r>
      <w:r w:rsidR="00C86E2C">
        <w:t>-term illness</w:t>
      </w:r>
      <w:r>
        <w:t xml:space="preserve"> than the national average (3.7%).</w:t>
      </w:r>
      <w:r w:rsidRPr="000C4327">
        <w:t xml:space="preserve"> </w:t>
      </w:r>
      <w:r>
        <w:t>The table below presents the 20 wards in Essex with the highest rates of limiting-long-term illness among those aged 0-15. Areas identified as ‘left-behind’ are shaded blue.</w:t>
      </w:r>
    </w:p>
    <w:p w14:paraId="35137651" w14:textId="77777777" w:rsidR="000C4327" w:rsidRDefault="000C4327" w:rsidP="0019397E"/>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68"/>
        <w:gridCol w:w="2959"/>
      </w:tblGrid>
      <w:tr w:rsidR="000C4327" w:rsidRPr="00192ECD" w14:paraId="04E7D7EA" w14:textId="77777777" w:rsidTr="000C4327">
        <w:trPr>
          <w:trHeight w:val="300"/>
        </w:trPr>
        <w:tc>
          <w:tcPr>
            <w:tcW w:w="3681" w:type="dxa"/>
            <w:shd w:val="clear" w:color="auto" w:fill="002060"/>
            <w:noWrap/>
            <w:vAlign w:val="center"/>
          </w:tcPr>
          <w:p w14:paraId="1F00A2AE" w14:textId="77777777" w:rsidR="000C4327" w:rsidRPr="00192ECD" w:rsidRDefault="000C4327" w:rsidP="000C4327">
            <w:pPr>
              <w:rPr>
                <w:rFonts w:eastAsia="Times New Roman" w:cs="Calibri"/>
                <w:color w:val="FFFFFF" w:themeColor="background1"/>
                <w:szCs w:val="20"/>
                <w:lang w:eastAsia="en-GB"/>
              </w:rPr>
            </w:pPr>
            <w:r>
              <w:rPr>
                <w:rFonts w:eastAsia="Times New Roman" w:cs="Calibri"/>
                <w:color w:val="FFFFFF" w:themeColor="background1"/>
                <w:szCs w:val="20"/>
                <w:lang w:eastAsia="en-GB"/>
              </w:rPr>
              <w:t>Area</w:t>
            </w:r>
          </w:p>
        </w:tc>
        <w:tc>
          <w:tcPr>
            <w:tcW w:w="2268" w:type="dxa"/>
            <w:shd w:val="clear" w:color="auto" w:fill="002060"/>
            <w:noWrap/>
            <w:vAlign w:val="center"/>
          </w:tcPr>
          <w:p w14:paraId="766DA854" w14:textId="77777777" w:rsidR="000C4327" w:rsidRPr="00192ECD" w:rsidRDefault="000C4327" w:rsidP="000C4327">
            <w:pPr>
              <w:rPr>
                <w:rFonts w:eastAsia="Times New Roman" w:cs="Calibri"/>
                <w:color w:val="FFFFFF" w:themeColor="background1"/>
                <w:szCs w:val="20"/>
                <w:lang w:eastAsia="en-GB"/>
              </w:rPr>
            </w:pPr>
            <w:r>
              <w:rPr>
                <w:color w:val="FFFFFF" w:themeColor="background1"/>
              </w:rPr>
              <w:t>Local Authority</w:t>
            </w:r>
          </w:p>
        </w:tc>
        <w:tc>
          <w:tcPr>
            <w:tcW w:w="2959" w:type="dxa"/>
            <w:shd w:val="clear" w:color="auto" w:fill="002060"/>
            <w:noWrap/>
            <w:vAlign w:val="center"/>
          </w:tcPr>
          <w:p w14:paraId="67DF846A" w14:textId="3EF56C65" w:rsidR="000C4327" w:rsidRPr="00192ECD" w:rsidRDefault="000C4327"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Limiting long-term illness (%)</w:t>
            </w:r>
          </w:p>
        </w:tc>
      </w:tr>
      <w:tr w:rsidR="000C4327" w:rsidRPr="00192ECD" w14:paraId="14CB4931" w14:textId="77777777" w:rsidTr="000C4327">
        <w:trPr>
          <w:trHeight w:val="300"/>
        </w:trPr>
        <w:tc>
          <w:tcPr>
            <w:tcW w:w="3681" w:type="dxa"/>
            <w:shd w:val="clear" w:color="auto" w:fill="auto"/>
            <w:noWrap/>
            <w:vAlign w:val="bottom"/>
          </w:tcPr>
          <w:p w14:paraId="4D52D3B8" w14:textId="454E0607" w:rsidR="000C4327" w:rsidRPr="000C4327" w:rsidRDefault="000C4327" w:rsidP="000C4327">
            <w:pPr>
              <w:rPr>
                <w:szCs w:val="20"/>
              </w:rPr>
            </w:pPr>
            <w:r w:rsidRPr="000C4327">
              <w:rPr>
                <w:color w:val="000000"/>
                <w:szCs w:val="20"/>
              </w:rPr>
              <w:t xml:space="preserve">The </w:t>
            </w:r>
            <w:proofErr w:type="spellStart"/>
            <w:r w:rsidRPr="000C4327">
              <w:rPr>
                <w:color w:val="000000"/>
                <w:szCs w:val="20"/>
              </w:rPr>
              <w:t>Oakleys</w:t>
            </w:r>
            <w:proofErr w:type="spellEnd"/>
            <w:r w:rsidRPr="000C4327">
              <w:rPr>
                <w:color w:val="000000"/>
                <w:szCs w:val="20"/>
              </w:rPr>
              <w:t xml:space="preserve"> &amp; </w:t>
            </w:r>
            <w:proofErr w:type="spellStart"/>
            <w:r w:rsidRPr="000C4327">
              <w:rPr>
                <w:color w:val="000000"/>
                <w:szCs w:val="20"/>
              </w:rPr>
              <w:t>Wix</w:t>
            </w:r>
            <w:proofErr w:type="spellEnd"/>
          </w:p>
        </w:tc>
        <w:tc>
          <w:tcPr>
            <w:tcW w:w="2268" w:type="dxa"/>
            <w:shd w:val="clear" w:color="auto" w:fill="auto"/>
            <w:noWrap/>
            <w:vAlign w:val="bottom"/>
          </w:tcPr>
          <w:p w14:paraId="7D911E05" w14:textId="5D4A23D1"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4339A066" w14:textId="0212E848" w:rsidR="000C4327" w:rsidRPr="000C4327" w:rsidRDefault="000C4327" w:rsidP="000C4327">
            <w:pPr>
              <w:jc w:val="right"/>
              <w:rPr>
                <w:rFonts w:eastAsia="Times New Roman" w:cs="Calibri"/>
                <w:szCs w:val="20"/>
                <w:lang w:eastAsia="en-GB"/>
              </w:rPr>
            </w:pPr>
            <w:r w:rsidRPr="000C4327">
              <w:rPr>
                <w:color w:val="000000"/>
                <w:szCs w:val="20"/>
              </w:rPr>
              <w:t>6.8</w:t>
            </w:r>
          </w:p>
        </w:tc>
      </w:tr>
      <w:tr w:rsidR="000C4327" w:rsidRPr="00192ECD" w14:paraId="5616B9A6" w14:textId="77777777" w:rsidTr="000C4327">
        <w:trPr>
          <w:trHeight w:val="300"/>
        </w:trPr>
        <w:tc>
          <w:tcPr>
            <w:tcW w:w="3681" w:type="dxa"/>
            <w:shd w:val="clear" w:color="auto" w:fill="auto"/>
            <w:noWrap/>
            <w:vAlign w:val="bottom"/>
          </w:tcPr>
          <w:p w14:paraId="55C39200" w14:textId="004CEAA3" w:rsidR="000C4327" w:rsidRPr="000C4327" w:rsidRDefault="000C4327" w:rsidP="000C4327">
            <w:pPr>
              <w:rPr>
                <w:szCs w:val="20"/>
              </w:rPr>
            </w:pPr>
            <w:r w:rsidRPr="000C4327">
              <w:rPr>
                <w:color w:val="000000"/>
                <w:szCs w:val="20"/>
              </w:rPr>
              <w:t>Pier</w:t>
            </w:r>
          </w:p>
        </w:tc>
        <w:tc>
          <w:tcPr>
            <w:tcW w:w="2268" w:type="dxa"/>
            <w:shd w:val="clear" w:color="auto" w:fill="auto"/>
            <w:noWrap/>
            <w:vAlign w:val="bottom"/>
          </w:tcPr>
          <w:p w14:paraId="4AC4E27D" w14:textId="21D21D4C"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7E31C31A" w14:textId="2A65B0E1" w:rsidR="000C4327" w:rsidRPr="000C4327" w:rsidRDefault="000C4327" w:rsidP="000C4327">
            <w:pPr>
              <w:jc w:val="right"/>
              <w:rPr>
                <w:rFonts w:eastAsia="Times New Roman" w:cs="Arial"/>
                <w:szCs w:val="20"/>
                <w:lang w:eastAsia="en-GB"/>
              </w:rPr>
            </w:pPr>
            <w:r w:rsidRPr="000C4327">
              <w:rPr>
                <w:color w:val="000000"/>
                <w:szCs w:val="20"/>
              </w:rPr>
              <w:t>6.7</w:t>
            </w:r>
          </w:p>
        </w:tc>
      </w:tr>
      <w:tr w:rsidR="000C4327" w:rsidRPr="00192ECD" w14:paraId="00B5C5BE" w14:textId="77777777" w:rsidTr="00C778F2">
        <w:trPr>
          <w:trHeight w:val="300"/>
        </w:trPr>
        <w:tc>
          <w:tcPr>
            <w:tcW w:w="3681" w:type="dxa"/>
            <w:shd w:val="clear" w:color="auto" w:fill="0070C0"/>
            <w:noWrap/>
            <w:vAlign w:val="bottom"/>
          </w:tcPr>
          <w:p w14:paraId="40DD033A" w14:textId="14BABB4A" w:rsidR="000C4327" w:rsidRPr="00C778F2" w:rsidRDefault="000C4327" w:rsidP="000C4327">
            <w:pPr>
              <w:rPr>
                <w:color w:val="FFFFFF" w:themeColor="background1"/>
                <w:szCs w:val="20"/>
              </w:rPr>
            </w:pPr>
            <w:r w:rsidRPr="00C778F2">
              <w:rPr>
                <w:color w:val="FFFFFF" w:themeColor="background1"/>
                <w:szCs w:val="20"/>
              </w:rPr>
              <w:t>St James</w:t>
            </w:r>
          </w:p>
        </w:tc>
        <w:tc>
          <w:tcPr>
            <w:tcW w:w="2268" w:type="dxa"/>
            <w:shd w:val="clear" w:color="auto" w:fill="0070C0"/>
            <w:noWrap/>
            <w:vAlign w:val="bottom"/>
          </w:tcPr>
          <w:p w14:paraId="79D18D73" w14:textId="5AAFBD1B" w:rsidR="000C4327" w:rsidRPr="00C778F2" w:rsidRDefault="000C4327" w:rsidP="000C4327">
            <w:pPr>
              <w:rPr>
                <w:color w:val="FFFFFF" w:themeColor="background1"/>
                <w:szCs w:val="20"/>
              </w:rPr>
            </w:pPr>
            <w:r w:rsidRPr="00C778F2">
              <w:rPr>
                <w:color w:val="FFFFFF" w:themeColor="background1"/>
                <w:szCs w:val="20"/>
              </w:rPr>
              <w:t>Tendring</w:t>
            </w:r>
          </w:p>
        </w:tc>
        <w:tc>
          <w:tcPr>
            <w:tcW w:w="2959" w:type="dxa"/>
            <w:shd w:val="clear" w:color="auto" w:fill="0070C0"/>
            <w:noWrap/>
            <w:vAlign w:val="bottom"/>
          </w:tcPr>
          <w:p w14:paraId="772C7C9F" w14:textId="1A3F6D5A" w:rsidR="000C4327" w:rsidRPr="00C778F2" w:rsidRDefault="000C4327" w:rsidP="000C4327">
            <w:pPr>
              <w:jc w:val="right"/>
              <w:rPr>
                <w:rFonts w:eastAsia="Times New Roman" w:cs="Calibri"/>
                <w:color w:val="FFFFFF" w:themeColor="background1"/>
                <w:szCs w:val="20"/>
                <w:lang w:eastAsia="en-GB"/>
              </w:rPr>
            </w:pPr>
            <w:r w:rsidRPr="00C778F2">
              <w:rPr>
                <w:color w:val="FFFFFF" w:themeColor="background1"/>
                <w:szCs w:val="20"/>
              </w:rPr>
              <w:t>6.7</w:t>
            </w:r>
          </w:p>
        </w:tc>
      </w:tr>
      <w:tr w:rsidR="000C4327" w:rsidRPr="00192ECD" w14:paraId="796A319D" w14:textId="77777777" w:rsidTr="000C4327">
        <w:trPr>
          <w:trHeight w:val="300"/>
        </w:trPr>
        <w:tc>
          <w:tcPr>
            <w:tcW w:w="3681" w:type="dxa"/>
            <w:shd w:val="clear" w:color="auto" w:fill="auto"/>
            <w:noWrap/>
            <w:vAlign w:val="bottom"/>
          </w:tcPr>
          <w:p w14:paraId="586FC5BD" w14:textId="22F689A1" w:rsidR="000C4327" w:rsidRPr="000C4327" w:rsidRDefault="000C4327" w:rsidP="000C4327">
            <w:pPr>
              <w:rPr>
                <w:szCs w:val="20"/>
              </w:rPr>
            </w:pPr>
            <w:proofErr w:type="spellStart"/>
            <w:r w:rsidRPr="000C4327">
              <w:rPr>
                <w:color w:val="000000"/>
                <w:szCs w:val="20"/>
              </w:rPr>
              <w:t>Weeley</w:t>
            </w:r>
            <w:proofErr w:type="spellEnd"/>
            <w:r w:rsidRPr="000C4327">
              <w:rPr>
                <w:color w:val="000000"/>
                <w:szCs w:val="20"/>
              </w:rPr>
              <w:t xml:space="preserve"> &amp; Tendring</w:t>
            </w:r>
          </w:p>
        </w:tc>
        <w:tc>
          <w:tcPr>
            <w:tcW w:w="2268" w:type="dxa"/>
            <w:shd w:val="clear" w:color="auto" w:fill="auto"/>
            <w:noWrap/>
            <w:vAlign w:val="bottom"/>
          </w:tcPr>
          <w:p w14:paraId="5301DAF2" w14:textId="670AB0A4"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093961D1" w14:textId="0E52D65D" w:rsidR="000C4327" w:rsidRPr="000C4327" w:rsidRDefault="000C4327" w:rsidP="000C4327">
            <w:pPr>
              <w:jc w:val="right"/>
              <w:rPr>
                <w:rFonts w:eastAsia="Times New Roman" w:cs="Calibri"/>
                <w:szCs w:val="20"/>
                <w:lang w:eastAsia="en-GB"/>
              </w:rPr>
            </w:pPr>
            <w:r w:rsidRPr="000C4327">
              <w:rPr>
                <w:color w:val="000000"/>
                <w:szCs w:val="20"/>
              </w:rPr>
              <w:t>6.6</w:t>
            </w:r>
          </w:p>
        </w:tc>
      </w:tr>
      <w:tr w:rsidR="000C4327" w:rsidRPr="00192ECD" w14:paraId="38FF36C9" w14:textId="77777777" w:rsidTr="000C4327">
        <w:trPr>
          <w:trHeight w:val="300"/>
        </w:trPr>
        <w:tc>
          <w:tcPr>
            <w:tcW w:w="3681" w:type="dxa"/>
            <w:shd w:val="clear" w:color="auto" w:fill="auto"/>
            <w:noWrap/>
            <w:vAlign w:val="bottom"/>
          </w:tcPr>
          <w:p w14:paraId="79FE580E" w14:textId="2027648A" w:rsidR="000C4327" w:rsidRPr="000C4327" w:rsidRDefault="000C4327" w:rsidP="000C4327">
            <w:pPr>
              <w:rPr>
                <w:szCs w:val="20"/>
              </w:rPr>
            </w:pPr>
            <w:proofErr w:type="spellStart"/>
            <w:r w:rsidRPr="000C4327">
              <w:rPr>
                <w:color w:val="000000"/>
                <w:szCs w:val="20"/>
              </w:rPr>
              <w:t>Burrsville</w:t>
            </w:r>
            <w:proofErr w:type="spellEnd"/>
          </w:p>
        </w:tc>
        <w:tc>
          <w:tcPr>
            <w:tcW w:w="2268" w:type="dxa"/>
            <w:shd w:val="clear" w:color="auto" w:fill="auto"/>
            <w:noWrap/>
            <w:vAlign w:val="bottom"/>
          </w:tcPr>
          <w:p w14:paraId="2D851363" w14:textId="2248B742"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65459202" w14:textId="1AF657E6" w:rsidR="000C4327" w:rsidRPr="000C4327" w:rsidRDefault="000C4327" w:rsidP="000C4327">
            <w:pPr>
              <w:jc w:val="right"/>
              <w:rPr>
                <w:rFonts w:eastAsia="Times New Roman" w:cs="Calibri"/>
                <w:szCs w:val="20"/>
                <w:lang w:eastAsia="en-GB"/>
              </w:rPr>
            </w:pPr>
            <w:r w:rsidRPr="000C4327">
              <w:rPr>
                <w:color w:val="000000"/>
                <w:szCs w:val="20"/>
              </w:rPr>
              <w:t>6.3</w:t>
            </w:r>
          </w:p>
        </w:tc>
      </w:tr>
      <w:tr w:rsidR="000C4327" w:rsidRPr="00192ECD" w14:paraId="6DFB1FB3" w14:textId="77777777" w:rsidTr="00C778F2">
        <w:trPr>
          <w:trHeight w:val="300"/>
        </w:trPr>
        <w:tc>
          <w:tcPr>
            <w:tcW w:w="3681" w:type="dxa"/>
            <w:shd w:val="clear" w:color="auto" w:fill="0070C0"/>
            <w:noWrap/>
            <w:vAlign w:val="bottom"/>
          </w:tcPr>
          <w:p w14:paraId="31E5919D" w14:textId="5AAB307F" w:rsidR="000C4327" w:rsidRPr="00C778F2" w:rsidRDefault="000C4327" w:rsidP="000C4327">
            <w:pPr>
              <w:rPr>
                <w:color w:val="FFFFFF" w:themeColor="background1"/>
                <w:szCs w:val="20"/>
              </w:rPr>
            </w:pPr>
            <w:r w:rsidRPr="00C778F2">
              <w:rPr>
                <w:color w:val="FFFFFF" w:themeColor="background1"/>
                <w:szCs w:val="20"/>
              </w:rPr>
              <w:t>St John's</w:t>
            </w:r>
          </w:p>
        </w:tc>
        <w:tc>
          <w:tcPr>
            <w:tcW w:w="2268" w:type="dxa"/>
            <w:shd w:val="clear" w:color="auto" w:fill="0070C0"/>
            <w:noWrap/>
            <w:vAlign w:val="bottom"/>
          </w:tcPr>
          <w:p w14:paraId="4F1010A5" w14:textId="747069F3" w:rsidR="000C4327" w:rsidRPr="00C778F2" w:rsidRDefault="000C4327" w:rsidP="000C4327">
            <w:pPr>
              <w:rPr>
                <w:color w:val="FFFFFF" w:themeColor="background1"/>
                <w:szCs w:val="20"/>
              </w:rPr>
            </w:pPr>
            <w:r w:rsidRPr="00C778F2">
              <w:rPr>
                <w:color w:val="FFFFFF" w:themeColor="background1"/>
                <w:szCs w:val="20"/>
              </w:rPr>
              <w:t>Tendring</w:t>
            </w:r>
          </w:p>
        </w:tc>
        <w:tc>
          <w:tcPr>
            <w:tcW w:w="2959" w:type="dxa"/>
            <w:shd w:val="clear" w:color="auto" w:fill="0070C0"/>
            <w:noWrap/>
            <w:vAlign w:val="bottom"/>
          </w:tcPr>
          <w:p w14:paraId="365B7743" w14:textId="7796C92D" w:rsidR="000C4327" w:rsidRPr="00C778F2" w:rsidRDefault="000C4327" w:rsidP="000C4327">
            <w:pPr>
              <w:jc w:val="right"/>
              <w:rPr>
                <w:rFonts w:eastAsia="Times New Roman" w:cs="Calibri"/>
                <w:color w:val="FFFFFF" w:themeColor="background1"/>
                <w:szCs w:val="20"/>
                <w:lang w:eastAsia="en-GB"/>
              </w:rPr>
            </w:pPr>
            <w:r w:rsidRPr="00C778F2">
              <w:rPr>
                <w:color w:val="FFFFFF" w:themeColor="background1"/>
                <w:szCs w:val="20"/>
              </w:rPr>
              <w:t>6.0</w:t>
            </w:r>
          </w:p>
        </w:tc>
      </w:tr>
      <w:tr w:rsidR="000C4327" w:rsidRPr="00192ECD" w14:paraId="5D5092BA" w14:textId="77777777" w:rsidTr="00C778F2">
        <w:trPr>
          <w:trHeight w:val="300"/>
        </w:trPr>
        <w:tc>
          <w:tcPr>
            <w:tcW w:w="3681" w:type="dxa"/>
            <w:shd w:val="clear" w:color="auto" w:fill="0070C0"/>
            <w:noWrap/>
            <w:vAlign w:val="bottom"/>
          </w:tcPr>
          <w:p w14:paraId="55FC187A" w14:textId="179D8C1C" w:rsidR="000C4327" w:rsidRPr="00C778F2" w:rsidRDefault="000C4327" w:rsidP="000C4327">
            <w:pPr>
              <w:rPr>
                <w:color w:val="FFFFFF" w:themeColor="background1"/>
                <w:szCs w:val="20"/>
              </w:rPr>
            </w:pPr>
            <w:proofErr w:type="spellStart"/>
            <w:r w:rsidRPr="00C778F2">
              <w:rPr>
                <w:color w:val="FFFFFF" w:themeColor="background1"/>
                <w:szCs w:val="20"/>
              </w:rPr>
              <w:t>Bluehouse</w:t>
            </w:r>
            <w:proofErr w:type="spellEnd"/>
          </w:p>
        </w:tc>
        <w:tc>
          <w:tcPr>
            <w:tcW w:w="2268" w:type="dxa"/>
            <w:shd w:val="clear" w:color="auto" w:fill="0070C0"/>
            <w:noWrap/>
            <w:vAlign w:val="bottom"/>
          </w:tcPr>
          <w:p w14:paraId="4343E34D" w14:textId="1214D954" w:rsidR="000C4327" w:rsidRPr="00C778F2" w:rsidRDefault="000C4327" w:rsidP="000C4327">
            <w:pPr>
              <w:rPr>
                <w:color w:val="FFFFFF" w:themeColor="background1"/>
                <w:szCs w:val="20"/>
              </w:rPr>
            </w:pPr>
            <w:r w:rsidRPr="00C778F2">
              <w:rPr>
                <w:color w:val="FFFFFF" w:themeColor="background1"/>
                <w:szCs w:val="20"/>
              </w:rPr>
              <w:t>Tendring</w:t>
            </w:r>
          </w:p>
        </w:tc>
        <w:tc>
          <w:tcPr>
            <w:tcW w:w="2959" w:type="dxa"/>
            <w:shd w:val="clear" w:color="auto" w:fill="0070C0"/>
            <w:noWrap/>
            <w:vAlign w:val="bottom"/>
          </w:tcPr>
          <w:p w14:paraId="1E73D8CA" w14:textId="6EB0AD25" w:rsidR="000C4327" w:rsidRPr="00C778F2" w:rsidRDefault="000C4327" w:rsidP="000C4327">
            <w:pPr>
              <w:jc w:val="right"/>
              <w:rPr>
                <w:rFonts w:eastAsia="Times New Roman" w:cs="Calibri"/>
                <w:color w:val="FFFFFF" w:themeColor="background1"/>
                <w:szCs w:val="20"/>
                <w:lang w:eastAsia="en-GB"/>
              </w:rPr>
            </w:pPr>
            <w:r w:rsidRPr="00C778F2">
              <w:rPr>
                <w:color w:val="FFFFFF" w:themeColor="background1"/>
                <w:szCs w:val="20"/>
              </w:rPr>
              <w:t>6.0</w:t>
            </w:r>
          </w:p>
        </w:tc>
      </w:tr>
      <w:tr w:rsidR="000C4327" w:rsidRPr="00192ECD" w14:paraId="09E818F8" w14:textId="77777777" w:rsidTr="00C778F2">
        <w:trPr>
          <w:trHeight w:val="300"/>
        </w:trPr>
        <w:tc>
          <w:tcPr>
            <w:tcW w:w="3681" w:type="dxa"/>
            <w:shd w:val="clear" w:color="auto" w:fill="0070C0"/>
            <w:noWrap/>
            <w:vAlign w:val="bottom"/>
          </w:tcPr>
          <w:p w14:paraId="7719BF23" w14:textId="44E2261C" w:rsidR="000C4327" w:rsidRPr="00C778F2" w:rsidRDefault="000C4327" w:rsidP="000C4327">
            <w:pPr>
              <w:rPr>
                <w:color w:val="FFFFFF" w:themeColor="background1"/>
                <w:szCs w:val="20"/>
              </w:rPr>
            </w:pPr>
            <w:r w:rsidRPr="00C778F2">
              <w:rPr>
                <w:color w:val="FFFFFF" w:themeColor="background1"/>
                <w:szCs w:val="20"/>
              </w:rPr>
              <w:t xml:space="preserve">St </w:t>
            </w:r>
            <w:proofErr w:type="spellStart"/>
            <w:r w:rsidRPr="00C778F2">
              <w:rPr>
                <w:color w:val="FFFFFF" w:themeColor="background1"/>
                <w:szCs w:val="20"/>
              </w:rPr>
              <w:t>Osyth</w:t>
            </w:r>
            <w:proofErr w:type="spellEnd"/>
          </w:p>
        </w:tc>
        <w:tc>
          <w:tcPr>
            <w:tcW w:w="2268" w:type="dxa"/>
            <w:shd w:val="clear" w:color="auto" w:fill="0070C0"/>
            <w:noWrap/>
            <w:vAlign w:val="bottom"/>
          </w:tcPr>
          <w:p w14:paraId="31C68C30" w14:textId="32DCDBA9" w:rsidR="000C4327" w:rsidRPr="00C778F2" w:rsidRDefault="000C4327" w:rsidP="000C4327">
            <w:pPr>
              <w:rPr>
                <w:color w:val="FFFFFF" w:themeColor="background1"/>
                <w:szCs w:val="20"/>
              </w:rPr>
            </w:pPr>
            <w:r w:rsidRPr="00C778F2">
              <w:rPr>
                <w:color w:val="FFFFFF" w:themeColor="background1"/>
                <w:szCs w:val="20"/>
              </w:rPr>
              <w:t>Tendring</w:t>
            </w:r>
          </w:p>
        </w:tc>
        <w:tc>
          <w:tcPr>
            <w:tcW w:w="2959" w:type="dxa"/>
            <w:shd w:val="clear" w:color="auto" w:fill="0070C0"/>
            <w:noWrap/>
            <w:vAlign w:val="bottom"/>
          </w:tcPr>
          <w:p w14:paraId="28FCEBA0" w14:textId="0AEF5091" w:rsidR="000C4327" w:rsidRPr="00C778F2" w:rsidRDefault="000C4327" w:rsidP="000C4327">
            <w:pPr>
              <w:jc w:val="right"/>
              <w:rPr>
                <w:rFonts w:eastAsia="Times New Roman" w:cs="Calibri"/>
                <w:color w:val="FFFFFF" w:themeColor="background1"/>
                <w:szCs w:val="20"/>
                <w:lang w:eastAsia="en-GB"/>
              </w:rPr>
            </w:pPr>
            <w:r w:rsidRPr="00C778F2">
              <w:rPr>
                <w:color w:val="FFFFFF" w:themeColor="background1"/>
                <w:szCs w:val="20"/>
              </w:rPr>
              <w:t>5.9</w:t>
            </w:r>
          </w:p>
        </w:tc>
      </w:tr>
      <w:tr w:rsidR="000C4327" w:rsidRPr="00192ECD" w14:paraId="29C35E4F" w14:textId="77777777" w:rsidTr="000C4327">
        <w:trPr>
          <w:trHeight w:val="300"/>
        </w:trPr>
        <w:tc>
          <w:tcPr>
            <w:tcW w:w="3681" w:type="dxa"/>
            <w:shd w:val="clear" w:color="auto" w:fill="auto"/>
            <w:noWrap/>
            <w:vAlign w:val="bottom"/>
          </w:tcPr>
          <w:p w14:paraId="28128C48" w14:textId="5DE3B3EA" w:rsidR="000C4327" w:rsidRPr="000C4327" w:rsidRDefault="000C4327" w:rsidP="000C4327">
            <w:pPr>
              <w:rPr>
                <w:szCs w:val="20"/>
              </w:rPr>
            </w:pPr>
            <w:proofErr w:type="spellStart"/>
            <w:r w:rsidRPr="000C4327">
              <w:rPr>
                <w:color w:val="000000"/>
                <w:szCs w:val="20"/>
              </w:rPr>
              <w:t>Dovercourt</w:t>
            </w:r>
            <w:proofErr w:type="spellEnd"/>
            <w:r w:rsidRPr="000C4327">
              <w:rPr>
                <w:color w:val="000000"/>
                <w:szCs w:val="20"/>
              </w:rPr>
              <w:t xml:space="preserve"> All Saints</w:t>
            </w:r>
          </w:p>
        </w:tc>
        <w:tc>
          <w:tcPr>
            <w:tcW w:w="2268" w:type="dxa"/>
            <w:shd w:val="clear" w:color="auto" w:fill="auto"/>
            <w:noWrap/>
            <w:vAlign w:val="bottom"/>
          </w:tcPr>
          <w:p w14:paraId="6A9C63BF" w14:textId="037A09D4"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0CAB7C11" w14:textId="19F2825A" w:rsidR="000C4327" w:rsidRPr="000C4327" w:rsidRDefault="000C4327" w:rsidP="000C4327">
            <w:pPr>
              <w:jc w:val="right"/>
              <w:rPr>
                <w:rFonts w:eastAsia="Times New Roman" w:cs="Calibri"/>
                <w:szCs w:val="20"/>
                <w:lang w:eastAsia="en-GB"/>
              </w:rPr>
            </w:pPr>
            <w:r w:rsidRPr="000C4327">
              <w:rPr>
                <w:color w:val="000000"/>
                <w:szCs w:val="20"/>
              </w:rPr>
              <w:t>5.8</w:t>
            </w:r>
          </w:p>
        </w:tc>
      </w:tr>
      <w:tr w:rsidR="000C4327" w:rsidRPr="00192ECD" w14:paraId="2F06BDEB" w14:textId="77777777" w:rsidTr="00C778F2">
        <w:trPr>
          <w:trHeight w:val="300"/>
        </w:trPr>
        <w:tc>
          <w:tcPr>
            <w:tcW w:w="3681" w:type="dxa"/>
            <w:shd w:val="clear" w:color="auto" w:fill="0070C0"/>
            <w:noWrap/>
            <w:vAlign w:val="bottom"/>
          </w:tcPr>
          <w:p w14:paraId="4705D723" w14:textId="7BD7BA1E" w:rsidR="000C4327" w:rsidRPr="00C778F2" w:rsidRDefault="000C4327" w:rsidP="000C4327">
            <w:pPr>
              <w:rPr>
                <w:color w:val="FFFFFF" w:themeColor="background1"/>
                <w:szCs w:val="20"/>
              </w:rPr>
            </w:pPr>
            <w:proofErr w:type="spellStart"/>
            <w:r w:rsidRPr="00C778F2">
              <w:rPr>
                <w:color w:val="FFFFFF" w:themeColor="background1"/>
                <w:szCs w:val="20"/>
              </w:rPr>
              <w:t>Coppins</w:t>
            </w:r>
            <w:proofErr w:type="spellEnd"/>
          </w:p>
        </w:tc>
        <w:tc>
          <w:tcPr>
            <w:tcW w:w="2268" w:type="dxa"/>
            <w:shd w:val="clear" w:color="auto" w:fill="0070C0"/>
            <w:noWrap/>
            <w:vAlign w:val="bottom"/>
          </w:tcPr>
          <w:p w14:paraId="461B3CC5" w14:textId="1E0C0244" w:rsidR="000C4327" w:rsidRPr="00C778F2" w:rsidRDefault="000C4327" w:rsidP="000C4327">
            <w:pPr>
              <w:rPr>
                <w:color w:val="FFFFFF" w:themeColor="background1"/>
                <w:szCs w:val="20"/>
              </w:rPr>
            </w:pPr>
            <w:r w:rsidRPr="00C778F2">
              <w:rPr>
                <w:color w:val="FFFFFF" w:themeColor="background1"/>
                <w:szCs w:val="20"/>
              </w:rPr>
              <w:t>Tendring</w:t>
            </w:r>
          </w:p>
        </w:tc>
        <w:tc>
          <w:tcPr>
            <w:tcW w:w="2959" w:type="dxa"/>
            <w:shd w:val="clear" w:color="auto" w:fill="0070C0"/>
            <w:noWrap/>
            <w:vAlign w:val="bottom"/>
          </w:tcPr>
          <w:p w14:paraId="1DF7305A" w14:textId="077F689A" w:rsidR="000C4327" w:rsidRPr="00C778F2" w:rsidRDefault="000C4327" w:rsidP="000C4327">
            <w:pPr>
              <w:jc w:val="right"/>
              <w:rPr>
                <w:rFonts w:eastAsia="Times New Roman" w:cs="Calibri"/>
                <w:color w:val="FFFFFF" w:themeColor="background1"/>
                <w:szCs w:val="20"/>
                <w:lang w:eastAsia="en-GB"/>
              </w:rPr>
            </w:pPr>
            <w:r w:rsidRPr="00C778F2">
              <w:rPr>
                <w:color w:val="FFFFFF" w:themeColor="background1"/>
                <w:szCs w:val="20"/>
              </w:rPr>
              <w:t>5.7</w:t>
            </w:r>
          </w:p>
        </w:tc>
      </w:tr>
      <w:tr w:rsidR="000C4327" w:rsidRPr="00192ECD" w14:paraId="321CC41D" w14:textId="77777777" w:rsidTr="000C4327">
        <w:trPr>
          <w:trHeight w:val="300"/>
        </w:trPr>
        <w:tc>
          <w:tcPr>
            <w:tcW w:w="3681" w:type="dxa"/>
            <w:shd w:val="clear" w:color="auto" w:fill="auto"/>
            <w:noWrap/>
            <w:vAlign w:val="bottom"/>
          </w:tcPr>
          <w:p w14:paraId="30B0B651" w14:textId="4DBFBDCC" w:rsidR="000C4327" w:rsidRPr="000C4327" w:rsidRDefault="000C4327" w:rsidP="000C4327">
            <w:pPr>
              <w:rPr>
                <w:szCs w:val="20"/>
              </w:rPr>
            </w:pPr>
            <w:r w:rsidRPr="000C4327">
              <w:rPr>
                <w:color w:val="000000"/>
                <w:szCs w:val="20"/>
              </w:rPr>
              <w:t>Kirby Cross</w:t>
            </w:r>
          </w:p>
        </w:tc>
        <w:tc>
          <w:tcPr>
            <w:tcW w:w="2268" w:type="dxa"/>
            <w:shd w:val="clear" w:color="auto" w:fill="auto"/>
            <w:noWrap/>
            <w:vAlign w:val="bottom"/>
          </w:tcPr>
          <w:p w14:paraId="064F0205" w14:textId="4FE125CE"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200D1CF6" w14:textId="3DDC8E5F" w:rsidR="000C4327" w:rsidRPr="000C4327" w:rsidRDefault="000C4327" w:rsidP="000C4327">
            <w:pPr>
              <w:jc w:val="right"/>
              <w:rPr>
                <w:rFonts w:eastAsia="Times New Roman" w:cs="Calibri"/>
                <w:szCs w:val="20"/>
                <w:lang w:eastAsia="en-GB"/>
              </w:rPr>
            </w:pPr>
            <w:r w:rsidRPr="000C4327">
              <w:rPr>
                <w:color w:val="000000"/>
                <w:szCs w:val="20"/>
              </w:rPr>
              <w:t>5.7</w:t>
            </w:r>
          </w:p>
        </w:tc>
      </w:tr>
      <w:tr w:rsidR="000C4327" w:rsidRPr="00192ECD" w14:paraId="63B6FDD5" w14:textId="77777777" w:rsidTr="000C4327">
        <w:trPr>
          <w:trHeight w:val="300"/>
        </w:trPr>
        <w:tc>
          <w:tcPr>
            <w:tcW w:w="3681" w:type="dxa"/>
            <w:shd w:val="clear" w:color="auto" w:fill="auto"/>
            <w:noWrap/>
            <w:vAlign w:val="bottom"/>
          </w:tcPr>
          <w:p w14:paraId="149C4F99" w14:textId="0B7442DB" w:rsidR="000C4327" w:rsidRPr="000C4327" w:rsidRDefault="000C4327" w:rsidP="000C4327">
            <w:pPr>
              <w:rPr>
                <w:szCs w:val="20"/>
              </w:rPr>
            </w:pPr>
            <w:r w:rsidRPr="000C4327">
              <w:rPr>
                <w:color w:val="000000"/>
                <w:szCs w:val="20"/>
              </w:rPr>
              <w:t>Bocking North</w:t>
            </w:r>
          </w:p>
        </w:tc>
        <w:tc>
          <w:tcPr>
            <w:tcW w:w="2268" w:type="dxa"/>
            <w:shd w:val="clear" w:color="auto" w:fill="auto"/>
            <w:noWrap/>
            <w:vAlign w:val="bottom"/>
          </w:tcPr>
          <w:p w14:paraId="4BA669DD" w14:textId="06357812" w:rsidR="000C4327" w:rsidRPr="000C4327" w:rsidRDefault="000C4327" w:rsidP="000C4327">
            <w:pPr>
              <w:rPr>
                <w:szCs w:val="20"/>
              </w:rPr>
            </w:pPr>
            <w:r w:rsidRPr="000C4327">
              <w:rPr>
                <w:color w:val="000000"/>
                <w:szCs w:val="20"/>
              </w:rPr>
              <w:t>Braintree</w:t>
            </w:r>
          </w:p>
        </w:tc>
        <w:tc>
          <w:tcPr>
            <w:tcW w:w="2959" w:type="dxa"/>
            <w:shd w:val="clear" w:color="auto" w:fill="auto"/>
            <w:noWrap/>
            <w:vAlign w:val="bottom"/>
          </w:tcPr>
          <w:p w14:paraId="4A380F7D" w14:textId="514EB5B7" w:rsidR="000C4327" w:rsidRPr="000C4327" w:rsidRDefault="000C4327" w:rsidP="000C4327">
            <w:pPr>
              <w:jc w:val="right"/>
              <w:rPr>
                <w:rFonts w:eastAsia="Times New Roman" w:cs="Calibri"/>
                <w:szCs w:val="20"/>
                <w:lang w:eastAsia="en-GB"/>
              </w:rPr>
            </w:pPr>
            <w:r w:rsidRPr="000C4327">
              <w:rPr>
                <w:color w:val="000000"/>
                <w:szCs w:val="20"/>
              </w:rPr>
              <w:t>5.6</w:t>
            </w:r>
          </w:p>
        </w:tc>
      </w:tr>
      <w:tr w:rsidR="000C4327" w:rsidRPr="00192ECD" w14:paraId="3BC49A66" w14:textId="77777777" w:rsidTr="000C4327">
        <w:trPr>
          <w:trHeight w:val="300"/>
        </w:trPr>
        <w:tc>
          <w:tcPr>
            <w:tcW w:w="3681" w:type="dxa"/>
            <w:shd w:val="clear" w:color="auto" w:fill="auto"/>
            <w:noWrap/>
            <w:vAlign w:val="bottom"/>
          </w:tcPr>
          <w:p w14:paraId="7E34C2E5" w14:textId="4C4BF9F8" w:rsidR="000C4327" w:rsidRPr="000C4327" w:rsidRDefault="000C4327" w:rsidP="000C4327">
            <w:pPr>
              <w:rPr>
                <w:szCs w:val="20"/>
              </w:rPr>
            </w:pPr>
            <w:r w:rsidRPr="000C4327">
              <w:rPr>
                <w:color w:val="000000"/>
                <w:szCs w:val="20"/>
              </w:rPr>
              <w:t>Ardleigh &amp; Little Bromley</w:t>
            </w:r>
          </w:p>
        </w:tc>
        <w:tc>
          <w:tcPr>
            <w:tcW w:w="2268" w:type="dxa"/>
            <w:shd w:val="clear" w:color="auto" w:fill="auto"/>
            <w:noWrap/>
            <w:vAlign w:val="bottom"/>
          </w:tcPr>
          <w:p w14:paraId="4925C852" w14:textId="19C1781C"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4982D8D1" w14:textId="539E1A33" w:rsidR="000C4327" w:rsidRPr="000C4327" w:rsidRDefault="000C4327" w:rsidP="000C4327">
            <w:pPr>
              <w:jc w:val="right"/>
              <w:rPr>
                <w:rFonts w:eastAsia="Times New Roman" w:cs="Calibri"/>
                <w:szCs w:val="20"/>
                <w:lang w:eastAsia="en-GB"/>
              </w:rPr>
            </w:pPr>
            <w:r w:rsidRPr="000C4327">
              <w:rPr>
                <w:color w:val="000000"/>
                <w:szCs w:val="20"/>
              </w:rPr>
              <w:t>5.5</w:t>
            </w:r>
          </w:p>
        </w:tc>
      </w:tr>
      <w:tr w:rsidR="000C4327" w:rsidRPr="00192ECD" w14:paraId="07B8C2FB" w14:textId="77777777" w:rsidTr="000C4327">
        <w:trPr>
          <w:trHeight w:val="300"/>
        </w:trPr>
        <w:tc>
          <w:tcPr>
            <w:tcW w:w="3681" w:type="dxa"/>
            <w:shd w:val="clear" w:color="auto" w:fill="0070C0"/>
            <w:noWrap/>
            <w:vAlign w:val="bottom"/>
          </w:tcPr>
          <w:p w14:paraId="0064180B" w14:textId="2E299BEC" w:rsidR="000C4327" w:rsidRPr="000C4327" w:rsidRDefault="000C4327" w:rsidP="000C4327">
            <w:pPr>
              <w:rPr>
                <w:color w:val="FFFFFF" w:themeColor="background1"/>
                <w:szCs w:val="20"/>
              </w:rPr>
            </w:pPr>
            <w:r w:rsidRPr="000C4327">
              <w:rPr>
                <w:color w:val="FFFFFF" w:themeColor="background1"/>
                <w:szCs w:val="20"/>
              </w:rPr>
              <w:t>West Clacton &amp; Jaywick Sands</w:t>
            </w:r>
          </w:p>
        </w:tc>
        <w:tc>
          <w:tcPr>
            <w:tcW w:w="2268" w:type="dxa"/>
            <w:shd w:val="clear" w:color="auto" w:fill="0070C0"/>
            <w:noWrap/>
            <w:vAlign w:val="bottom"/>
          </w:tcPr>
          <w:p w14:paraId="1AFB216F" w14:textId="0D4F66BB" w:rsidR="000C4327" w:rsidRPr="000C4327" w:rsidRDefault="000C4327" w:rsidP="000C4327">
            <w:pPr>
              <w:rPr>
                <w:color w:val="FFFFFF" w:themeColor="background1"/>
                <w:szCs w:val="20"/>
              </w:rPr>
            </w:pPr>
            <w:r w:rsidRPr="000C4327">
              <w:rPr>
                <w:color w:val="FFFFFF" w:themeColor="background1"/>
                <w:szCs w:val="20"/>
              </w:rPr>
              <w:t>Tendring</w:t>
            </w:r>
          </w:p>
        </w:tc>
        <w:tc>
          <w:tcPr>
            <w:tcW w:w="2959" w:type="dxa"/>
            <w:shd w:val="clear" w:color="auto" w:fill="0070C0"/>
            <w:noWrap/>
            <w:vAlign w:val="bottom"/>
          </w:tcPr>
          <w:p w14:paraId="2F3E6516" w14:textId="736005DE" w:rsidR="000C4327" w:rsidRPr="000C4327" w:rsidRDefault="000C4327" w:rsidP="000C4327">
            <w:pPr>
              <w:jc w:val="right"/>
              <w:rPr>
                <w:rFonts w:eastAsia="Times New Roman" w:cs="Calibri"/>
                <w:color w:val="FFFFFF" w:themeColor="background1"/>
                <w:szCs w:val="20"/>
                <w:lang w:eastAsia="en-GB"/>
              </w:rPr>
            </w:pPr>
            <w:r w:rsidRPr="000C4327">
              <w:rPr>
                <w:color w:val="FFFFFF" w:themeColor="background1"/>
                <w:szCs w:val="20"/>
              </w:rPr>
              <w:t>5.5</w:t>
            </w:r>
          </w:p>
        </w:tc>
      </w:tr>
      <w:tr w:rsidR="000C4327" w:rsidRPr="00192ECD" w14:paraId="2D4C74CF" w14:textId="77777777" w:rsidTr="00C778F2">
        <w:trPr>
          <w:trHeight w:val="300"/>
        </w:trPr>
        <w:tc>
          <w:tcPr>
            <w:tcW w:w="3681" w:type="dxa"/>
            <w:shd w:val="clear" w:color="auto" w:fill="0070C0"/>
            <w:noWrap/>
            <w:vAlign w:val="bottom"/>
          </w:tcPr>
          <w:p w14:paraId="561CBD52" w14:textId="3A24DE0A" w:rsidR="000C4327" w:rsidRPr="00C778F2" w:rsidRDefault="000C4327" w:rsidP="000C4327">
            <w:pPr>
              <w:rPr>
                <w:color w:val="FFFFFF" w:themeColor="background1"/>
                <w:szCs w:val="20"/>
              </w:rPr>
            </w:pPr>
            <w:r w:rsidRPr="00C778F2">
              <w:rPr>
                <w:color w:val="FFFFFF" w:themeColor="background1"/>
                <w:szCs w:val="20"/>
              </w:rPr>
              <w:t>Pitsea North West</w:t>
            </w:r>
          </w:p>
        </w:tc>
        <w:tc>
          <w:tcPr>
            <w:tcW w:w="2268" w:type="dxa"/>
            <w:shd w:val="clear" w:color="auto" w:fill="0070C0"/>
            <w:noWrap/>
            <w:vAlign w:val="bottom"/>
          </w:tcPr>
          <w:p w14:paraId="2797DE17" w14:textId="3366F1C3" w:rsidR="000C4327" w:rsidRPr="00C778F2" w:rsidRDefault="000C4327" w:rsidP="000C4327">
            <w:pPr>
              <w:rPr>
                <w:color w:val="FFFFFF" w:themeColor="background1"/>
                <w:szCs w:val="20"/>
              </w:rPr>
            </w:pPr>
            <w:r w:rsidRPr="00C778F2">
              <w:rPr>
                <w:color w:val="FFFFFF" w:themeColor="background1"/>
                <w:szCs w:val="20"/>
              </w:rPr>
              <w:t>Basildon</w:t>
            </w:r>
          </w:p>
        </w:tc>
        <w:tc>
          <w:tcPr>
            <w:tcW w:w="2959" w:type="dxa"/>
            <w:shd w:val="clear" w:color="auto" w:fill="0070C0"/>
            <w:noWrap/>
            <w:vAlign w:val="bottom"/>
          </w:tcPr>
          <w:p w14:paraId="082FD008" w14:textId="45CE12B4" w:rsidR="000C4327" w:rsidRPr="00C778F2" w:rsidRDefault="000C4327" w:rsidP="000C4327">
            <w:pPr>
              <w:jc w:val="right"/>
              <w:rPr>
                <w:rFonts w:eastAsia="Times New Roman" w:cs="Calibri"/>
                <w:color w:val="FFFFFF" w:themeColor="background1"/>
                <w:szCs w:val="20"/>
                <w:lang w:eastAsia="en-GB"/>
              </w:rPr>
            </w:pPr>
            <w:r w:rsidRPr="00C778F2">
              <w:rPr>
                <w:color w:val="FFFFFF" w:themeColor="background1"/>
                <w:szCs w:val="20"/>
              </w:rPr>
              <w:t>5.3</w:t>
            </w:r>
          </w:p>
        </w:tc>
      </w:tr>
      <w:tr w:rsidR="000C4327" w:rsidRPr="00192ECD" w14:paraId="0170B7F6" w14:textId="77777777" w:rsidTr="000A79D8">
        <w:trPr>
          <w:trHeight w:val="300"/>
        </w:trPr>
        <w:tc>
          <w:tcPr>
            <w:tcW w:w="3681" w:type="dxa"/>
            <w:shd w:val="clear" w:color="auto" w:fill="0070C0"/>
            <w:noWrap/>
            <w:vAlign w:val="bottom"/>
          </w:tcPr>
          <w:p w14:paraId="692A01FD" w14:textId="0F558E4C" w:rsidR="000C4327" w:rsidRPr="000A79D8" w:rsidRDefault="000C4327" w:rsidP="000C4327">
            <w:pPr>
              <w:rPr>
                <w:color w:val="FFFFFF" w:themeColor="background1"/>
                <w:szCs w:val="20"/>
              </w:rPr>
            </w:pPr>
            <w:r w:rsidRPr="000A79D8">
              <w:rPr>
                <w:color w:val="FFFFFF" w:themeColor="background1"/>
                <w:szCs w:val="20"/>
              </w:rPr>
              <w:t>Walton</w:t>
            </w:r>
          </w:p>
        </w:tc>
        <w:tc>
          <w:tcPr>
            <w:tcW w:w="2268" w:type="dxa"/>
            <w:shd w:val="clear" w:color="auto" w:fill="0070C0"/>
            <w:noWrap/>
            <w:vAlign w:val="bottom"/>
          </w:tcPr>
          <w:p w14:paraId="0B9B2A1E" w14:textId="6040C5E2" w:rsidR="000C4327" w:rsidRPr="000A79D8" w:rsidRDefault="000C4327" w:rsidP="000C4327">
            <w:pPr>
              <w:rPr>
                <w:color w:val="FFFFFF" w:themeColor="background1"/>
                <w:szCs w:val="20"/>
              </w:rPr>
            </w:pPr>
            <w:r w:rsidRPr="000A79D8">
              <w:rPr>
                <w:color w:val="FFFFFF" w:themeColor="background1"/>
                <w:szCs w:val="20"/>
              </w:rPr>
              <w:t>Tendring</w:t>
            </w:r>
          </w:p>
        </w:tc>
        <w:tc>
          <w:tcPr>
            <w:tcW w:w="2959" w:type="dxa"/>
            <w:shd w:val="clear" w:color="auto" w:fill="0070C0"/>
            <w:noWrap/>
            <w:vAlign w:val="bottom"/>
          </w:tcPr>
          <w:p w14:paraId="5AAB8741" w14:textId="0DB06361" w:rsidR="000C4327" w:rsidRPr="000A79D8" w:rsidRDefault="000C4327" w:rsidP="000C4327">
            <w:pPr>
              <w:jc w:val="right"/>
              <w:rPr>
                <w:rFonts w:eastAsia="Times New Roman" w:cs="Calibri"/>
                <w:color w:val="FFFFFF" w:themeColor="background1"/>
                <w:szCs w:val="20"/>
                <w:lang w:eastAsia="en-GB"/>
              </w:rPr>
            </w:pPr>
            <w:r w:rsidRPr="000A79D8">
              <w:rPr>
                <w:color w:val="FFFFFF" w:themeColor="background1"/>
                <w:szCs w:val="20"/>
              </w:rPr>
              <w:t>5.3</w:t>
            </w:r>
          </w:p>
        </w:tc>
      </w:tr>
      <w:tr w:rsidR="000C4327" w:rsidRPr="00192ECD" w14:paraId="772EDA83" w14:textId="77777777" w:rsidTr="000C4327">
        <w:trPr>
          <w:trHeight w:val="300"/>
        </w:trPr>
        <w:tc>
          <w:tcPr>
            <w:tcW w:w="3681" w:type="dxa"/>
            <w:shd w:val="clear" w:color="auto" w:fill="auto"/>
            <w:noWrap/>
            <w:vAlign w:val="bottom"/>
          </w:tcPr>
          <w:p w14:paraId="5C4E08B2" w14:textId="2FF46BDC" w:rsidR="000C4327" w:rsidRPr="000C4327" w:rsidRDefault="000C4327" w:rsidP="000C4327">
            <w:pPr>
              <w:rPr>
                <w:szCs w:val="20"/>
              </w:rPr>
            </w:pPr>
            <w:r w:rsidRPr="000C4327">
              <w:rPr>
                <w:color w:val="000000"/>
                <w:szCs w:val="20"/>
              </w:rPr>
              <w:t>Little Clacton</w:t>
            </w:r>
          </w:p>
        </w:tc>
        <w:tc>
          <w:tcPr>
            <w:tcW w:w="2268" w:type="dxa"/>
            <w:shd w:val="clear" w:color="auto" w:fill="auto"/>
            <w:noWrap/>
            <w:vAlign w:val="bottom"/>
          </w:tcPr>
          <w:p w14:paraId="38B07493" w14:textId="4EDA9AF5"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6474FD86" w14:textId="42E12780" w:rsidR="000C4327" w:rsidRPr="000C4327" w:rsidRDefault="000C4327" w:rsidP="000C4327">
            <w:pPr>
              <w:jc w:val="right"/>
              <w:rPr>
                <w:rFonts w:eastAsia="Times New Roman" w:cs="Calibri"/>
                <w:szCs w:val="20"/>
                <w:lang w:eastAsia="en-GB"/>
              </w:rPr>
            </w:pPr>
            <w:r w:rsidRPr="000C4327">
              <w:rPr>
                <w:color w:val="000000"/>
                <w:szCs w:val="20"/>
              </w:rPr>
              <w:t>5.2</w:t>
            </w:r>
          </w:p>
        </w:tc>
      </w:tr>
      <w:tr w:rsidR="000C4327" w:rsidRPr="00192ECD" w14:paraId="57173FD2" w14:textId="77777777" w:rsidTr="000C4327">
        <w:trPr>
          <w:trHeight w:val="300"/>
        </w:trPr>
        <w:tc>
          <w:tcPr>
            <w:tcW w:w="3681" w:type="dxa"/>
            <w:shd w:val="clear" w:color="auto" w:fill="auto"/>
            <w:noWrap/>
            <w:vAlign w:val="bottom"/>
          </w:tcPr>
          <w:p w14:paraId="5B81D5D0" w14:textId="33778026" w:rsidR="000C4327" w:rsidRPr="000C4327" w:rsidRDefault="000C4327" w:rsidP="000C4327">
            <w:pPr>
              <w:rPr>
                <w:szCs w:val="20"/>
              </w:rPr>
            </w:pPr>
            <w:proofErr w:type="spellStart"/>
            <w:r w:rsidRPr="000C4327">
              <w:rPr>
                <w:color w:val="000000"/>
                <w:szCs w:val="20"/>
              </w:rPr>
              <w:t>Toddbrook</w:t>
            </w:r>
            <w:proofErr w:type="spellEnd"/>
          </w:p>
        </w:tc>
        <w:tc>
          <w:tcPr>
            <w:tcW w:w="2268" w:type="dxa"/>
            <w:shd w:val="clear" w:color="auto" w:fill="auto"/>
            <w:noWrap/>
            <w:vAlign w:val="bottom"/>
          </w:tcPr>
          <w:p w14:paraId="1EF48114" w14:textId="0A7BEECD" w:rsidR="000C4327" w:rsidRPr="000C4327" w:rsidRDefault="000C4327" w:rsidP="000C4327">
            <w:pPr>
              <w:rPr>
                <w:szCs w:val="20"/>
              </w:rPr>
            </w:pPr>
            <w:r w:rsidRPr="000C4327">
              <w:rPr>
                <w:color w:val="000000"/>
                <w:szCs w:val="20"/>
              </w:rPr>
              <w:t>Harlow</w:t>
            </w:r>
          </w:p>
        </w:tc>
        <w:tc>
          <w:tcPr>
            <w:tcW w:w="2959" w:type="dxa"/>
            <w:shd w:val="clear" w:color="auto" w:fill="auto"/>
            <w:noWrap/>
            <w:vAlign w:val="bottom"/>
          </w:tcPr>
          <w:p w14:paraId="2508A10D" w14:textId="52B53A3B" w:rsidR="000C4327" w:rsidRPr="000C4327" w:rsidRDefault="000C4327" w:rsidP="000C4327">
            <w:pPr>
              <w:jc w:val="right"/>
              <w:rPr>
                <w:rFonts w:eastAsia="Times New Roman" w:cs="Calibri"/>
                <w:szCs w:val="20"/>
                <w:lang w:eastAsia="en-GB"/>
              </w:rPr>
            </w:pPr>
            <w:r w:rsidRPr="000C4327">
              <w:rPr>
                <w:color w:val="000000"/>
                <w:szCs w:val="20"/>
              </w:rPr>
              <w:t>5.2</w:t>
            </w:r>
          </w:p>
        </w:tc>
      </w:tr>
      <w:tr w:rsidR="000C4327" w:rsidRPr="00192ECD" w14:paraId="3542EF4B" w14:textId="77777777" w:rsidTr="000C4327">
        <w:trPr>
          <w:trHeight w:val="300"/>
        </w:trPr>
        <w:tc>
          <w:tcPr>
            <w:tcW w:w="3681" w:type="dxa"/>
            <w:shd w:val="clear" w:color="auto" w:fill="0070C0"/>
            <w:noWrap/>
            <w:vAlign w:val="bottom"/>
          </w:tcPr>
          <w:p w14:paraId="31F83BCC" w14:textId="4F84DC67" w:rsidR="000C4327" w:rsidRPr="000C4327" w:rsidRDefault="000C4327" w:rsidP="000C4327">
            <w:pPr>
              <w:rPr>
                <w:color w:val="FFFFFF" w:themeColor="background1"/>
                <w:szCs w:val="20"/>
              </w:rPr>
            </w:pPr>
            <w:proofErr w:type="spellStart"/>
            <w:r w:rsidRPr="000C4327">
              <w:rPr>
                <w:color w:val="FFFFFF" w:themeColor="background1"/>
                <w:szCs w:val="20"/>
              </w:rPr>
              <w:t>Vange</w:t>
            </w:r>
            <w:proofErr w:type="spellEnd"/>
          </w:p>
        </w:tc>
        <w:tc>
          <w:tcPr>
            <w:tcW w:w="2268" w:type="dxa"/>
            <w:shd w:val="clear" w:color="auto" w:fill="0070C0"/>
            <w:noWrap/>
            <w:vAlign w:val="bottom"/>
          </w:tcPr>
          <w:p w14:paraId="1B1AD927" w14:textId="37084285" w:rsidR="000C4327" w:rsidRPr="000C4327" w:rsidRDefault="000C4327" w:rsidP="000C4327">
            <w:pPr>
              <w:rPr>
                <w:color w:val="FFFFFF" w:themeColor="background1"/>
                <w:szCs w:val="20"/>
              </w:rPr>
            </w:pPr>
            <w:r w:rsidRPr="000C4327">
              <w:rPr>
                <w:color w:val="FFFFFF" w:themeColor="background1"/>
                <w:szCs w:val="20"/>
              </w:rPr>
              <w:t>Basildon</w:t>
            </w:r>
          </w:p>
        </w:tc>
        <w:tc>
          <w:tcPr>
            <w:tcW w:w="2959" w:type="dxa"/>
            <w:shd w:val="clear" w:color="auto" w:fill="0070C0"/>
            <w:noWrap/>
            <w:vAlign w:val="bottom"/>
          </w:tcPr>
          <w:p w14:paraId="7009710D" w14:textId="0D87D662" w:rsidR="000C4327" w:rsidRPr="000C4327" w:rsidRDefault="000C4327" w:rsidP="000C4327">
            <w:pPr>
              <w:jc w:val="right"/>
              <w:rPr>
                <w:rFonts w:eastAsia="Times New Roman" w:cs="Calibri"/>
                <w:color w:val="FFFFFF" w:themeColor="background1"/>
                <w:szCs w:val="20"/>
                <w:lang w:eastAsia="en-GB"/>
              </w:rPr>
            </w:pPr>
            <w:r w:rsidRPr="000C4327">
              <w:rPr>
                <w:color w:val="FFFFFF" w:themeColor="background1"/>
                <w:szCs w:val="20"/>
              </w:rPr>
              <w:t>5.2</w:t>
            </w:r>
          </w:p>
        </w:tc>
      </w:tr>
      <w:tr w:rsidR="000C4327" w:rsidRPr="00192ECD" w14:paraId="00F1267A" w14:textId="77777777" w:rsidTr="000C4327">
        <w:trPr>
          <w:trHeight w:val="300"/>
        </w:trPr>
        <w:tc>
          <w:tcPr>
            <w:tcW w:w="3681" w:type="dxa"/>
            <w:shd w:val="clear" w:color="auto" w:fill="auto"/>
            <w:noWrap/>
            <w:vAlign w:val="bottom"/>
          </w:tcPr>
          <w:p w14:paraId="63E2D58E" w14:textId="52ECBFC2" w:rsidR="000C4327" w:rsidRPr="000C4327" w:rsidRDefault="000C4327" w:rsidP="000C4327">
            <w:pPr>
              <w:rPr>
                <w:szCs w:val="20"/>
              </w:rPr>
            </w:pPr>
            <w:proofErr w:type="spellStart"/>
            <w:r w:rsidRPr="000C4327">
              <w:rPr>
                <w:color w:val="000000"/>
                <w:szCs w:val="20"/>
              </w:rPr>
              <w:t>Dovercourt</w:t>
            </w:r>
            <w:proofErr w:type="spellEnd"/>
            <w:r w:rsidRPr="000C4327">
              <w:rPr>
                <w:color w:val="000000"/>
                <w:szCs w:val="20"/>
              </w:rPr>
              <w:t xml:space="preserve"> Tollgate</w:t>
            </w:r>
          </w:p>
        </w:tc>
        <w:tc>
          <w:tcPr>
            <w:tcW w:w="2268" w:type="dxa"/>
            <w:shd w:val="clear" w:color="auto" w:fill="auto"/>
            <w:noWrap/>
            <w:vAlign w:val="bottom"/>
          </w:tcPr>
          <w:p w14:paraId="1027831A" w14:textId="5F854E57" w:rsidR="000C4327" w:rsidRPr="000C4327" w:rsidRDefault="000C4327" w:rsidP="000C4327">
            <w:pPr>
              <w:rPr>
                <w:szCs w:val="20"/>
              </w:rPr>
            </w:pPr>
            <w:r w:rsidRPr="000C4327">
              <w:rPr>
                <w:color w:val="000000"/>
                <w:szCs w:val="20"/>
              </w:rPr>
              <w:t>Tendring</w:t>
            </w:r>
          </w:p>
        </w:tc>
        <w:tc>
          <w:tcPr>
            <w:tcW w:w="2959" w:type="dxa"/>
            <w:shd w:val="clear" w:color="auto" w:fill="auto"/>
            <w:noWrap/>
            <w:vAlign w:val="bottom"/>
          </w:tcPr>
          <w:p w14:paraId="56DD401B" w14:textId="2F382520" w:rsidR="000C4327" w:rsidRPr="000C4327" w:rsidRDefault="000C4327" w:rsidP="000C4327">
            <w:pPr>
              <w:jc w:val="right"/>
              <w:rPr>
                <w:rFonts w:eastAsia="Times New Roman" w:cs="Calibri"/>
                <w:szCs w:val="20"/>
                <w:lang w:eastAsia="en-GB"/>
              </w:rPr>
            </w:pPr>
            <w:r w:rsidRPr="000C4327">
              <w:rPr>
                <w:color w:val="000000"/>
                <w:szCs w:val="20"/>
              </w:rPr>
              <w:t>5.2</w:t>
            </w:r>
          </w:p>
        </w:tc>
      </w:tr>
      <w:tr w:rsidR="000C4327" w:rsidRPr="00192ECD" w14:paraId="2DD73702" w14:textId="77777777" w:rsidTr="00AB41AF">
        <w:trPr>
          <w:trHeight w:val="300"/>
        </w:trPr>
        <w:tc>
          <w:tcPr>
            <w:tcW w:w="8908" w:type="dxa"/>
            <w:gridSpan w:val="3"/>
            <w:shd w:val="clear" w:color="auto" w:fill="FFFFFF" w:themeFill="background1"/>
            <w:noWrap/>
            <w:vAlign w:val="bottom"/>
          </w:tcPr>
          <w:p w14:paraId="3E5DC18E" w14:textId="213BF215" w:rsidR="000C4327" w:rsidRPr="00192ECD" w:rsidRDefault="000C4327" w:rsidP="00AB41AF">
            <w:pPr>
              <w:rPr>
                <w:rFonts w:eastAsia="Times New Roman" w:cs="Calibri"/>
                <w:color w:val="000000" w:themeColor="text1"/>
                <w:szCs w:val="20"/>
                <w:lang w:eastAsia="en-GB"/>
              </w:rPr>
            </w:pPr>
            <w:r w:rsidRPr="00192ECD">
              <w:rPr>
                <w:color w:val="000000" w:themeColor="text1"/>
              </w:rPr>
              <w:t xml:space="preserve">Source: </w:t>
            </w:r>
            <w:r w:rsidR="00C86E2C">
              <w:rPr>
                <w:color w:val="000000" w:themeColor="text1"/>
              </w:rPr>
              <w:t>Census 2011</w:t>
            </w:r>
          </w:p>
        </w:tc>
      </w:tr>
    </w:tbl>
    <w:p w14:paraId="4C067CC7" w14:textId="2FEDBFB3" w:rsidR="000C4327" w:rsidRDefault="000C4327" w:rsidP="0019397E"/>
    <w:p w14:paraId="1EC2B895" w14:textId="5FF0231F" w:rsidR="00C778F2" w:rsidRDefault="000A79D8">
      <w:pPr>
        <w:spacing w:after="160" w:line="259" w:lineRule="auto"/>
      </w:pPr>
      <w:r>
        <w:t>Nine</w:t>
      </w:r>
      <w:r w:rsidR="00C778F2">
        <w:t xml:space="preserve"> of the 12 LBAs in Essex feature among the 20 wards with the highest levels of limiting-long-term illness among those aged 0-15. However, the ward with the highest proportion of children aged 0-15 with a limiting long-term illness - </w:t>
      </w:r>
      <w:proofErr w:type="spellStart"/>
      <w:r w:rsidR="00C778F2" w:rsidRPr="000C4327">
        <w:rPr>
          <w:color w:val="000000"/>
          <w:szCs w:val="20"/>
        </w:rPr>
        <w:t>Weeley</w:t>
      </w:r>
      <w:proofErr w:type="spellEnd"/>
      <w:r w:rsidR="00C778F2" w:rsidRPr="000C4327">
        <w:rPr>
          <w:color w:val="000000"/>
          <w:szCs w:val="20"/>
        </w:rPr>
        <w:t xml:space="preserve"> &amp; Tendring</w:t>
      </w:r>
      <w:r w:rsidR="00C778F2">
        <w:t xml:space="preserve"> is not identified as ‘left-behind’.</w:t>
      </w:r>
    </w:p>
    <w:p w14:paraId="62E9A56B" w14:textId="7352828D" w:rsidR="000C4327" w:rsidRDefault="000C4327">
      <w:pPr>
        <w:spacing w:after="160" w:line="259" w:lineRule="auto"/>
      </w:pPr>
      <w:r>
        <w:br w:type="page"/>
      </w:r>
      <w:r w:rsidR="00C778F2">
        <w:lastRenderedPageBreak/>
        <w:t>The 11 wards with the highest prevalence of limiting-long-term illness among children are all located in Tendring.</w:t>
      </w:r>
    </w:p>
    <w:p w14:paraId="055CD207" w14:textId="3BE0FB42" w:rsidR="00C778F2" w:rsidRDefault="00C778F2" w:rsidP="00C778F2">
      <w:pPr>
        <w:pStyle w:val="Heading2"/>
        <w:rPr>
          <w:lang w:val="en-US"/>
        </w:rPr>
      </w:pPr>
      <w:bookmarkStart w:id="23" w:name="_Toc71790743"/>
      <w:r>
        <w:rPr>
          <w:lang w:val="en-US"/>
        </w:rPr>
        <w:t>In-commuters</w:t>
      </w:r>
      <w:bookmarkEnd w:id="23"/>
    </w:p>
    <w:p w14:paraId="4113DE81" w14:textId="324BD84D" w:rsidR="00C778F2" w:rsidRDefault="00C778F2" w:rsidP="00C778F2">
      <w:pPr>
        <w:rPr>
          <w:lang w:val="en-US"/>
        </w:rPr>
      </w:pPr>
    </w:p>
    <w:p w14:paraId="22B5C8DB" w14:textId="15C2877A" w:rsidR="00C778F2" w:rsidRDefault="00C778F2" w:rsidP="00C778F2">
      <w:pPr>
        <w:rPr>
          <w:lang w:val="en-US"/>
        </w:rPr>
      </w:pPr>
      <w:r>
        <w:rPr>
          <w:lang w:val="en-US"/>
        </w:rPr>
        <w:t>The ratio of in-commuters is captured by comparing t</w:t>
      </w:r>
      <w:r w:rsidRPr="00C778F2">
        <w:rPr>
          <w:lang w:val="en-US"/>
        </w:rPr>
        <w:t xml:space="preserve">he workplace population </w:t>
      </w:r>
      <w:r>
        <w:rPr>
          <w:lang w:val="en-US"/>
        </w:rPr>
        <w:t xml:space="preserve">(aged 16-74) </w:t>
      </w:r>
      <w:r w:rsidRPr="00C778F2">
        <w:rPr>
          <w:lang w:val="en-US"/>
        </w:rPr>
        <w:t xml:space="preserve">to </w:t>
      </w:r>
      <w:r>
        <w:rPr>
          <w:lang w:val="en-US"/>
        </w:rPr>
        <w:t xml:space="preserve">the </w:t>
      </w:r>
      <w:r w:rsidRPr="00C778F2">
        <w:rPr>
          <w:lang w:val="en-US"/>
        </w:rPr>
        <w:t>resident population</w:t>
      </w:r>
      <w:r>
        <w:rPr>
          <w:lang w:val="en-US"/>
        </w:rPr>
        <w:t xml:space="preserve"> (aged 16-74)</w:t>
      </w:r>
      <w:r w:rsidR="000C17E1">
        <w:rPr>
          <w:lang w:val="en-US"/>
        </w:rPr>
        <w:t xml:space="preserve"> i.e. </w:t>
      </w:r>
      <w:r>
        <w:rPr>
          <w:lang w:val="en-US"/>
        </w:rPr>
        <w:t xml:space="preserve"> workplace population/resident population</w:t>
      </w:r>
      <w:r w:rsidR="000C17E1">
        <w:rPr>
          <w:lang w:val="en-US"/>
        </w:rPr>
        <w:t xml:space="preserve"> – with the result expressed as a ratio</w:t>
      </w:r>
      <w:r w:rsidRPr="00C778F2">
        <w:rPr>
          <w:lang w:val="en-US"/>
        </w:rPr>
        <w:t xml:space="preserve">. </w:t>
      </w:r>
      <w:r>
        <w:rPr>
          <w:lang w:val="en-US"/>
        </w:rPr>
        <w:t xml:space="preserve">A high value suggests that the area is an employment area while a low ratio indicates people travel out of the area to seek employment. </w:t>
      </w:r>
    </w:p>
    <w:p w14:paraId="167FC1D6" w14:textId="3E3BFDA4" w:rsidR="00C778F2" w:rsidRDefault="00C778F2" w:rsidP="00C778F2">
      <w:pPr>
        <w:rPr>
          <w:lang w:val="en-US"/>
        </w:rPr>
      </w:pPr>
    </w:p>
    <w:p w14:paraId="1E7E60AF" w14:textId="1AF22A8F" w:rsidR="00C778F2" w:rsidRDefault="00C778F2" w:rsidP="00C778F2">
      <w:pPr>
        <w:rPr>
          <w:lang w:val="en-US"/>
        </w:rPr>
      </w:pPr>
      <w:r>
        <w:rPr>
          <w:lang w:val="en-US"/>
        </w:rPr>
        <w:t xml:space="preserve">The table below identifies the 20 wards with the lowest workplace to residence ratio (areas where the workplace population is notably smaller than the residence population) – as a low score on this measure was identified as a key factor in predicting whether an area is ‘left-behind’. </w:t>
      </w:r>
      <w:r w:rsidR="00C86E2C">
        <w:t>Areas identified as ‘left-behind’ are shaded blue.</w:t>
      </w:r>
    </w:p>
    <w:p w14:paraId="535E706A" w14:textId="690B64DA" w:rsidR="00F85821" w:rsidRDefault="00F85821" w:rsidP="00C778F2">
      <w:pPr>
        <w:rPr>
          <w:lang w:val="en-US"/>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701"/>
        <w:gridCol w:w="2676"/>
      </w:tblGrid>
      <w:tr w:rsidR="00F85821" w:rsidRPr="00192ECD" w14:paraId="13B2D7D4" w14:textId="77777777" w:rsidTr="00C86E2C">
        <w:trPr>
          <w:trHeight w:val="300"/>
        </w:trPr>
        <w:tc>
          <w:tcPr>
            <w:tcW w:w="4531" w:type="dxa"/>
            <w:shd w:val="clear" w:color="auto" w:fill="002060"/>
            <w:noWrap/>
            <w:vAlign w:val="center"/>
          </w:tcPr>
          <w:p w14:paraId="4C2F4194" w14:textId="77777777" w:rsidR="00F85821" w:rsidRPr="00192ECD" w:rsidRDefault="00F85821"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Area</w:t>
            </w:r>
          </w:p>
        </w:tc>
        <w:tc>
          <w:tcPr>
            <w:tcW w:w="1701" w:type="dxa"/>
            <w:shd w:val="clear" w:color="auto" w:fill="002060"/>
            <w:noWrap/>
            <w:vAlign w:val="center"/>
          </w:tcPr>
          <w:p w14:paraId="4BF3A5CE" w14:textId="77777777" w:rsidR="00F85821" w:rsidRPr="00192ECD" w:rsidRDefault="00F85821" w:rsidP="00AB41AF">
            <w:pPr>
              <w:rPr>
                <w:rFonts w:eastAsia="Times New Roman" w:cs="Calibri"/>
                <w:color w:val="FFFFFF" w:themeColor="background1"/>
                <w:szCs w:val="20"/>
                <w:lang w:eastAsia="en-GB"/>
              </w:rPr>
            </w:pPr>
            <w:r>
              <w:rPr>
                <w:color w:val="FFFFFF" w:themeColor="background1"/>
              </w:rPr>
              <w:t>Local Authority</w:t>
            </w:r>
          </w:p>
        </w:tc>
        <w:tc>
          <w:tcPr>
            <w:tcW w:w="2676" w:type="dxa"/>
            <w:shd w:val="clear" w:color="auto" w:fill="002060"/>
            <w:noWrap/>
            <w:vAlign w:val="center"/>
          </w:tcPr>
          <w:p w14:paraId="5D2C9DE9" w14:textId="278F43B5" w:rsidR="00F85821" w:rsidRPr="00192ECD" w:rsidRDefault="00F85821"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Ratio of workplace/resident population</w:t>
            </w:r>
          </w:p>
        </w:tc>
      </w:tr>
      <w:tr w:rsidR="00C86E2C" w:rsidRPr="00192ECD" w14:paraId="462F0E01" w14:textId="77777777" w:rsidTr="00C86E2C">
        <w:trPr>
          <w:trHeight w:val="300"/>
        </w:trPr>
        <w:tc>
          <w:tcPr>
            <w:tcW w:w="4531" w:type="dxa"/>
            <w:shd w:val="clear" w:color="auto" w:fill="auto"/>
            <w:noWrap/>
            <w:vAlign w:val="bottom"/>
          </w:tcPr>
          <w:p w14:paraId="4F0E8DDF" w14:textId="43CB4705" w:rsidR="00F85821" w:rsidRPr="00F85821" w:rsidRDefault="00F85821" w:rsidP="00F85821">
            <w:pPr>
              <w:rPr>
                <w:szCs w:val="20"/>
              </w:rPr>
            </w:pPr>
            <w:r w:rsidRPr="00F85821">
              <w:rPr>
                <w:color w:val="000000"/>
                <w:szCs w:val="20"/>
              </w:rPr>
              <w:t>Homelands</w:t>
            </w:r>
          </w:p>
        </w:tc>
        <w:tc>
          <w:tcPr>
            <w:tcW w:w="1701" w:type="dxa"/>
            <w:shd w:val="clear" w:color="auto" w:fill="auto"/>
            <w:noWrap/>
            <w:vAlign w:val="bottom"/>
          </w:tcPr>
          <w:p w14:paraId="7C658424" w14:textId="6870639B" w:rsidR="00F85821" w:rsidRPr="00F85821" w:rsidRDefault="00F85821" w:rsidP="00F85821">
            <w:pPr>
              <w:rPr>
                <w:szCs w:val="20"/>
              </w:rPr>
            </w:pPr>
            <w:r w:rsidRPr="00F85821">
              <w:rPr>
                <w:color w:val="000000"/>
                <w:szCs w:val="20"/>
              </w:rPr>
              <w:t>Tendring</w:t>
            </w:r>
          </w:p>
        </w:tc>
        <w:tc>
          <w:tcPr>
            <w:tcW w:w="2676" w:type="dxa"/>
            <w:shd w:val="clear" w:color="auto" w:fill="auto"/>
            <w:noWrap/>
            <w:vAlign w:val="bottom"/>
          </w:tcPr>
          <w:p w14:paraId="5D8B5B01" w14:textId="3AAA1484" w:rsidR="00F85821" w:rsidRPr="00F85821" w:rsidRDefault="00F85821" w:rsidP="00F85821">
            <w:pPr>
              <w:jc w:val="right"/>
              <w:rPr>
                <w:rFonts w:eastAsia="Times New Roman" w:cs="Calibri"/>
                <w:szCs w:val="20"/>
                <w:lang w:eastAsia="en-GB"/>
              </w:rPr>
            </w:pPr>
            <w:r w:rsidRPr="00F85821">
              <w:rPr>
                <w:color w:val="000000"/>
                <w:szCs w:val="20"/>
              </w:rPr>
              <w:t>0.16</w:t>
            </w:r>
          </w:p>
        </w:tc>
      </w:tr>
      <w:tr w:rsidR="00F85821" w:rsidRPr="00192ECD" w14:paraId="52502E3F" w14:textId="77777777" w:rsidTr="00C86E2C">
        <w:trPr>
          <w:trHeight w:val="300"/>
        </w:trPr>
        <w:tc>
          <w:tcPr>
            <w:tcW w:w="4531" w:type="dxa"/>
            <w:shd w:val="clear" w:color="auto" w:fill="auto"/>
            <w:noWrap/>
            <w:vAlign w:val="bottom"/>
          </w:tcPr>
          <w:p w14:paraId="163911A2" w14:textId="29E1D250" w:rsidR="00F85821" w:rsidRPr="00F85821" w:rsidRDefault="00F85821" w:rsidP="00F85821">
            <w:pPr>
              <w:rPr>
                <w:szCs w:val="20"/>
              </w:rPr>
            </w:pPr>
            <w:proofErr w:type="spellStart"/>
            <w:r w:rsidRPr="00F85821">
              <w:rPr>
                <w:color w:val="000000"/>
                <w:szCs w:val="20"/>
              </w:rPr>
              <w:t>Cann</w:t>
            </w:r>
            <w:proofErr w:type="spellEnd"/>
            <w:r w:rsidRPr="00F85821">
              <w:rPr>
                <w:color w:val="000000"/>
                <w:szCs w:val="20"/>
              </w:rPr>
              <w:t xml:space="preserve"> Hall</w:t>
            </w:r>
          </w:p>
        </w:tc>
        <w:tc>
          <w:tcPr>
            <w:tcW w:w="1701" w:type="dxa"/>
            <w:shd w:val="clear" w:color="auto" w:fill="auto"/>
            <w:noWrap/>
            <w:vAlign w:val="bottom"/>
          </w:tcPr>
          <w:p w14:paraId="26664274" w14:textId="574E100B" w:rsidR="00F85821" w:rsidRPr="00F85821" w:rsidRDefault="00F85821" w:rsidP="00F85821">
            <w:pPr>
              <w:rPr>
                <w:szCs w:val="20"/>
              </w:rPr>
            </w:pPr>
            <w:r w:rsidRPr="00F85821">
              <w:rPr>
                <w:color w:val="000000"/>
                <w:szCs w:val="20"/>
              </w:rPr>
              <w:t>Tendring</w:t>
            </w:r>
          </w:p>
        </w:tc>
        <w:tc>
          <w:tcPr>
            <w:tcW w:w="2676" w:type="dxa"/>
            <w:shd w:val="clear" w:color="auto" w:fill="auto"/>
            <w:noWrap/>
            <w:vAlign w:val="bottom"/>
          </w:tcPr>
          <w:p w14:paraId="3C10245F" w14:textId="68CA4CB0" w:rsidR="00F85821" w:rsidRPr="00F85821" w:rsidRDefault="00F85821" w:rsidP="00F85821">
            <w:pPr>
              <w:jc w:val="right"/>
              <w:rPr>
                <w:rFonts w:eastAsia="Times New Roman" w:cs="Arial"/>
                <w:szCs w:val="20"/>
                <w:lang w:eastAsia="en-GB"/>
              </w:rPr>
            </w:pPr>
            <w:r w:rsidRPr="00F85821">
              <w:rPr>
                <w:color w:val="000000"/>
                <w:szCs w:val="20"/>
              </w:rPr>
              <w:t>0.16</w:t>
            </w:r>
          </w:p>
        </w:tc>
      </w:tr>
      <w:tr w:rsidR="00F85821" w:rsidRPr="00192ECD" w14:paraId="55BCD75C" w14:textId="77777777" w:rsidTr="00C86E2C">
        <w:trPr>
          <w:trHeight w:val="300"/>
        </w:trPr>
        <w:tc>
          <w:tcPr>
            <w:tcW w:w="4531" w:type="dxa"/>
            <w:shd w:val="clear" w:color="auto" w:fill="auto"/>
            <w:noWrap/>
            <w:vAlign w:val="bottom"/>
          </w:tcPr>
          <w:p w14:paraId="690B09A4" w14:textId="33ECDBD9" w:rsidR="00F85821" w:rsidRPr="00F85821" w:rsidRDefault="00F85821" w:rsidP="00F85821">
            <w:pPr>
              <w:rPr>
                <w:szCs w:val="20"/>
              </w:rPr>
            </w:pPr>
            <w:proofErr w:type="spellStart"/>
            <w:r w:rsidRPr="00F85821">
              <w:rPr>
                <w:color w:val="000000"/>
                <w:szCs w:val="20"/>
              </w:rPr>
              <w:t>Sumners</w:t>
            </w:r>
            <w:proofErr w:type="spellEnd"/>
            <w:r w:rsidRPr="00F85821">
              <w:rPr>
                <w:color w:val="000000"/>
                <w:szCs w:val="20"/>
              </w:rPr>
              <w:t xml:space="preserve"> and </w:t>
            </w:r>
            <w:proofErr w:type="spellStart"/>
            <w:r w:rsidRPr="00F85821">
              <w:rPr>
                <w:color w:val="000000"/>
                <w:szCs w:val="20"/>
              </w:rPr>
              <w:t>Kingsmoor</w:t>
            </w:r>
            <w:proofErr w:type="spellEnd"/>
          </w:p>
        </w:tc>
        <w:tc>
          <w:tcPr>
            <w:tcW w:w="1701" w:type="dxa"/>
            <w:shd w:val="clear" w:color="auto" w:fill="auto"/>
            <w:noWrap/>
            <w:vAlign w:val="bottom"/>
          </w:tcPr>
          <w:p w14:paraId="677DC1DA" w14:textId="20BADA7E" w:rsidR="00F85821" w:rsidRPr="00F85821" w:rsidRDefault="00F85821" w:rsidP="00F85821">
            <w:pPr>
              <w:rPr>
                <w:szCs w:val="20"/>
              </w:rPr>
            </w:pPr>
            <w:r w:rsidRPr="00F85821">
              <w:rPr>
                <w:color w:val="000000"/>
                <w:szCs w:val="20"/>
              </w:rPr>
              <w:t>Harlow</w:t>
            </w:r>
          </w:p>
        </w:tc>
        <w:tc>
          <w:tcPr>
            <w:tcW w:w="2676" w:type="dxa"/>
            <w:shd w:val="clear" w:color="auto" w:fill="auto"/>
            <w:noWrap/>
            <w:vAlign w:val="bottom"/>
          </w:tcPr>
          <w:p w14:paraId="5E82A9E6" w14:textId="3B5CD244" w:rsidR="00F85821" w:rsidRPr="00F85821" w:rsidRDefault="00F85821" w:rsidP="00F85821">
            <w:pPr>
              <w:jc w:val="right"/>
              <w:rPr>
                <w:rFonts w:eastAsia="Times New Roman" w:cs="Calibri"/>
                <w:szCs w:val="20"/>
                <w:lang w:eastAsia="en-GB"/>
              </w:rPr>
            </w:pPr>
            <w:r w:rsidRPr="00F85821">
              <w:rPr>
                <w:color w:val="000000"/>
                <w:szCs w:val="20"/>
              </w:rPr>
              <w:t>0.17</w:t>
            </w:r>
          </w:p>
        </w:tc>
      </w:tr>
      <w:tr w:rsidR="00F85821" w:rsidRPr="00192ECD" w14:paraId="685A0483" w14:textId="77777777" w:rsidTr="00C86E2C">
        <w:trPr>
          <w:trHeight w:val="300"/>
        </w:trPr>
        <w:tc>
          <w:tcPr>
            <w:tcW w:w="4531" w:type="dxa"/>
            <w:shd w:val="clear" w:color="auto" w:fill="auto"/>
            <w:noWrap/>
            <w:vAlign w:val="bottom"/>
          </w:tcPr>
          <w:p w14:paraId="489ED976" w14:textId="72FB40E8" w:rsidR="00F85821" w:rsidRPr="00F85821" w:rsidRDefault="00F85821" w:rsidP="00F85821">
            <w:pPr>
              <w:rPr>
                <w:szCs w:val="20"/>
              </w:rPr>
            </w:pPr>
            <w:r w:rsidRPr="00F85821">
              <w:rPr>
                <w:color w:val="000000"/>
                <w:szCs w:val="20"/>
              </w:rPr>
              <w:t>Maldon South</w:t>
            </w:r>
          </w:p>
        </w:tc>
        <w:tc>
          <w:tcPr>
            <w:tcW w:w="1701" w:type="dxa"/>
            <w:shd w:val="clear" w:color="auto" w:fill="auto"/>
            <w:noWrap/>
            <w:vAlign w:val="bottom"/>
          </w:tcPr>
          <w:p w14:paraId="11095312" w14:textId="2BF60C0E" w:rsidR="00F85821" w:rsidRPr="00F85821" w:rsidRDefault="00F85821" w:rsidP="00F85821">
            <w:pPr>
              <w:rPr>
                <w:szCs w:val="20"/>
              </w:rPr>
            </w:pPr>
            <w:r w:rsidRPr="00F85821">
              <w:rPr>
                <w:color w:val="000000"/>
                <w:szCs w:val="20"/>
              </w:rPr>
              <w:t>Maldon</w:t>
            </w:r>
          </w:p>
        </w:tc>
        <w:tc>
          <w:tcPr>
            <w:tcW w:w="2676" w:type="dxa"/>
            <w:shd w:val="clear" w:color="auto" w:fill="auto"/>
            <w:noWrap/>
            <w:vAlign w:val="bottom"/>
          </w:tcPr>
          <w:p w14:paraId="2DC48CCB" w14:textId="19392DA9" w:rsidR="00F85821" w:rsidRPr="00F85821" w:rsidRDefault="00F85821" w:rsidP="00F85821">
            <w:pPr>
              <w:jc w:val="right"/>
              <w:rPr>
                <w:rFonts w:eastAsia="Times New Roman" w:cs="Calibri"/>
                <w:szCs w:val="20"/>
                <w:lang w:eastAsia="en-GB"/>
              </w:rPr>
            </w:pPr>
            <w:r w:rsidRPr="00F85821">
              <w:rPr>
                <w:color w:val="000000"/>
                <w:szCs w:val="20"/>
              </w:rPr>
              <w:t>0.17</w:t>
            </w:r>
          </w:p>
        </w:tc>
      </w:tr>
      <w:tr w:rsidR="00C86E2C" w:rsidRPr="00192ECD" w14:paraId="1766A8FE" w14:textId="77777777" w:rsidTr="00C86E2C">
        <w:trPr>
          <w:trHeight w:val="300"/>
        </w:trPr>
        <w:tc>
          <w:tcPr>
            <w:tcW w:w="4531" w:type="dxa"/>
            <w:shd w:val="clear" w:color="auto" w:fill="auto"/>
            <w:noWrap/>
            <w:vAlign w:val="bottom"/>
          </w:tcPr>
          <w:p w14:paraId="606BFB57" w14:textId="41996531" w:rsidR="00F85821" w:rsidRPr="00F85821" w:rsidRDefault="00F85821" w:rsidP="00F85821">
            <w:pPr>
              <w:rPr>
                <w:szCs w:val="20"/>
              </w:rPr>
            </w:pPr>
            <w:r w:rsidRPr="00F85821">
              <w:rPr>
                <w:color w:val="000000"/>
                <w:szCs w:val="20"/>
              </w:rPr>
              <w:t xml:space="preserve">Loughton </w:t>
            </w:r>
            <w:proofErr w:type="spellStart"/>
            <w:r w:rsidRPr="00F85821">
              <w:rPr>
                <w:color w:val="000000"/>
                <w:szCs w:val="20"/>
              </w:rPr>
              <w:t>Fairmead</w:t>
            </w:r>
            <w:proofErr w:type="spellEnd"/>
          </w:p>
        </w:tc>
        <w:tc>
          <w:tcPr>
            <w:tcW w:w="1701" w:type="dxa"/>
            <w:shd w:val="clear" w:color="auto" w:fill="auto"/>
            <w:noWrap/>
            <w:vAlign w:val="bottom"/>
          </w:tcPr>
          <w:p w14:paraId="29962C12" w14:textId="34CBD681" w:rsidR="00F85821" w:rsidRPr="00F85821" w:rsidRDefault="00F85821" w:rsidP="00F85821">
            <w:pPr>
              <w:rPr>
                <w:szCs w:val="20"/>
              </w:rPr>
            </w:pPr>
            <w:r w:rsidRPr="00F85821">
              <w:rPr>
                <w:color w:val="000000"/>
                <w:szCs w:val="20"/>
              </w:rPr>
              <w:t>Epping Forest</w:t>
            </w:r>
          </w:p>
        </w:tc>
        <w:tc>
          <w:tcPr>
            <w:tcW w:w="2676" w:type="dxa"/>
            <w:shd w:val="clear" w:color="auto" w:fill="auto"/>
            <w:noWrap/>
            <w:vAlign w:val="bottom"/>
          </w:tcPr>
          <w:p w14:paraId="012584DC" w14:textId="0AF0D434" w:rsidR="00F85821" w:rsidRPr="00F85821" w:rsidRDefault="00F85821" w:rsidP="00F85821">
            <w:pPr>
              <w:jc w:val="right"/>
              <w:rPr>
                <w:rFonts w:eastAsia="Times New Roman" w:cs="Calibri"/>
                <w:szCs w:val="20"/>
                <w:lang w:eastAsia="en-GB"/>
              </w:rPr>
            </w:pPr>
            <w:r w:rsidRPr="00F85821">
              <w:rPr>
                <w:color w:val="000000"/>
                <w:szCs w:val="20"/>
              </w:rPr>
              <w:t>0.18</w:t>
            </w:r>
          </w:p>
        </w:tc>
      </w:tr>
      <w:tr w:rsidR="00F85821" w:rsidRPr="00192ECD" w14:paraId="24A4185B" w14:textId="77777777" w:rsidTr="00C86E2C">
        <w:trPr>
          <w:trHeight w:val="300"/>
        </w:trPr>
        <w:tc>
          <w:tcPr>
            <w:tcW w:w="4531" w:type="dxa"/>
            <w:shd w:val="clear" w:color="auto" w:fill="0070C0"/>
            <w:noWrap/>
            <w:vAlign w:val="bottom"/>
          </w:tcPr>
          <w:p w14:paraId="586DCD2C" w14:textId="5409915A" w:rsidR="00F85821" w:rsidRPr="00C86E2C" w:rsidRDefault="00F85821" w:rsidP="00F85821">
            <w:pPr>
              <w:rPr>
                <w:color w:val="FFFFFF" w:themeColor="background1"/>
                <w:szCs w:val="20"/>
              </w:rPr>
            </w:pPr>
            <w:r w:rsidRPr="00C86E2C">
              <w:rPr>
                <w:color w:val="FFFFFF" w:themeColor="background1"/>
                <w:szCs w:val="20"/>
              </w:rPr>
              <w:t>West Clacton &amp; Jaywick Sands</w:t>
            </w:r>
          </w:p>
        </w:tc>
        <w:tc>
          <w:tcPr>
            <w:tcW w:w="1701" w:type="dxa"/>
            <w:shd w:val="clear" w:color="auto" w:fill="0070C0"/>
            <w:noWrap/>
            <w:vAlign w:val="bottom"/>
          </w:tcPr>
          <w:p w14:paraId="0764FF78" w14:textId="0E1A07F5" w:rsidR="00F85821" w:rsidRPr="00C86E2C" w:rsidRDefault="00F85821" w:rsidP="00F85821">
            <w:pPr>
              <w:rPr>
                <w:color w:val="FFFFFF" w:themeColor="background1"/>
                <w:szCs w:val="20"/>
              </w:rPr>
            </w:pPr>
            <w:r w:rsidRPr="00C86E2C">
              <w:rPr>
                <w:color w:val="FFFFFF" w:themeColor="background1"/>
                <w:szCs w:val="20"/>
              </w:rPr>
              <w:t>Tendring</w:t>
            </w:r>
          </w:p>
        </w:tc>
        <w:tc>
          <w:tcPr>
            <w:tcW w:w="2676" w:type="dxa"/>
            <w:shd w:val="clear" w:color="auto" w:fill="0070C0"/>
            <w:noWrap/>
            <w:vAlign w:val="bottom"/>
          </w:tcPr>
          <w:p w14:paraId="48A95EBB" w14:textId="17B008D0" w:rsidR="00F85821" w:rsidRPr="00C86E2C" w:rsidRDefault="00F85821" w:rsidP="00F85821">
            <w:pPr>
              <w:jc w:val="right"/>
              <w:rPr>
                <w:rFonts w:eastAsia="Times New Roman" w:cs="Calibri"/>
                <w:color w:val="FFFFFF" w:themeColor="background1"/>
                <w:szCs w:val="20"/>
                <w:lang w:eastAsia="en-GB"/>
              </w:rPr>
            </w:pPr>
            <w:r w:rsidRPr="00C86E2C">
              <w:rPr>
                <w:color w:val="FFFFFF" w:themeColor="background1"/>
                <w:szCs w:val="20"/>
              </w:rPr>
              <w:t>0.18</w:t>
            </w:r>
          </w:p>
        </w:tc>
      </w:tr>
      <w:tr w:rsidR="00F85821" w:rsidRPr="00192ECD" w14:paraId="202052DC" w14:textId="77777777" w:rsidTr="00C86E2C">
        <w:trPr>
          <w:trHeight w:val="300"/>
        </w:trPr>
        <w:tc>
          <w:tcPr>
            <w:tcW w:w="4531" w:type="dxa"/>
            <w:shd w:val="clear" w:color="auto" w:fill="auto"/>
            <w:noWrap/>
            <w:vAlign w:val="bottom"/>
          </w:tcPr>
          <w:p w14:paraId="46472E87" w14:textId="574EDFFD" w:rsidR="00F85821" w:rsidRPr="00F85821" w:rsidRDefault="00F85821" w:rsidP="00F85821">
            <w:pPr>
              <w:rPr>
                <w:szCs w:val="20"/>
              </w:rPr>
            </w:pPr>
            <w:r w:rsidRPr="00F85821">
              <w:rPr>
                <w:color w:val="000000"/>
                <w:szCs w:val="20"/>
              </w:rPr>
              <w:t>Witham West</w:t>
            </w:r>
          </w:p>
        </w:tc>
        <w:tc>
          <w:tcPr>
            <w:tcW w:w="1701" w:type="dxa"/>
            <w:shd w:val="clear" w:color="auto" w:fill="auto"/>
            <w:noWrap/>
            <w:vAlign w:val="bottom"/>
          </w:tcPr>
          <w:p w14:paraId="33D0D838" w14:textId="07F3D13E" w:rsidR="00F85821" w:rsidRPr="00F85821" w:rsidRDefault="00F85821" w:rsidP="00F85821">
            <w:pPr>
              <w:rPr>
                <w:szCs w:val="20"/>
              </w:rPr>
            </w:pPr>
            <w:r w:rsidRPr="00F85821">
              <w:rPr>
                <w:color w:val="000000"/>
                <w:szCs w:val="20"/>
              </w:rPr>
              <w:t>Braintree</w:t>
            </w:r>
          </w:p>
        </w:tc>
        <w:tc>
          <w:tcPr>
            <w:tcW w:w="2676" w:type="dxa"/>
            <w:shd w:val="clear" w:color="auto" w:fill="auto"/>
            <w:noWrap/>
            <w:vAlign w:val="bottom"/>
          </w:tcPr>
          <w:p w14:paraId="6E03BAC0" w14:textId="2FAEF351" w:rsidR="00F85821" w:rsidRPr="00F85821" w:rsidRDefault="00F85821" w:rsidP="00F85821">
            <w:pPr>
              <w:jc w:val="right"/>
              <w:rPr>
                <w:rFonts w:eastAsia="Times New Roman" w:cs="Calibri"/>
                <w:szCs w:val="20"/>
                <w:lang w:eastAsia="en-GB"/>
              </w:rPr>
            </w:pPr>
            <w:r w:rsidRPr="00F85821">
              <w:rPr>
                <w:color w:val="000000"/>
                <w:szCs w:val="20"/>
              </w:rPr>
              <w:t>0.18</w:t>
            </w:r>
          </w:p>
        </w:tc>
      </w:tr>
      <w:tr w:rsidR="00F85821" w:rsidRPr="00192ECD" w14:paraId="77326402" w14:textId="77777777" w:rsidTr="00C86E2C">
        <w:trPr>
          <w:trHeight w:val="300"/>
        </w:trPr>
        <w:tc>
          <w:tcPr>
            <w:tcW w:w="4531" w:type="dxa"/>
            <w:shd w:val="clear" w:color="auto" w:fill="auto"/>
            <w:noWrap/>
            <w:vAlign w:val="bottom"/>
          </w:tcPr>
          <w:p w14:paraId="1317862F" w14:textId="65B94251" w:rsidR="00F85821" w:rsidRPr="00F85821" w:rsidRDefault="00F85821" w:rsidP="00F85821">
            <w:pPr>
              <w:rPr>
                <w:szCs w:val="20"/>
              </w:rPr>
            </w:pPr>
            <w:r w:rsidRPr="00F85821">
              <w:rPr>
                <w:color w:val="000000"/>
                <w:szCs w:val="20"/>
              </w:rPr>
              <w:t>Harlow Common</w:t>
            </w:r>
          </w:p>
        </w:tc>
        <w:tc>
          <w:tcPr>
            <w:tcW w:w="1701" w:type="dxa"/>
            <w:shd w:val="clear" w:color="auto" w:fill="auto"/>
            <w:noWrap/>
            <w:vAlign w:val="bottom"/>
          </w:tcPr>
          <w:p w14:paraId="08837EC3" w14:textId="0F31F9BE" w:rsidR="00F85821" w:rsidRPr="00F85821" w:rsidRDefault="00F85821" w:rsidP="00F85821">
            <w:pPr>
              <w:rPr>
                <w:szCs w:val="20"/>
              </w:rPr>
            </w:pPr>
            <w:r w:rsidRPr="00F85821">
              <w:rPr>
                <w:color w:val="000000"/>
                <w:szCs w:val="20"/>
              </w:rPr>
              <w:t>Harlow</w:t>
            </w:r>
          </w:p>
        </w:tc>
        <w:tc>
          <w:tcPr>
            <w:tcW w:w="2676" w:type="dxa"/>
            <w:shd w:val="clear" w:color="auto" w:fill="auto"/>
            <w:noWrap/>
            <w:vAlign w:val="bottom"/>
          </w:tcPr>
          <w:p w14:paraId="37A2AF78" w14:textId="0B46991C" w:rsidR="00F85821" w:rsidRPr="00F85821" w:rsidRDefault="00F85821" w:rsidP="00F85821">
            <w:pPr>
              <w:jc w:val="right"/>
              <w:rPr>
                <w:rFonts w:eastAsia="Times New Roman" w:cs="Calibri"/>
                <w:szCs w:val="20"/>
                <w:lang w:eastAsia="en-GB"/>
              </w:rPr>
            </w:pPr>
            <w:r w:rsidRPr="00F85821">
              <w:rPr>
                <w:color w:val="000000"/>
                <w:szCs w:val="20"/>
              </w:rPr>
              <w:t>0.18</w:t>
            </w:r>
          </w:p>
        </w:tc>
      </w:tr>
      <w:tr w:rsidR="00F85821" w:rsidRPr="00192ECD" w14:paraId="4D150170" w14:textId="77777777" w:rsidTr="00C86E2C">
        <w:trPr>
          <w:trHeight w:val="300"/>
        </w:trPr>
        <w:tc>
          <w:tcPr>
            <w:tcW w:w="4531" w:type="dxa"/>
            <w:shd w:val="clear" w:color="auto" w:fill="auto"/>
            <w:noWrap/>
            <w:vAlign w:val="bottom"/>
          </w:tcPr>
          <w:p w14:paraId="6333A3A0" w14:textId="7AC6FFD6" w:rsidR="00F85821" w:rsidRPr="00F85821" w:rsidRDefault="00F85821" w:rsidP="00F85821">
            <w:pPr>
              <w:rPr>
                <w:szCs w:val="20"/>
              </w:rPr>
            </w:pPr>
            <w:r w:rsidRPr="00F85821">
              <w:rPr>
                <w:color w:val="000000"/>
                <w:szCs w:val="20"/>
              </w:rPr>
              <w:t>South Woodham-</w:t>
            </w:r>
            <w:proofErr w:type="spellStart"/>
            <w:r w:rsidRPr="00F85821">
              <w:rPr>
                <w:color w:val="000000"/>
                <w:szCs w:val="20"/>
              </w:rPr>
              <w:t>Chetwood</w:t>
            </w:r>
            <w:proofErr w:type="spellEnd"/>
            <w:r w:rsidRPr="00F85821">
              <w:rPr>
                <w:color w:val="000000"/>
                <w:szCs w:val="20"/>
              </w:rPr>
              <w:t xml:space="preserve"> </w:t>
            </w:r>
            <w:r>
              <w:rPr>
                <w:color w:val="000000"/>
                <w:szCs w:val="20"/>
              </w:rPr>
              <w:t>&amp;</w:t>
            </w:r>
            <w:r w:rsidRPr="00F85821">
              <w:rPr>
                <w:color w:val="000000"/>
                <w:szCs w:val="20"/>
              </w:rPr>
              <w:t xml:space="preserve"> Collingwood</w:t>
            </w:r>
          </w:p>
        </w:tc>
        <w:tc>
          <w:tcPr>
            <w:tcW w:w="1701" w:type="dxa"/>
            <w:shd w:val="clear" w:color="auto" w:fill="auto"/>
            <w:noWrap/>
            <w:vAlign w:val="bottom"/>
          </w:tcPr>
          <w:p w14:paraId="4F19178D" w14:textId="1536869F" w:rsidR="00F85821" w:rsidRPr="00F85821" w:rsidRDefault="00F85821" w:rsidP="00F85821">
            <w:pPr>
              <w:rPr>
                <w:szCs w:val="20"/>
              </w:rPr>
            </w:pPr>
            <w:r w:rsidRPr="00F85821">
              <w:rPr>
                <w:color w:val="000000"/>
                <w:szCs w:val="20"/>
              </w:rPr>
              <w:t>Chelmsford</w:t>
            </w:r>
          </w:p>
        </w:tc>
        <w:tc>
          <w:tcPr>
            <w:tcW w:w="2676" w:type="dxa"/>
            <w:shd w:val="clear" w:color="auto" w:fill="auto"/>
            <w:noWrap/>
            <w:vAlign w:val="bottom"/>
          </w:tcPr>
          <w:p w14:paraId="10A961AE" w14:textId="67D74C63" w:rsidR="00F85821" w:rsidRPr="00F85821" w:rsidRDefault="00F85821" w:rsidP="00F85821">
            <w:pPr>
              <w:jc w:val="right"/>
              <w:rPr>
                <w:rFonts w:eastAsia="Times New Roman" w:cs="Calibri"/>
                <w:szCs w:val="20"/>
                <w:lang w:eastAsia="en-GB"/>
              </w:rPr>
            </w:pPr>
            <w:r w:rsidRPr="00F85821">
              <w:rPr>
                <w:color w:val="000000"/>
                <w:szCs w:val="20"/>
              </w:rPr>
              <w:t>0.19</w:t>
            </w:r>
          </w:p>
        </w:tc>
      </w:tr>
      <w:tr w:rsidR="00F85821" w:rsidRPr="00192ECD" w14:paraId="0A1EE452" w14:textId="77777777" w:rsidTr="00C86E2C">
        <w:trPr>
          <w:trHeight w:val="300"/>
        </w:trPr>
        <w:tc>
          <w:tcPr>
            <w:tcW w:w="4531" w:type="dxa"/>
            <w:shd w:val="clear" w:color="auto" w:fill="0070C0"/>
            <w:noWrap/>
            <w:vAlign w:val="bottom"/>
          </w:tcPr>
          <w:p w14:paraId="39E50C7D" w14:textId="499A6EDF" w:rsidR="00F85821" w:rsidRPr="00C86E2C" w:rsidRDefault="00F85821" w:rsidP="00F85821">
            <w:pPr>
              <w:rPr>
                <w:color w:val="FFFFFF" w:themeColor="background1"/>
                <w:szCs w:val="20"/>
              </w:rPr>
            </w:pPr>
            <w:proofErr w:type="spellStart"/>
            <w:r w:rsidRPr="00C86E2C">
              <w:rPr>
                <w:color w:val="FFFFFF" w:themeColor="background1"/>
                <w:szCs w:val="20"/>
              </w:rPr>
              <w:t>Bluehouse</w:t>
            </w:r>
            <w:proofErr w:type="spellEnd"/>
          </w:p>
        </w:tc>
        <w:tc>
          <w:tcPr>
            <w:tcW w:w="1701" w:type="dxa"/>
            <w:shd w:val="clear" w:color="auto" w:fill="0070C0"/>
            <w:noWrap/>
            <w:vAlign w:val="bottom"/>
          </w:tcPr>
          <w:p w14:paraId="231CF958" w14:textId="449C32FC" w:rsidR="00F85821" w:rsidRPr="00C86E2C" w:rsidRDefault="00F85821" w:rsidP="00F85821">
            <w:pPr>
              <w:rPr>
                <w:color w:val="FFFFFF" w:themeColor="background1"/>
                <w:szCs w:val="20"/>
              </w:rPr>
            </w:pPr>
            <w:r w:rsidRPr="00C86E2C">
              <w:rPr>
                <w:color w:val="FFFFFF" w:themeColor="background1"/>
                <w:szCs w:val="20"/>
              </w:rPr>
              <w:t>Tendring</w:t>
            </w:r>
          </w:p>
        </w:tc>
        <w:tc>
          <w:tcPr>
            <w:tcW w:w="2676" w:type="dxa"/>
            <w:shd w:val="clear" w:color="auto" w:fill="0070C0"/>
            <w:noWrap/>
            <w:vAlign w:val="bottom"/>
          </w:tcPr>
          <w:p w14:paraId="299667F5" w14:textId="375CBC72" w:rsidR="00F85821" w:rsidRPr="00C86E2C" w:rsidRDefault="00F85821" w:rsidP="00F85821">
            <w:pPr>
              <w:jc w:val="right"/>
              <w:rPr>
                <w:rFonts w:eastAsia="Times New Roman" w:cs="Calibri"/>
                <w:color w:val="FFFFFF" w:themeColor="background1"/>
                <w:szCs w:val="20"/>
                <w:lang w:eastAsia="en-GB"/>
              </w:rPr>
            </w:pPr>
            <w:r w:rsidRPr="00C86E2C">
              <w:rPr>
                <w:color w:val="FFFFFF" w:themeColor="background1"/>
                <w:szCs w:val="20"/>
              </w:rPr>
              <w:t>0.19</w:t>
            </w:r>
          </w:p>
        </w:tc>
      </w:tr>
      <w:tr w:rsidR="00C86E2C" w:rsidRPr="00192ECD" w14:paraId="60ABA82D" w14:textId="77777777" w:rsidTr="00C86E2C">
        <w:trPr>
          <w:trHeight w:val="300"/>
        </w:trPr>
        <w:tc>
          <w:tcPr>
            <w:tcW w:w="4531" w:type="dxa"/>
            <w:shd w:val="clear" w:color="auto" w:fill="0070C0"/>
            <w:noWrap/>
            <w:vAlign w:val="bottom"/>
          </w:tcPr>
          <w:p w14:paraId="5E29C7BF" w14:textId="7BB64584" w:rsidR="00F85821" w:rsidRPr="00C86E2C" w:rsidRDefault="00F85821" w:rsidP="00F85821">
            <w:pPr>
              <w:rPr>
                <w:color w:val="FFFFFF" w:themeColor="background1"/>
                <w:szCs w:val="20"/>
              </w:rPr>
            </w:pPr>
            <w:proofErr w:type="spellStart"/>
            <w:r w:rsidRPr="00C86E2C">
              <w:rPr>
                <w:color w:val="FFFFFF" w:themeColor="background1"/>
                <w:szCs w:val="20"/>
              </w:rPr>
              <w:t>Vange</w:t>
            </w:r>
            <w:proofErr w:type="spellEnd"/>
          </w:p>
        </w:tc>
        <w:tc>
          <w:tcPr>
            <w:tcW w:w="1701" w:type="dxa"/>
            <w:shd w:val="clear" w:color="auto" w:fill="0070C0"/>
            <w:noWrap/>
            <w:vAlign w:val="bottom"/>
          </w:tcPr>
          <w:p w14:paraId="03E0DFCE" w14:textId="1A95CC92" w:rsidR="00F85821" w:rsidRPr="00C86E2C" w:rsidRDefault="00F85821" w:rsidP="00F85821">
            <w:pPr>
              <w:rPr>
                <w:color w:val="FFFFFF" w:themeColor="background1"/>
                <w:szCs w:val="20"/>
              </w:rPr>
            </w:pPr>
            <w:r w:rsidRPr="00C86E2C">
              <w:rPr>
                <w:color w:val="FFFFFF" w:themeColor="background1"/>
                <w:szCs w:val="20"/>
              </w:rPr>
              <w:t>Basildon</w:t>
            </w:r>
          </w:p>
        </w:tc>
        <w:tc>
          <w:tcPr>
            <w:tcW w:w="2676" w:type="dxa"/>
            <w:shd w:val="clear" w:color="auto" w:fill="0070C0"/>
            <w:noWrap/>
            <w:vAlign w:val="bottom"/>
          </w:tcPr>
          <w:p w14:paraId="64F68726" w14:textId="7FD5BB00" w:rsidR="00F85821" w:rsidRPr="00C86E2C" w:rsidRDefault="00F85821" w:rsidP="00F85821">
            <w:pPr>
              <w:jc w:val="right"/>
              <w:rPr>
                <w:rFonts w:eastAsia="Times New Roman" w:cs="Calibri"/>
                <w:color w:val="FFFFFF" w:themeColor="background1"/>
                <w:szCs w:val="20"/>
                <w:lang w:eastAsia="en-GB"/>
              </w:rPr>
            </w:pPr>
            <w:r w:rsidRPr="00C86E2C">
              <w:rPr>
                <w:color w:val="FFFFFF" w:themeColor="background1"/>
                <w:szCs w:val="20"/>
              </w:rPr>
              <w:t>0.20</w:t>
            </w:r>
          </w:p>
        </w:tc>
      </w:tr>
      <w:tr w:rsidR="00C86E2C" w:rsidRPr="00192ECD" w14:paraId="442B8AC0" w14:textId="77777777" w:rsidTr="00C86E2C">
        <w:trPr>
          <w:trHeight w:val="300"/>
        </w:trPr>
        <w:tc>
          <w:tcPr>
            <w:tcW w:w="4531" w:type="dxa"/>
            <w:shd w:val="clear" w:color="auto" w:fill="auto"/>
            <w:noWrap/>
            <w:vAlign w:val="bottom"/>
          </w:tcPr>
          <w:p w14:paraId="345FAB5A" w14:textId="4573F785" w:rsidR="00F85821" w:rsidRPr="00F85821" w:rsidRDefault="00F85821" w:rsidP="00F85821">
            <w:pPr>
              <w:rPr>
                <w:szCs w:val="20"/>
              </w:rPr>
            </w:pPr>
            <w:r w:rsidRPr="00F85821">
              <w:rPr>
                <w:color w:val="000000"/>
                <w:szCs w:val="20"/>
              </w:rPr>
              <w:t>Hutton South</w:t>
            </w:r>
          </w:p>
        </w:tc>
        <w:tc>
          <w:tcPr>
            <w:tcW w:w="1701" w:type="dxa"/>
            <w:shd w:val="clear" w:color="auto" w:fill="auto"/>
            <w:noWrap/>
            <w:vAlign w:val="bottom"/>
          </w:tcPr>
          <w:p w14:paraId="553D6FD7" w14:textId="0CEB815C" w:rsidR="00F85821" w:rsidRPr="00F85821" w:rsidRDefault="00F85821" w:rsidP="00F85821">
            <w:pPr>
              <w:rPr>
                <w:szCs w:val="20"/>
              </w:rPr>
            </w:pPr>
            <w:r w:rsidRPr="00F85821">
              <w:rPr>
                <w:color w:val="000000"/>
                <w:szCs w:val="20"/>
              </w:rPr>
              <w:t>Brentwood</w:t>
            </w:r>
          </w:p>
        </w:tc>
        <w:tc>
          <w:tcPr>
            <w:tcW w:w="2676" w:type="dxa"/>
            <w:shd w:val="clear" w:color="auto" w:fill="auto"/>
            <w:noWrap/>
            <w:vAlign w:val="bottom"/>
          </w:tcPr>
          <w:p w14:paraId="30F86445" w14:textId="41CE6A4F" w:rsidR="00F85821" w:rsidRPr="00F85821" w:rsidRDefault="00F85821" w:rsidP="00F85821">
            <w:pPr>
              <w:jc w:val="right"/>
              <w:rPr>
                <w:rFonts w:eastAsia="Times New Roman" w:cs="Calibri"/>
                <w:szCs w:val="20"/>
                <w:lang w:eastAsia="en-GB"/>
              </w:rPr>
            </w:pPr>
            <w:r w:rsidRPr="00F85821">
              <w:rPr>
                <w:color w:val="000000"/>
                <w:szCs w:val="20"/>
              </w:rPr>
              <w:t>0.20</w:t>
            </w:r>
          </w:p>
        </w:tc>
      </w:tr>
      <w:tr w:rsidR="00C86E2C" w:rsidRPr="00192ECD" w14:paraId="2056C6E3" w14:textId="77777777" w:rsidTr="00C86E2C">
        <w:trPr>
          <w:trHeight w:val="300"/>
        </w:trPr>
        <w:tc>
          <w:tcPr>
            <w:tcW w:w="4531" w:type="dxa"/>
            <w:shd w:val="clear" w:color="auto" w:fill="auto"/>
            <w:noWrap/>
            <w:vAlign w:val="bottom"/>
          </w:tcPr>
          <w:p w14:paraId="5576BFDD" w14:textId="26D121E8" w:rsidR="00F85821" w:rsidRPr="00F85821" w:rsidRDefault="00F85821" w:rsidP="00F85821">
            <w:pPr>
              <w:rPr>
                <w:szCs w:val="20"/>
              </w:rPr>
            </w:pPr>
            <w:r w:rsidRPr="00F85821">
              <w:rPr>
                <w:color w:val="000000"/>
                <w:szCs w:val="20"/>
              </w:rPr>
              <w:t>Canvey Island North</w:t>
            </w:r>
          </w:p>
        </w:tc>
        <w:tc>
          <w:tcPr>
            <w:tcW w:w="1701" w:type="dxa"/>
            <w:shd w:val="clear" w:color="auto" w:fill="auto"/>
            <w:noWrap/>
            <w:vAlign w:val="bottom"/>
          </w:tcPr>
          <w:p w14:paraId="47AB7280" w14:textId="400E8684" w:rsidR="00F85821" w:rsidRPr="00F85821" w:rsidRDefault="00F85821" w:rsidP="00F85821">
            <w:pPr>
              <w:rPr>
                <w:szCs w:val="20"/>
              </w:rPr>
            </w:pPr>
            <w:r w:rsidRPr="00F85821">
              <w:rPr>
                <w:color w:val="000000"/>
                <w:szCs w:val="20"/>
              </w:rPr>
              <w:t>Castle Point</w:t>
            </w:r>
          </w:p>
        </w:tc>
        <w:tc>
          <w:tcPr>
            <w:tcW w:w="2676" w:type="dxa"/>
            <w:shd w:val="clear" w:color="auto" w:fill="auto"/>
            <w:noWrap/>
            <w:vAlign w:val="bottom"/>
          </w:tcPr>
          <w:p w14:paraId="175483F3" w14:textId="084B4980" w:rsidR="00F85821" w:rsidRPr="00F85821" w:rsidRDefault="00F85821" w:rsidP="00F85821">
            <w:pPr>
              <w:jc w:val="right"/>
              <w:rPr>
                <w:rFonts w:eastAsia="Times New Roman" w:cs="Calibri"/>
                <w:szCs w:val="20"/>
                <w:lang w:eastAsia="en-GB"/>
              </w:rPr>
            </w:pPr>
            <w:r w:rsidRPr="00F85821">
              <w:rPr>
                <w:color w:val="000000"/>
                <w:szCs w:val="20"/>
              </w:rPr>
              <w:t>0.20</w:t>
            </w:r>
          </w:p>
        </w:tc>
      </w:tr>
      <w:tr w:rsidR="00F85821" w:rsidRPr="00192ECD" w14:paraId="3E831E90" w14:textId="77777777" w:rsidTr="00C86E2C">
        <w:trPr>
          <w:trHeight w:val="300"/>
        </w:trPr>
        <w:tc>
          <w:tcPr>
            <w:tcW w:w="4531" w:type="dxa"/>
            <w:shd w:val="clear" w:color="auto" w:fill="auto"/>
            <w:noWrap/>
            <w:vAlign w:val="bottom"/>
          </w:tcPr>
          <w:p w14:paraId="3C18C27D" w14:textId="4B4F7B48" w:rsidR="00F85821" w:rsidRPr="00F85821" w:rsidRDefault="00F85821" w:rsidP="00F85821">
            <w:pPr>
              <w:rPr>
                <w:szCs w:val="20"/>
              </w:rPr>
            </w:pPr>
            <w:r w:rsidRPr="00F85821">
              <w:rPr>
                <w:color w:val="000000"/>
                <w:szCs w:val="20"/>
              </w:rPr>
              <w:t>Wickford Park</w:t>
            </w:r>
          </w:p>
        </w:tc>
        <w:tc>
          <w:tcPr>
            <w:tcW w:w="1701" w:type="dxa"/>
            <w:shd w:val="clear" w:color="auto" w:fill="auto"/>
            <w:noWrap/>
            <w:vAlign w:val="bottom"/>
          </w:tcPr>
          <w:p w14:paraId="1CEA0EF4" w14:textId="43395372" w:rsidR="00F85821" w:rsidRPr="00F85821" w:rsidRDefault="00F85821" w:rsidP="00F85821">
            <w:pPr>
              <w:rPr>
                <w:szCs w:val="20"/>
              </w:rPr>
            </w:pPr>
            <w:r w:rsidRPr="00F85821">
              <w:rPr>
                <w:color w:val="000000"/>
                <w:szCs w:val="20"/>
              </w:rPr>
              <w:t>Basildon</w:t>
            </w:r>
          </w:p>
        </w:tc>
        <w:tc>
          <w:tcPr>
            <w:tcW w:w="2676" w:type="dxa"/>
            <w:shd w:val="clear" w:color="auto" w:fill="auto"/>
            <w:noWrap/>
            <w:vAlign w:val="bottom"/>
          </w:tcPr>
          <w:p w14:paraId="5A4C5C70" w14:textId="09431189" w:rsidR="00F85821" w:rsidRPr="00F85821" w:rsidRDefault="00F85821" w:rsidP="00F85821">
            <w:pPr>
              <w:jc w:val="right"/>
              <w:rPr>
                <w:rFonts w:eastAsia="Times New Roman" w:cs="Calibri"/>
                <w:szCs w:val="20"/>
                <w:lang w:eastAsia="en-GB"/>
              </w:rPr>
            </w:pPr>
            <w:r w:rsidRPr="00F85821">
              <w:rPr>
                <w:color w:val="000000"/>
                <w:szCs w:val="20"/>
              </w:rPr>
              <w:t>0.21</w:t>
            </w:r>
          </w:p>
        </w:tc>
      </w:tr>
      <w:tr w:rsidR="00F85821" w:rsidRPr="00192ECD" w14:paraId="2AFF84E1" w14:textId="77777777" w:rsidTr="00C86E2C">
        <w:trPr>
          <w:trHeight w:val="300"/>
        </w:trPr>
        <w:tc>
          <w:tcPr>
            <w:tcW w:w="4531" w:type="dxa"/>
            <w:shd w:val="clear" w:color="auto" w:fill="auto"/>
            <w:noWrap/>
            <w:vAlign w:val="bottom"/>
          </w:tcPr>
          <w:p w14:paraId="4738470A" w14:textId="6D04756E" w:rsidR="00F85821" w:rsidRPr="00F85821" w:rsidRDefault="00F85821" w:rsidP="00F85821">
            <w:pPr>
              <w:rPr>
                <w:szCs w:val="20"/>
              </w:rPr>
            </w:pPr>
            <w:r w:rsidRPr="00F85821">
              <w:rPr>
                <w:color w:val="000000"/>
                <w:szCs w:val="20"/>
              </w:rPr>
              <w:t>Witham South</w:t>
            </w:r>
          </w:p>
        </w:tc>
        <w:tc>
          <w:tcPr>
            <w:tcW w:w="1701" w:type="dxa"/>
            <w:shd w:val="clear" w:color="auto" w:fill="auto"/>
            <w:noWrap/>
            <w:vAlign w:val="bottom"/>
          </w:tcPr>
          <w:p w14:paraId="550A2479" w14:textId="5F19F3CC" w:rsidR="00F85821" w:rsidRPr="00F85821" w:rsidRDefault="00F85821" w:rsidP="00F85821">
            <w:pPr>
              <w:rPr>
                <w:szCs w:val="20"/>
              </w:rPr>
            </w:pPr>
            <w:r w:rsidRPr="00F85821">
              <w:rPr>
                <w:color w:val="000000"/>
                <w:szCs w:val="20"/>
              </w:rPr>
              <w:t>Braintree</w:t>
            </w:r>
          </w:p>
        </w:tc>
        <w:tc>
          <w:tcPr>
            <w:tcW w:w="2676" w:type="dxa"/>
            <w:shd w:val="clear" w:color="auto" w:fill="auto"/>
            <w:noWrap/>
            <w:vAlign w:val="bottom"/>
          </w:tcPr>
          <w:p w14:paraId="012607A2" w14:textId="01AAB640" w:rsidR="00F85821" w:rsidRPr="00F85821" w:rsidRDefault="00F85821" w:rsidP="00F85821">
            <w:pPr>
              <w:jc w:val="right"/>
              <w:rPr>
                <w:rFonts w:eastAsia="Times New Roman" w:cs="Calibri"/>
                <w:szCs w:val="20"/>
                <w:lang w:eastAsia="en-GB"/>
              </w:rPr>
            </w:pPr>
            <w:r w:rsidRPr="00F85821">
              <w:rPr>
                <w:color w:val="000000"/>
                <w:szCs w:val="20"/>
              </w:rPr>
              <w:t>0.21</w:t>
            </w:r>
          </w:p>
        </w:tc>
      </w:tr>
      <w:tr w:rsidR="00F85821" w:rsidRPr="00192ECD" w14:paraId="3588663E" w14:textId="77777777" w:rsidTr="00C86E2C">
        <w:trPr>
          <w:trHeight w:val="300"/>
        </w:trPr>
        <w:tc>
          <w:tcPr>
            <w:tcW w:w="4531" w:type="dxa"/>
            <w:shd w:val="clear" w:color="auto" w:fill="0070C0"/>
            <w:noWrap/>
            <w:vAlign w:val="bottom"/>
          </w:tcPr>
          <w:p w14:paraId="279979F7" w14:textId="0D1E6043" w:rsidR="00F85821" w:rsidRPr="00C86E2C" w:rsidRDefault="00F85821" w:rsidP="00F85821">
            <w:pPr>
              <w:rPr>
                <w:color w:val="FFFFFF" w:themeColor="background1"/>
                <w:szCs w:val="20"/>
              </w:rPr>
            </w:pPr>
            <w:r w:rsidRPr="00C86E2C">
              <w:rPr>
                <w:color w:val="FFFFFF" w:themeColor="background1"/>
                <w:szCs w:val="20"/>
              </w:rPr>
              <w:t>Lee Chapel North</w:t>
            </w:r>
          </w:p>
        </w:tc>
        <w:tc>
          <w:tcPr>
            <w:tcW w:w="1701" w:type="dxa"/>
            <w:shd w:val="clear" w:color="auto" w:fill="0070C0"/>
            <w:noWrap/>
            <w:vAlign w:val="bottom"/>
          </w:tcPr>
          <w:p w14:paraId="45E8CFFC" w14:textId="615FA7DB" w:rsidR="00F85821" w:rsidRPr="00C86E2C" w:rsidRDefault="00F85821" w:rsidP="00F85821">
            <w:pPr>
              <w:rPr>
                <w:color w:val="FFFFFF" w:themeColor="background1"/>
                <w:szCs w:val="20"/>
              </w:rPr>
            </w:pPr>
            <w:r w:rsidRPr="00C86E2C">
              <w:rPr>
                <w:color w:val="FFFFFF" w:themeColor="background1"/>
                <w:szCs w:val="20"/>
              </w:rPr>
              <w:t>Basildon</w:t>
            </w:r>
          </w:p>
        </w:tc>
        <w:tc>
          <w:tcPr>
            <w:tcW w:w="2676" w:type="dxa"/>
            <w:shd w:val="clear" w:color="auto" w:fill="0070C0"/>
            <w:noWrap/>
            <w:vAlign w:val="bottom"/>
          </w:tcPr>
          <w:p w14:paraId="0F7FD12D" w14:textId="2DB77243" w:rsidR="00F85821" w:rsidRPr="00C86E2C" w:rsidRDefault="00F85821" w:rsidP="00F85821">
            <w:pPr>
              <w:jc w:val="right"/>
              <w:rPr>
                <w:rFonts w:eastAsia="Times New Roman" w:cs="Calibri"/>
                <w:color w:val="FFFFFF" w:themeColor="background1"/>
                <w:szCs w:val="20"/>
                <w:lang w:eastAsia="en-GB"/>
              </w:rPr>
            </w:pPr>
            <w:r w:rsidRPr="00C86E2C">
              <w:rPr>
                <w:color w:val="FFFFFF" w:themeColor="background1"/>
                <w:szCs w:val="20"/>
              </w:rPr>
              <w:t>0.21</w:t>
            </w:r>
          </w:p>
        </w:tc>
      </w:tr>
      <w:tr w:rsidR="00C86E2C" w:rsidRPr="00192ECD" w14:paraId="4EE3E77D" w14:textId="77777777" w:rsidTr="00C86E2C">
        <w:trPr>
          <w:trHeight w:val="300"/>
        </w:trPr>
        <w:tc>
          <w:tcPr>
            <w:tcW w:w="4531" w:type="dxa"/>
            <w:shd w:val="clear" w:color="auto" w:fill="auto"/>
            <w:noWrap/>
            <w:vAlign w:val="bottom"/>
          </w:tcPr>
          <w:p w14:paraId="4CC72985" w14:textId="71A74C9A" w:rsidR="00F85821" w:rsidRPr="00F85821" w:rsidRDefault="00F85821" w:rsidP="00F85821">
            <w:pPr>
              <w:rPr>
                <w:szCs w:val="20"/>
              </w:rPr>
            </w:pPr>
            <w:r w:rsidRPr="00F85821">
              <w:rPr>
                <w:color w:val="000000"/>
                <w:szCs w:val="20"/>
              </w:rPr>
              <w:t>Canvey Island East</w:t>
            </w:r>
          </w:p>
        </w:tc>
        <w:tc>
          <w:tcPr>
            <w:tcW w:w="1701" w:type="dxa"/>
            <w:shd w:val="clear" w:color="auto" w:fill="auto"/>
            <w:noWrap/>
            <w:vAlign w:val="bottom"/>
          </w:tcPr>
          <w:p w14:paraId="0F90BAB9" w14:textId="3A32AF19" w:rsidR="00F85821" w:rsidRPr="00F85821" w:rsidRDefault="00F85821" w:rsidP="00F85821">
            <w:pPr>
              <w:rPr>
                <w:szCs w:val="20"/>
              </w:rPr>
            </w:pPr>
            <w:r w:rsidRPr="00F85821">
              <w:rPr>
                <w:color w:val="000000"/>
                <w:szCs w:val="20"/>
              </w:rPr>
              <w:t>Castle Point</w:t>
            </w:r>
          </w:p>
        </w:tc>
        <w:tc>
          <w:tcPr>
            <w:tcW w:w="2676" w:type="dxa"/>
            <w:shd w:val="clear" w:color="auto" w:fill="auto"/>
            <w:noWrap/>
            <w:vAlign w:val="bottom"/>
          </w:tcPr>
          <w:p w14:paraId="3E57F1CC" w14:textId="4574355D" w:rsidR="00F85821" w:rsidRPr="00F85821" w:rsidRDefault="00F85821" w:rsidP="00F85821">
            <w:pPr>
              <w:jc w:val="right"/>
              <w:rPr>
                <w:rFonts w:eastAsia="Times New Roman" w:cs="Calibri"/>
                <w:szCs w:val="20"/>
                <w:lang w:eastAsia="en-GB"/>
              </w:rPr>
            </w:pPr>
            <w:r w:rsidRPr="00F85821">
              <w:rPr>
                <w:color w:val="000000"/>
                <w:szCs w:val="20"/>
              </w:rPr>
              <w:t>0.21</w:t>
            </w:r>
          </w:p>
        </w:tc>
      </w:tr>
      <w:tr w:rsidR="00C86E2C" w:rsidRPr="00192ECD" w14:paraId="19184D1C" w14:textId="77777777" w:rsidTr="00C86E2C">
        <w:trPr>
          <w:trHeight w:val="300"/>
        </w:trPr>
        <w:tc>
          <w:tcPr>
            <w:tcW w:w="4531" w:type="dxa"/>
            <w:shd w:val="clear" w:color="auto" w:fill="0070C0"/>
            <w:noWrap/>
            <w:vAlign w:val="bottom"/>
          </w:tcPr>
          <w:p w14:paraId="18349216" w14:textId="162FFE1D" w:rsidR="00F85821" w:rsidRPr="00C86E2C" w:rsidRDefault="00F85821" w:rsidP="00F85821">
            <w:pPr>
              <w:rPr>
                <w:color w:val="FFFFFF" w:themeColor="background1"/>
                <w:szCs w:val="20"/>
              </w:rPr>
            </w:pPr>
            <w:proofErr w:type="spellStart"/>
            <w:r w:rsidRPr="00C86E2C">
              <w:rPr>
                <w:color w:val="FFFFFF" w:themeColor="background1"/>
                <w:szCs w:val="20"/>
              </w:rPr>
              <w:t>Coppins</w:t>
            </w:r>
            <w:proofErr w:type="spellEnd"/>
          </w:p>
        </w:tc>
        <w:tc>
          <w:tcPr>
            <w:tcW w:w="1701" w:type="dxa"/>
            <w:shd w:val="clear" w:color="auto" w:fill="0070C0"/>
            <w:noWrap/>
            <w:vAlign w:val="bottom"/>
          </w:tcPr>
          <w:p w14:paraId="33D50A25" w14:textId="4A346365" w:rsidR="00F85821" w:rsidRPr="00C86E2C" w:rsidRDefault="00F85821" w:rsidP="00F85821">
            <w:pPr>
              <w:rPr>
                <w:color w:val="FFFFFF" w:themeColor="background1"/>
                <w:szCs w:val="20"/>
              </w:rPr>
            </w:pPr>
            <w:r w:rsidRPr="00C86E2C">
              <w:rPr>
                <w:color w:val="FFFFFF" w:themeColor="background1"/>
                <w:szCs w:val="20"/>
              </w:rPr>
              <w:t>Tendring</w:t>
            </w:r>
          </w:p>
        </w:tc>
        <w:tc>
          <w:tcPr>
            <w:tcW w:w="2676" w:type="dxa"/>
            <w:shd w:val="clear" w:color="auto" w:fill="0070C0"/>
            <w:noWrap/>
            <w:vAlign w:val="bottom"/>
          </w:tcPr>
          <w:p w14:paraId="0EF2F11B" w14:textId="56D5F0C2" w:rsidR="00F85821" w:rsidRPr="00C86E2C" w:rsidRDefault="00F85821" w:rsidP="00F85821">
            <w:pPr>
              <w:jc w:val="right"/>
              <w:rPr>
                <w:rFonts w:eastAsia="Times New Roman" w:cs="Calibri"/>
                <w:color w:val="FFFFFF" w:themeColor="background1"/>
                <w:szCs w:val="20"/>
                <w:lang w:eastAsia="en-GB"/>
              </w:rPr>
            </w:pPr>
            <w:r w:rsidRPr="00C86E2C">
              <w:rPr>
                <w:color w:val="FFFFFF" w:themeColor="background1"/>
                <w:szCs w:val="20"/>
              </w:rPr>
              <w:t>0.21</w:t>
            </w:r>
          </w:p>
        </w:tc>
      </w:tr>
      <w:tr w:rsidR="00F85821" w:rsidRPr="00192ECD" w14:paraId="3265365B" w14:textId="77777777" w:rsidTr="00C86E2C">
        <w:trPr>
          <w:trHeight w:val="300"/>
        </w:trPr>
        <w:tc>
          <w:tcPr>
            <w:tcW w:w="4531" w:type="dxa"/>
            <w:shd w:val="clear" w:color="auto" w:fill="auto"/>
            <w:noWrap/>
            <w:vAlign w:val="bottom"/>
          </w:tcPr>
          <w:p w14:paraId="5452FCC5" w14:textId="68821EDC" w:rsidR="00F85821" w:rsidRPr="00F85821" w:rsidRDefault="00F85821" w:rsidP="00F85821">
            <w:pPr>
              <w:rPr>
                <w:szCs w:val="20"/>
              </w:rPr>
            </w:pPr>
            <w:r w:rsidRPr="00F85821">
              <w:rPr>
                <w:color w:val="000000"/>
                <w:szCs w:val="20"/>
              </w:rPr>
              <w:t>Springfield North</w:t>
            </w:r>
          </w:p>
        </w:tc>
        <w:tc>
          <w:tcPr>
            <w:tcW w:w="1701" w:type="dxa"/>
            <w:shd w:val="clear" w:color="auto" w:fill="auto"/>
            <w:noWrap/>
            <w:vAlign w:val="bottom"/>
          </w:tcPr>
          <w:p w14:paraId="0EB7E3FE" w14:textId="62E6DCB3" w:rsidR="00F85821" w:rsidRPr="00F85821" w:rsidRDefault="00F85821" w:rsidP="00F85821">
            <w:pPr>
              <w:rPr>
                <w:szCs w:val="20"/>
              </w:rPr>
            </w:pPr>
            <w:r w:rsidRPr="00F85821">
              <w:rPr>
                <w:color w:val="000000"/>
                <w:szCs w:val="20"/>
              </w:rPr>
              <w:t>Chelmsford</w:t>
            </w:r>
          </w:p>
        </w:tc>
        <w:tc>
          <w:tcPr>
            <w:tcW w:w="2676" w:type="dxa"/>
            <w:shd w:val="clear" w:color="auto" w:fill="auto"/>
            <w:noWrap/>
            <w:vAlign w:val="bottom"/>
          </w:tcPr>
          <w:p w14:paraId="3FB23342" w14:textId="4DADA5C1" w:rsidR="00F85821" w:rsidRPr="00F85821" w:rsidRDefault="00F85821" w:rsidP="00F85821">
            <w:pPr>
              <w:jc w:val="right"/>
              <w:rPr>
                <w:rFonts w:eastAsia="Times New Roman" w:cs="Calibri"/>
                <w:szCs w:val="20"/>
                <w:lang w:eastAsia="en-GB"/>
              </w:rPr>
            </w:pPr>
            <w:r w:rsidRPr="00F85821">
              <w:rPr>
                <w:color w:val="000000"/>
                <w:szCs w:val="20"/>
              </w:rPr>
              <w:t>0.22</w:t>
            </w:r>
          </w:p>
        </w:tc>
      </w:tr>
      <w:tr w:rsidR="00F85821" w:rsidRPr="00192ECD" w14:paraId="1F0F3630" w14:textId="77777777" w:rsidTr="00C86E2C">
        <w:trPr>
          <w:trHeight w:val="300"/>
        </w:trPr>
        <w:tc>
          <w:tcPr>
            <w:tcW w:w="4531" w:type="dxa"/>
            <w:shd w:val="clear" w:color="auto" w:fill="auto"/>
            <w:noWrap/>
            <w:vAlign w:val="bottom"/>
          </w:tcPr>
          <w:p w14:paraId="6FE3108E" w14:textId="19BCB814" w:rsidR="00F85821" w:rsidRPr="00F85821" w:rsidRDefault="00F85821" w:rsidP="00F85821">
            <w:pPr>
              <w:rPr>
                <w:szCs w:val="20"/>
              </w:rPr>
            </w:pPr>
            <w:proofErr w:type="spellStart"/>
            <w:r w:rsidRPr="00F85821">
              <w:rPr>
                <w:color w:val="000000"/>
                <w:szCs w:val="20"/>
              </w:rPr>
              <w:t>Hullbridge</w:t>
            </w:r>
            <w:proofErr w:type="spellEnd"/>
          </w:p>
        </w:tc>
        <w:tc>
          <w:tcPr>
            <w:tcW w:w="1701" w:type="dxa"/>
            <w:shd w:val="clear" w:color="auto" w:fill="auto"/>
            <w:noWrap/>
            <w:vAlign w:val="bottom"/>
          </w:tcPr>
          <w:p w14:paraId="74FF0D12" w14:textId="77EE9E5F" w:rsidR="00F85821" w:rsidRPr="00F85821" w:rsidRDefault="00F85821" w:rsidP="00F85821">
            <w:pPr>
              <w:rPr>
                <w:szCs w:val="20"/>
              </w:rPr>
            </w:pPr>
            <w:r w:rsidRPr="00F85821">
              <w:rPr>
                <w:color w:val="000000"/>
                <w:szCs w:val="20"/>
              </w:rPr>
              <w:t>Rochford</w:t>
            </w:r>
          </w:p>
        </w:tc>
        <w:tc>
          <w:tcPr>
            <w:tcW w:w="2676" w:type="dxa"/>
            <w:shd w:val="clear" w:color="auto" w:fill="auto"/>
            <w:noWrap/>
            <w:vAlign w:val="bottom"/>
          </w:tcPr>
          <w:p w14:paraId="77A5648C" w14:textId="183E8AD1" w:rsidR="00F85821" w:rsidRPr="00F85821" w:rsidRDefault="00F85821" w:rsidP="00F85821">
            <w:pPr>
              <w:jc w:val="right"/>
              <w:rPr>
                <w:rFonts w:eastAsia="Times New Roman" w:cs="Calibri"/>
                <w:szCs w:val="20"/>
                <w:lang w:eastAsia="en-GB"/>
              </w:rPr>
            </w:pPr>
            <w:r w:rsidRPr="00F85821">
              <w:rPr>
                <w:color w:val="000000"/>
                <w:szCs w:val="20"/>
              </w:rPr>
              <w:t>0.22</w:t>
            </w:r>
          </w:p>
        </w:tc>
      </w:tr>
      <w:tr w:rsidR="00F85821" w:rsidRPr="00192ECD" w14:paraId="4FD9FC9B" w14:textId="77777777" w:rsidTr="00AB41AF">
        <w:trPr>
          <w:trHeight w:val="300"/>
        </w:trPr>
        <w:tc>
          <w:tcPr>
            <w:tcW w:w="8908" w:type="dxa"/>
            <w:gridSpan w:val="3"/>
            <w:shd w:val="clear" w:color="auto" w:fill="FFFFFF" w:themeFill="background1"/>
            <w:noWrap/>
            <w:vAlign w:val="bottom"/>
          </w:tcPr>
          <w:p w14:paraId="259E957F" w14:textId="66FE688C" w:rsidR="00F85821" w:rsidRPr="00192ECD" w:rsidRDefault="00F85821" w:rsidP="00AB41AF">
            <w:pPr>
              <w:rPr>
                <w:rFonts w:eastAsia="Times New Roman" w:cs="Calibri"/>
                <w:color w:val="000000" w:themeColor="text1"/>
                <w:szCs w:val="20"/>
                <w:lang w:eastAsia="en-GB"/>
              </w:rPr>
            </w:pPr>
            <w:r w:rsidRPr="00192ECD">
              <w:rPr>
                <w:color w:val="000000" w:themeColor="text1"/>
              </w:rPr>
              <w:t xml:space="preserve">Source: </w:t>
            </w:r>
            <w:r w:rsidR="00C86E2C">
              <w:rPr>
                <w:color w:val="000000" w:themeColor="text1"/>
              </w:rPr>
              <w:t>Census 2011</w:t>
            </w:r>
          </w:p>
        </w:tc>
      </w:tr>
    </w:tbl>
    <w:p w14:paraId="7528F0EF" w14:textId="48FD9FEC" w:rsidR="00F85821" w:rsidRDefault="00F85821" w:rsidP="00C778F2">
      <w:pPr>
        <w:rPr>
          <w:lang w:val="en-US"/>
        </w:rPr>
      </w:pPr>
    </w:p>
    <w:p w14:paraId="44ECEB23" w14:textId="4994F970" w:rsidR="00C86E2C" w:rsidRDefault="00C86E2C" w:rsidP="00C778F2">
      <w:r>
        <w:t>Five of the 12 LBAs in Essex feature among the 20 wards with the</w:t>
      </w:r>
      <w:r w:rsidR="001E51B1">
        <w:t xml:space="preserve"> lowest</w:t>
      </w:r>
      <w:r>
        <w:t xml:space="preserve"> ratio of resident to workplace population. Again, areas of Tendring feature predominantly – accounting for five of the 10 wards with the lowest scores on this measure – this reflects the relative lack of job-opportunities in this area.</w:t>
      </w:r>
    </w:p>
    <w:p w14:paraId="78CD5627" w14:textId="786F0249" w:rsidR="00C86E2C" w:rsidRDefault="00C86E2C" w:rsidP="00C778F2"/>
    <w:p w14:paraId="55B7AEEB" w14:textId="56F74C4E" w:rsidR="00C86E2C" w:rsidRDefault="00C86E2C" w:rsidP="00C86E2C">
      <w:pPr>
        <w:pStyle w:val="Heading2"/>
        <w:rPr>
          <w:lang w:val="en-US"/>
        </w:rPr>
      </w:pPr>
      <w:bookmarkStart w:id="24" w:name="_Toc71790744"/>
      <w:r>
        <w:rPr>
          <w:lang w:val="en-US"/>
        </w:rPr>
        <w:t>People holding degree or higher level qualifications</w:t>
      </w:r>
      <w:bookmarkEnd w:id="24"/>
    </w:p>
    <w:p w14:paraId="68371EAE" w14:textId="25A0EAF4" w:rsidR="00C86E2C" w:rsidRDefault="00C86E2C" w:rsidP="00C86E2C">
      <w:pPr>
        <w:rPr>
          <w:lang w:val="en-US"/>
        </w:rPr>
      </w:pPr>
    </w:p>
    <w:p w14:paraId="29626224" w14:textId="467E0B65" w:rsidR="00C86E2C" w:rsidRDefault="00C86E2C" w:rsidP="00C86E2C">
      <w:pPr>
        <w:rPr>
          <w:lang w:val="en-US"/>
        </w:rPr>
      </w:pPr>
      <w:r>
        <w:rPr>
          <w:lang w:val="en-US"/>
        </w:rPr>
        <w:t>The proportion of people holding degree or higher level qualifications</w:t>
      </w:r>
      <w:r w:rsidRPr="00C86E2C">
        <w:rPr>
          <w:lang w:val="en-US"/>
        </w:rPr>
        <w:t xml:space="preserve"> </w:t>
      </w:r>
      <w:r>
        <w:rPr>
          <w:lang w:val="en-US"/>
        </w:rPr>
        <w:t xml:space="preserve">is </w:t>
      </w:r>
      <w:r w:rsidRPr="00C86E2C">
        <w:rPr>
          <w:lang w:val="en-US"/>
        </w:rPr>
        <w:t>derived from responses in the 2011 Census to both the educational and vocational qualifications question, and the professional qualifications question</w:t>
      </w:r>
      <w:r>
        <w:rPr>
          <w:lang w:val="en-US"/>
        </w:rPr>
        <w:t xml:space="preserve"> and is based on the highest levels of </w:t>
      </w:r>
      <w:r>
        <w:rPr>
          <w:lang w:val="en-US"/>
        </w:rPr>
        <w:lastRenderedPageBreak/>
        <w:t xml:space="preserve">qualifications a person can </w:t>
      </w:r>
      <w:r w:rsidR="000C17E1">
        <w:rPr>
          <w:lang w:val="en-US"/>
        </w:rPr>
        <w:t>possess</w:t>
      </w:r>
      <w:r w:rsidRPr="00C86E2C">
        <w:rPr>
          <w:lang w:val="en-US"/>
        </w:rPr>
        <w:t>.</w:t>
      </w:r>
      <w:r>
        <w:rPr>
          <w:lang w:val="en-US"/>
        </w:rPr>
        <w:t xml:space="preserve"> The following qualifications are included</w:t>
      </w:r>
      <w:r w:rsidRPr="00C86E2C">
        <w:rPr>
          <w:lang w:val="en-US"/>
        </w:rPr>
        <w:t>: First degree, Higher degree, NVQ levels 4 and 5, HNC, HND, Qualified Teacher status, Qualified Medical Doctor, Qualified Dentist, Qualified Nurse, Midwife, Health Visitor Other qualifications/level unknown: Other qualifications (e.g. City and Guilds, RSA/OCR, BTEC/Edexcel), Other Professional Qualifications</w:t>
      </w:r>
      <w:r w:rsidR="000C17E1">
        <w:rPr>
          <w:lang w:val="en-US"/>
        </w:rPr>
        <w:t>. T</w:t>
      </w:r>
      <w:r>
        <w:rPr>
          <w:lang w:val="en-US"/>
        </w:rPr>
        <w:t>he rate is expressed as a percentage of all aged 16+.</w:t>
      </w:r>
    </w:p>
    <w:p w14:paraId="77B9D5CE" w14:textId="2F4C3DDE" w:rsidR="00C86E2C" w:rsidRDefault="00C86E2C" w:rsidP="00C86E2C">
      <w:pPr>
        <w:rPr>
          <w:lang w:val="en-US"/>
        </w:rPr>
      </w:pPr>
    </w:p>
    <w:p w14:paraId="27F8D791" w14:textId="67B76913" w:rsidR="00C86E2C" w:rsidRDefault="00C86E2C" w:rsidP="00C86E2C">
      <w:r>
        <w:t>164 of the 239 wards in Essex (68.6%) have a lower proportion of people with degree qualifications than the national average (27.4%).</w:t>
      </w:r>
      <w:r w:rsidRPr="000C4327">
        <w:t xml:space="preserve"> </w:t>
      </w:r>
      <w:r>
        <w:t xml:space="preserve">The table below presents the 20 wards in Essex with the </w:t>
      </w:r>
      <w:r w:rsidR="001E51B1">
        <w:t>lowest</w:t>
      </w:r>
      <w:r>
        <w:t xml:space="preserve"> rates of </w:t>
      </w:r>
      <w:r w:rsidR="001E51B1">
        <w:t xml:space="preserve">people with degree level qualifications. </w:t>
      </w:r>
      <w:r>
        <w:t>Areas identified as ‘left-behind’ are shaded blue.</w:t>
      </w:r>
    </w:p>
    <w:p w14:paraId="1AEE3535" w14:textId="57576DC4" w:rsidR="00C86E2C" w:rsidRDefault="00C86E2C" w:rsidP="00C86E2C">
      <w:pPr>
        <w:rPr>
          <w:lang w:val="en-US"/>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701"/>
        <w:gridCol w:w="2676"/>
      </w:tblGrid>
      <w:tr w:rsidR="001E51B1" w:rsidRPr="00192ECD" w14:paraId="4045BC32" w14:textId="77777777" w:rsidTr="00AB41AF">
        <w:trPr>
          <w:trHeight w:val="300"/>
        </w:trPr>
        <w:tc>
          <w:tcPr>
            <w:tcW w:w="4531" w:type="dxa"/>
            <w:shd w:val="clear" w:color="auto" w:fill="002060"/>
            <w:noWrap/>
            <w:vAlign w:val="center"/>
          </w:tcPr>
          <w:p w14:paraId="51222D2C" w14:textId="77777777" w:rsidR="001E51B1" w:rsidRPr="00192ECD" w:rsidRDefault="001E51B1"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Area</w:t>
            </w:r>
          </w:p>
        </w:tc>
        <w:tc>
          <w:tcPr>
            <w:tcW w:w="1701" w:type="dxa"/>
            <w:shd w:val="clear" w:color="auto" w:fill="002060"/>
            <w:noWrap/>
            <w:vAlign w:val="center"/>
          </w:tcPr>
          <w:p w14:paraId="272BE1AE" w14:textId="77777777" w:rsidR="001E51B1" w:rsidRPr="00192ECD" w:rsidRDefault="001E51B1" w:rsidP="00AB41AF">
            <w:pPr>
              <w:rPr>
                <w:rFonts w:eastAsia="Times New Roman" w:cs="Calibri"/>
                <w:color w:val="FFFFFF" w:themeColor="background1"/>
                <w:szCs w:val="20"/>
                <w:lang w:eastAsia="en-GB"/>
              </w:rPr>
            </w:pPr>
            <w:r>
              <w:rPr>
                <w:color w:val="FFFFFF" w:themeColor="background1"/>
              </w:rPr>
              <w:t>Local Authority</w:t>
            </w:r>
          </w:p>
        </w:tc>
        <w:tc>
          <w:tcPr>
            <w:tcW w:w="2676" w:type="dxa"/>
            <w:shd w:val="clear" w:color="auto" w:fill="002060"/>
            <w:noWrap/>
            <w:vAlign w:val="center"/>
          </w:tcPr>
          <w:p w14:paraId="597D8AE1" w14:textId="7A236D94" w:rsidR="001E51B1" w:rsidRPr="00192ECD" w:rsidRDefault="001E51B1"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 with degree or higher qualifications</w:t>
            </w:r>
          </w:p>
        </w:tc>
      </w:tr>
      <w:tr w:rsidR="001E51B1" w:rsidRPr="00192ECD" w14:paraId="3B3D35F6" w14:textId="77777777" w:rsidTr="001E51B1">
        <w:trPr>
          <w:trHeight w:val="300"/>
        </w:trPr>
        <w:tc>
          <w:tcPr>
            <w:tcW w:w="4531" w:type="dxa"/>
            <w:shd w:val="clear" w:color="auto" w:fill="0070C0"/>
            <w:noWrap/>
            <w:vAlign w:val="bottom"/>
          </w:tcPr>
          <w:p w14:paraId="4E519790" w14:textId="1860C7E2" w:rsidR="001E51B1" w:rsidRPr="001E51B1" w:rsidRDefault="001E51B1" w:rsidP="001E51B1">
            <w:pPr>
              <w:rPr>
                <w:color w:val="FFFFFF" w:themeColor="background1"/>
                <w:szCs w:val="20"/>
              </w:rPr>
            </w:pPr>
            <w:r w:rsidRPr="001E51B1">
              <w:rPr>
                <w:color w:val="FFFFFF" w:themeColor="background1"/>
                <w:szCs w:val="20"/>
              </w:rPr>
              <w:t>West Clacton &amp; Jaywick Sands</w:t>
            </w:r>
          </w:p>
        </w:tc>
        <w:tc>
          <w:tcPr>
            <w:tcW w:w="1701" w:type="dxa"/>
            <w:shd w:val="clear" w:color="auto" w:fill="0070C0"/>
            <w:noWrap/>
            <w:vAlign w:val="bottom"/>
          </w:tcPr>
          <w:p w14:paraId="2B306181" w14:textId="76A2D29B" w:rsidR="001E51B1" w:rsidRPr="001E51B1" w:rsidRDefault="001E51B1" w:rsidP="001E51B1">
            <w:pPr>
              <w:rPr>
                <w:color w:val="FFFFFF" w:themeColor="background1"/>
                <w:szCs w:val="20"/>
              </w:rPr>
            </w:pPr>
            <w:r w:rsidRPr="001E51B1">
              <w:rPr>
                <w:color w:val="FFFFFF" w:themeColor="background1"/>
                <w:szCs w:val="20"/>
              </w:rPr>
              <w:t>Tendring</w:t>
            </w:r>
          </w:p>
        </w:tc>
        <w:tc>
          <w:tcPr>
            <w:tcW w:w="2676" w:type="dxa"/>
            <w:shd w:val="clear" w:color="auto" w:fill="0070C0"/>
            <w:noWrap/>
            <w:vAlign w:val="bottom"/>
          </w:tcPr>
          <w:p w14:paraId="7A1964CE" w14:textId="000134C0"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7.7</w:t>
            </w:r>
          </w:p>
        </w:tc>
      </w:tr>
      <w:tr w:rsidR="001E51B1" w:rsidRPr="00192ECD" w14:paraId="7C2D6FA8" w14:textId="77777777" w:rsidTr="00AB41AF">
        <w:trPr>
          <w:trHeight w:val="300"/>
        </w:trPr>
        <w:tc>
          <w:tcPr>
            <w:tcW w:w="4531" w:type="dxa"/>
            <w:shd w:val="clear" w:color="auto" w:fill="auto"/>
            <w:noWrap/>
            <w:vAlign w:val="bottom"/>
          </w:tcPr>
          <w:p w14:paraId="364BF369" w14:textId="5D1D517F" w:rsidR="001E51B1" w:rsidRPr="001E51B1" w:rsidRDefault="001E51B1" w:rsidP="001E51B1">
            <w:pPr>
              <w:rPr>
                <w:szCs w:val="20"/>
              </w:rPr>
            </w:pPr>
            <w:r w:rsidRPr="001E51B1">
              <w:rPr>
                <w:color w:val="000000"/>
                <w:szCs w:val="20"/>
              </w:rPr>
              <w:t>Canvey Island Central</w:t>
            </w:r>
          </w:p>
        </w:tc>
        <w:tc>
          <w:tcPr>
            <w:tcW w:w="1701" w:type="dxa"/>
            <w:shd w:val="clear" w:color="auto" w:fill="auto"/>
            <w:noWrap/>
            <w:vAlign w:val="bottom"/>
          </w:tcPr>
          <w:p w14:paraId="1AC5E335" w14:textId="621571F2" w:rsidR="001E51B1" w:rsidRPr="001E51B1" w:rsidRDefault="001E51B1" w:rsidP="001E51B1">
            <w:pPr>
              <w:rPr>
                <w:szCs w:val="20"/>
              </w:rPr>
            </w:pPr>
            <w:r w:rsidRPr="001E51B1">
              <w:rPr>
                <w:color w:val="000000"/>
                <w:szCs w:val="20"/>
              </w:rPr>
              <w:t>Castle Point</w:t>
            </w:r>
          </w:p>
        </w:tc>
        <w:tc>
          <w:tcPr>
            <w:tcW w:w="2676" w:type="dxa"/>
            <w:shd w:val="clear" w:color="auto" w:fill="auto"/>
            <w:noWrap/>
            <w:vAlign w:val="bottom"/>
          </w:tcPr>
          <w:p w14:paraId="34AA167C" w14:textId="4FAF000C" w:rsidR="001E51B1" w:rsidRPr="001E51B1" w:rsidRDefault="001E51B1" w:rsidP="001E51B1">
            <w:pPr>
              <w:jc w:val="right"/>
              <w:rPr>
                <w:rFonts w:eastAsia="Times New Roman" w:cs="Arial"/>
                <w:szCs w:val="20"/>
                <w:lang w:eastAsia="en-GB"/>
              </w:rPr>
            </w:pPr>
            <w:r w:rsidRPr="001E51B1">
              <w:rPr>
                <w:color w:val="000000"/>
                <w:szCs w:val="20"/>
              </w:rPr>
              <w:t>8.2</w:t>
            </w:r>
          </w:p>
        </w:tc>
      </w:tr>
      <w:tr w:rsidR="001E51B1" w:rsidRPr="00192ECD" w14:paraId="01A1F384" w14:textId="77777777" w:rsidTr="001E51B1">
        <w:trPr>
          <w:trHeight w:val="300"/>
        </w:trPr>
        <w:tc>
          <w:tcPr>
            <w:tcW w:w="4531" w:type="dxa"/>
            <w:shd w:val="clear" w:color="auto" w:fill="0070C0"/>
            <w:noWrap/>
            <w:vAlign w:val="bottom"/>
          </w:tcPr>
          <w:p w14:paraId="76216D59" w14:textId="6FD67A26" w:rsidR="001E51B1" w:rsidRPr="001E51B1" w:rsidRDefault="001E51B1" w:rsidP="001E51B1">
            <w:pPr>
              <w:rPr>
                <w:color w:val="FFFFFF" w:themeColor="background1"/>
                <w:szCs w:val="20"/>
              </w:rPr>
            </w:pPr>
            <w:proofErr w:type="spellStart"/>
            <w:r w:rsidRPr="001E51B1">
              <w:rPr>
                <w:color w:val="FFFFFF" w:themeColor="background1"/>
                <w:szCs w:val="20"/>
              </w:rPr>
              <w:t>Bluehouse</w:t>
            </w:r>
            <w:proofErr w:type="spellEnd"/>
          </w:p>
        </w:tc>
        <w:tc>
          <w:tcPr>
            <w:tcW w:w="1701" w:type="dxa"/>
            <w:shd w:val="clear" w:color="auto" w:fill="0070C0"/>
            <w:noWrap/>
            <w:vAlign w:val="bottom"/>
          </w:tcPr>
          <w:p w14:paraId="7B6CF021" w14:textId="632EE452" w:rsidR="001E51B1" w:rsidRPr="001E51B1" w:rsidRDefault="001E51B1" w:rsidP="001E51B1">
            <w:pPr>
              <w:rPr>
                <w:color w:val="FFFFFF" w:themeColor="background1"/>
                <w:szCs w:val="20"/>
              </w:rPr>
            </w:pPr>
            <w:r w:rsidRPr="001E51B1">
              <w:rPr>
                <w:color w:val="FFFFFF" w:themeColor="background1"/>
                <w:szCs w:val="20"/>
              </w:rPr>
              <w:t>Tendring</w:t>
            </w:r>
          </w:p>
        </w:tc>
        <w:tc>
          <w:tcPr>
            <w:tcW w:w="2676" w:type="dxa"/>
            <w:shd w:val="clear" w:color="auto" w:fill="0070C0"/>
            <w:noWrap/>
            <w:vAlign w:val="bottom"/>
          </w:tcPr>
          <w:p w14:paraId="1D452B7C" w14:textId="60ADF5F9"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8.5</w:t>
            </w:r>
          </w:p>
        </w:tc>
      </w:tr>
      <w:tr w:rsidR="001E51B1" w:rsidRPr="00192ECD" w14:paraId="03A7A46D" w14:textId="77777777" w:rsidTr="001E51B1">
        <w:trPr>
          <w:trHeight w:val="300"/>
        </w:trPr>
        <w:tc>
          <w:tcPr>
            <w:tcW w:w="4531" w:type="dxa"/>
            <w:shd w:val="clear" w:color="auto" w:fill="0070C0"/>
            <w:noWrap/>
            <w:vAlign w:val="bottom"/>
          </w:tcPr>
          <w:p w14:paraId="3D07BCA9" w14:textId="48950D8C" w:rsidR="001E51B1" w:rsidRPr="001E51B1" w:rsidRDefault="001E51B1" w:rsidP="001E51B1">
            <w:pPr>
              <w:rPr>
                <w:color w:val="FFFFFF" w:themeColor="background1"/>
                <w:szCs w:val="20"/>
              </w:rPr>
            </w:pPr>
            <w:proofErr w:type="spellStart"/>
            <w:r w:rsidRPr="001E51B1">
              <w:rPr>
                <w:color w:val="FFFFFF" w:themeColor="background1"/>
                <w:szCs w:val="20"/>
              </w:rPr>
              <w:t>Coppins</w:t>
            </w:r>
            <w:proofErr w:type="spellEnd"/>
          </w:p>
        </w:tc>
        <w:tc>
          <w:tcPr>
            <w:tcW w:w="1701" w:type="dxa"/>
            <w:shd w:val="clear" w:color="auto" w:fill="0070C0"/>
            <w:noWrap/>
            <w:vAlign w:val="bottom"/>
          </w:tcPr>
          <w:p w14:paraId="6CDD7197" w14:textId="3852E923" w:rsidR="001E51B1" w:rsidRPr="001E51B1" w:rsidRDefault="001E51B1" w:rsidP="001E51B1">
            <w:pPr>
              <w:rPr>
                <w:color w:val="FFFFFF" w:themeColor="background1"/>
                <w:szCs w:val="20"/>
              </w:rPr>
            </w:pPr>
            <w:r w:rsidRPr="001E51B1">
              <w:rPr>
                <w:color w:val="FFFFFF" w:themeColor="background1"/>
                <w:szCs w:val="20"/>
              </w:rPr>
              <w:t>Tendring</w:t>
            </w:r>
          </w:p>
        </w:tc>
        <w:tc>
          <w:tcPr>
            <w:tcW w:w="2676" w:type="dxa"/>
            <w:shd w:val="clear" w:color="auto" w:fill="0070C0"/>
            <w:noWrap/>
            <w:vAlign w:val="bottom"/>
          </w:tcPr>
          <w:p w14:paraId="065B9D21" w14:textId="1100C8E7"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8.6</w:t>
            </w:r>
          </w:p>
        </w:tc>
      </w:tr>
      <w:tr w:rsidR="001E51B1" w:rsidRPr="00192ECD" w14:paraId="4D9AE367" w14:textId="77777777" w:rsidTr="00AB41AF">
        <w:trPr>
          <w:trHeight w:val="300"/>
        </w:trPr>
        <w:tc>
          <w:tcPr>
            <w:tcW w:w="4531" w:type="dxa"/>
            <w:shd w:val="clear" w:color="auto" w:fill="auto"/>
            <w:noWrap/>
            <w:vAlign w:val="bottom"/>
          </w:tcPr>
          <w:p w14:paraId="515BAE3B" w14:textId="65DBA856" w:rsidR="001E51B1" w:rsidRPr="001E51B1" w:rsidRDefault="001E51B1" w:rsidP="001E51B1">
            <w:pPr>
              <w:rPr>
                <w:szCs w:val="20"/>
              </w:rPr>
            </w:pPr>
            <w:r w:rsidRPr="001E51B1">
              <w:rPr>
                <w:color w:val="000000"/>
                <w:szCs w:val="20"/>
              </w:rPr>
              <w:t>Canvey Island North</w:t>
            </w:r>
          </w:p>
        </w:tc>
        <w:tc>
          <w:tcPr>
            <w:tcW w:w="1701" w:type="dxa"/>
            <w:shd w:val="clear" w:color="auto" w:fill="auto"/>
            <w:noWrap/>
            <w:vAlign w:val="bottom"/>
          </w:tcPr>
          <w:p w14:paraId="4537F5F5" w14:textId="422D25D8" w:rsidR="001E51B1" w:rsidRPr="001E51B1" w:rsidRDefault="001E51B1" w:rsidP="001E51B1">
            <w:pPr>
              <w:rPr>
                <w:szCs w:val="20"/>
              </w:rPr>
            </w:pPr>
            <w:r w:rsidRPr="001E51B1">
              <w:rPr>
                <w:color w:val="000000"/>
                <w:szCs w:val="20"/>
              </w:rPr>
              <w:t>Castle Point</w:t>
            </w:r>
          </w:p>
        </w:tc>
        <w:tc>
          <w:tcPr>
            <w:tcW w:w="2676" w:type="dxa"/>
            <w:shd w:val="clear" w:color="auto" w:fill="auto"/>
            <w:noWrap/>
            <w:vAlign w:val="bottom"/>
          </w:tcPr>
          <w:p w14:paraId="0EE3A0C2" w14:textId="29AB05EE" w:rsidR="001E51B1" w:rsidRPr="001E51B1" w:rsidRDefault="001E51B1" w:rsidP="001E51B1">
            <w:pPr>
              <w:jc w:val="right"/>
              <w:rPr>
                <w:rFonts w:eastAsia="Times New Roman" w:cs="Calibri"/>
                <w:szCs w:val="20"/>
                <w:lang w:eastAsia="en-GB"/>
              </w:rPr>
            </w:pPr>
            <w:r w:rsidRPr="001E51B1">
              <w:rPr>
                <w:color w:val="000000"/>
                <w:szCs w:val="20"/>
              </w:rPr>
              <w:t>8.8</w:t>
            </w:r>
          </w:p>
        </w:tc>
      </w:tr>
      <w:tr w:rsidR="001E51B1" w:rsidRPr="00192ECD" w14:paraId="05729C5C" w14:textId="77777777" w:rsidTr="001E51B1">
        <w:trPr>
          <w:trHeight w:val="300"/>
        </w:trPr>
        <w:tc>
          <w:tcPr>
            <w:tcW w:w="4531" w:type="dxa"/>
            <w:shd w:val="clear" w:color="auto" w:fill="auto"/>
            <w:noWrap/>
            <w:vAlign w:val="bottom"/>
          </w:tcPr>
          <w:p w14:paraId="4A12D7B6" w14:textId="154B70DE" w:rsidR="001E51B1" w:rsidRPr="001E51B1" w:rsidRDefault="001E51B1" w:rsidP="001E51B1">
            <w:pPr>
              <w:rPr>
                <w:szCs w:val="20"/>
              </w:rPr>
            </w:pPr>
            <w:proofErr w:type="spellStart"/>
            <w:r w:rsidRPr="001E51B1">
              <w:rPr>
                <w:color w:val="000000"/>
                <w:szCs w:val="20"/>
              </w:rPr>
              <w:t>Dovercourt</w:t>
            </w:r>
            <w:proofErr w:type="spellEnd"/>
            <w:r w:rsidRPr="001E51B1">
              <w:rPr>
                <w:color w:val="000000"/>
                <w:szCs w:val="20"/>
              </w:rPr>
              <w:t xml:space="preserve"> Vines &amp; </w:t>
            </w:r>
            <w:proofErr w:type="spellStart"/>
            <w:r w:rsidRPr="001E51B1">
              <w:rPr>
                <w:color w:val="000000"/>
                <w:szCs w:val="20"/>
              </w:rPr>
              <w:t>Parkeston</w:t>
            </w:r>
            <w:proofErr w:type="spellEnd"/>
          </w:p>
        </w:tc>
        <w:tc>
          <w:tcPr>
            <w:tcW w:w="1701" w:type="dxa"/>
            <w:shd w:val="clear" w:color="auto" w:fill="auto"/>
            <w:noWrap/>
            <w:vAlign w:val="bottom"/>
          </w:tcPr>
          <w:p w14:paraId="4FEA2D2B" w14:textId="46DBCCAB" w:rsidR="001E51B1" w:rsidRPr="001E51B1" w:rsidRDefault="001E51B1" w:rsidP="001E51B1">
            <w:pPr>
              <w:rPr>
                <w:szCs w:val="20"/>
              </w:rPr>
            </w:pPr>
            <w:r w:rsidRPr="001E51B1">
              <w:rPr>
                <w:color w:val="000000"/>
                <w:szCs w:val="20"/>
              </w:rPr>
              <w:t>Tendring</w:t>
            </w:r>
          </w:p>
        </w:tc>
        <w:tc>
          <w:tcPr>
            <w:tcW w:w="2676" w:type="dxa"/>
            <w:shd w:val="clear" w:color="auto" w:fill="auto"/>
            <w:noWrap/>
            <w:vAlign w:val="bottom"/>
          </w:tcPr>
          <w:p w14:paraId="65D3B278" w14:textId="61B8DA21" w:rsidR="001E51B1" w:rsidRPr="001E51B1" w:rsidRDefault="001E51B1" w:rsidP="001E51B1">
            <w:pPr>
              <w:jc w:val="right"/>
              <w:rPr>
                <w:rFonts w:eastAsia="Times New Roman" w:cs="Calibri"/>
                <w:szCs w:val="20"/>
                <w:lang w:eastAsia="en-GB"/>
              </w:rPr>
            </w:pPr>
            <w:r w:rsidRPr="001E51B1">
              <w:rPr>
                <w:color w:val="000000"/>
                <w:szCs w:val="20"/>
              </w:rPr>
              <w:t>9.4</w:t>
            </w:r>
          </w:p>
        </w:tc>
      </w:tr>
      <w:tr w:rsidR="001E51B1" w:rsidRPr="00192ECD" w14:paraId="2FF8BDC1" w14:textId="77777777" w:rsidTr="00AB41AF">
        <w:trPr>
          <w:trHeight w:val="300"/>
        </w:trPr>
        <w:tc>
          <w:tcPr>
            <w:tcW w:w="4531" w:type="dxa"/>
            <w:shd w:val="clear" w:color="auto" w:fill="auto"/>
            <w:noWrap/>
            <w:vAlign w:val="bottom"/>
          </w:tcPr>
          <w:p w14:paraId="18E52514" w14:textId="4AF4A8AB" w:rsidR="001E51B1" w:rsidRPr="001E51B1" w:rsidRDefault="001E51B1" w:rsidP="001E51B1">
            <w:pPr>
              <w:rPr>
                <w:szCs w:val="20"/>
              </w:rPr>
            </w:pPr>
            <w:proofErr w:type="spellStart"/>
            <w:r w:rsidRPr="001E51B1">
              <w:rPr>
                <w:color w:val="000000"/>
                <w:szCs w:val="20"/>
              </w:rPr>
              <w:t>Burrsville</w:t>
            </w:r>
            <w:proofErr w:type="spellEnd"/>
          </w:p>
        </w:tc>
        <w:tc>
          <w:tcPr>
            <w:tcW w:w="1701" w:type="dxa"/>
            <w:shd w:val="clear" w:color="auto" w:fill="auto"/>
            <w:noWrap/>
            <w:vAlign w:val="bottom"/>
          </w:tcPr>
          <w:p w14:paraId="29CC37D3" w14:textId="7F7E14D4" w:rsidR="001E51B1" w:rsidRPr="001E51B1" w:rsidRDefault="001E51B1" w:rsidP="001E51B1">
            <w:pPr>
              <w:rPr>
                <w:szCs w:val="20"/>
              </w:rPr>
            </w:pPr>
            <w:r w:rsidRPr="001E51B1">
              <w:rPr>
                <w:color w:val="000000"/>
                <w:szCs w:val="20"/>
              </w:rPr>
              <w:t>Tendring</w:t>
            </w:r>
          </w:p>
        </w:tc>
        <w:tc>
          <w:tcPr>
            <w:tcW w:w="2676" w:type="dxa"/>
            <w:shd w:val="clear" w:color="auto" w:fill="auto"/>
            <w:noWrap/>
            <w:vAlign w:val="bottom"/>
          </w:tcPr>
          <w:p w14:paraId="1A865F0A" w14:textId="709D9FDF" w:rsidR="001E51B1" w:rsidRPr="001E51B1" w:rsidRDefault="001E51B1" w:rsidP="001E51B1">
            <w:pPr>
              <w:jc w:val="right"/>
              <w:rPr>
                <w:rFonts w:eastAsia="Times New Roman" w:cs="Calibri"/>
                <w:szCs w:val="20"/>
                <w:lang w:eastAsia="en-GB"/>
              </w:rPr>
            </w:pPr>
            <w:r w:rsidRPr="001E51B1">
              <w:rPr>
                <w:color w:val="000000"/>
                <w:szCs w:val="20"/>
              </w:rPr>
              <w:t>9.5</w:t>
            </w:r>
          </w:p>
        </w:tc>
      </w:tr>
      <w:tr w:rsidR="001E51B1" w:rsidRPr="00192ECD" w14:paraId="713EEF23" w14:textId="77777777" w:rsidTr="001E51B1">
        <w:trPr>
          <w:trHeight w:val="300"/>
        </w:trPr>
        <w:tc>
          <w:tcPr>
            <w:tcW w:w="4531" w:type="dxa"/>
            <w:shd w:val="clear" w:color="auto" w:fill="0070C0"/>
            <w:noWrap/>
            <w:vAlign w:val="bottom"/>
          </w:tcPr>
          <w:p w14:paraId="749454A6" w14:textId="3C07A7B1" w:rsidR="001E51B1" w:rsidRPr="001E51B1" w:rsidRDefault="001E51B1" w:rsidP="001E51B1">
            <w:pPr>
              <w:rPr>
                <w:color w:val="FFFFFF" w:themeColor="background1"/>
                <w:szCs w:val="20"/>
              </w:rPr>
            </w:pPr>
            <w:r w:rsidRPr="001E51B1">
              <w:rPr>
                <w:color w:val="FFFFFF" w:themeColor="background1"/>
                <w:szCs w:val="20"/>
              </w:rPr>
              <w:t>St John's</w:t>
            </w:r>
          </w:p>
        </w:tc>
        <w:tc>
          <w:tcPr>
            <w:tcW w:w="1701" w:type="dxa"/>
            <w:shd w:val="clear" w:color="auto" w:fill="0070C0"/>
            <w:noWrap/>
            <w:vAlign w:val="bottom"/>
          </w:tcPr>
          <w:p w14:paraId="798065B4" w14:textId="32409200" w:rsidR="001E51B1" w:rsidRPr="001E51B1" w:rsidRDefault="001E51B1" w:rsidP="001E51B1">
            <w:pPr>
              <w:rPr>
                <w:color w:val="FFFFFF" w:themeColor="background1"/>
                <w:szCs w:val="20"/>
              </w:rPr>
            </w:pPr>
            <w:r w:rsidRPr="001E51B1">
              <w:rPr>
                <w:color w:val="FFFFFF" w:themeColor="background1"/>
                <w:szCs w:val="20"/>
              </w:rPr>
              <w:t>Tendring</w:t>
            </w:r>
          </w:p>
        </w:tc>
        <w:tc>
          <w:tcPr>
            <w:tcW w:w="2676" w:type="dxa"/>
            <w:shd w:val="clear" w:color="auto" w:fill="0070C0"/>
            <w:noWrap/>
            <w:vAlign w:val="bottom"/>
          </w:tcPr>
          <w:p w14:paraId="4DCA9EE7" w14:textId="4774E2B2"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10.2</w:t>
            </w:r>
          </w:p>
        </w:tc>
      </w:tr>
      <w:tr w:rsidR="001E51B1" w:rsidRPr="00192ECD" w14:paraId="07706979" w14:textId="77777777" w:rsidTr="00AB41AF">
        <w:trPr>
          <w:trHeight w:val="300"/>
        </w:trPr>
        <w:tc>
          <w:tcPr>
            <w:tcW w:w="4531" w:type="dxa"/>
            <w:shd w:val="clear" w:color="auto" w:fill="auto"/>
            <w:noWrap/>
            <w:vAlign w:val="bottom"/>
          </w:tcPr>
          <w:p w14:paraId="16690F26" w14:textId="64CFA92E" w:rsidR="001E51B1" w:rsidRPr="001E51B1" w:rsidRDefault="001E51B1" w:rsidP="001E51B1">
            <w:pPr>
              <w:rPr>
                <w:szCs w:val="20"/>
              </w:rPr>
            </w:pPr>
            <w:r w:rsidRPr="001E51B1">
              <w:rPr>
                <w:color w:val="000000"/>
                <w:szCs w:val="20"/>
              </w:rPr>
              <w:t>Canvey Island East</w:t>
            </w:r>
          </w:p>
        </w:tc>
        <w:tc>
          <w:tcPr>
            <w:tcW w:w="1701" w:type="dxa"/>
            <w:shd w:val="clear" w:color="auto" w:fill="auto"/>
            <w:noWrap/>
            <w:vAlign w:val="bottom"/>
          </w:tcPr>
          <w:p w14:paraId="5776DAFA" w14:textId="72EA297D" w:rsidR="001E51B1" w:rsidRPr="001E51B1" w:rsidRDefault="001E51B1" w:rsidP="001E51B1">
            <w:pPr>
              <w:rPr>
                <w:szCs w:val="20"/>
              </w:rPr>
            </w:pPr>
            <w:r w:rsidRPr="001E51B1">
              <w:rPr>
                <w:color w:val="000000"/>
                <w:szCs w:val="20"/>
              </w:rPr>
              <w:t>Castle Point</w:t>
            </w:r>
          </w:p>
        </w:tc>
        <w:tc>
          <w:tcPr>
            <w:tcW w:w="2676" w:type="dxa"/>
            <w:shd w:val="clear" w:color="auto" w:fill="auto"/>
            <w:noWrap/>
            <w:vAlign w:val="bottom"/>
          </w:tcPr>
          <w:p w14:paraId="05BB8F2D" w14:textId="5B555725" w:rsidR="001E51B1" w:rsidRPr="001E51B1" w:rsidRDefault="001E51B1" w:rsidP="001E51B1">
            <w:pPr>
              <w:jc w:val="right"/>
              <w:rPr>
                <w:rFonts w:eastAsia="Times New Roman" w:cs="Calibri"/>
                <w:szCs w:val="20"/>
                <w:lang w:eastAsia="en-GB"/>
              </w:rPr>
            </w:pPr>
            <w:r w:rsidRPr="001E51B1">
              <w:rPr>
                <w:color w:val="000000"/>
                <w:szCs w:val="20"/>
              </w:rPr>
              <w:t>10.5</w:t>
            </w:r>
          </w:p>
        </w:tc>
      </w:tr>
      <w:tr w:rsidR="001E51B1" w:rsidRPr="00192ECD" w14:paraId="527E8CB5" w14:textId="77777777" w:rsidTr="001E51B1">
        <w:trPr>
          <w:trHeight w:val="300"/>
        </w:trPr>
        <w:tc>
          <w:tcPr>
            <w:tcW w:w="4531" w:type="dxa"/>
            <w:shd w:val="clear" w:color="auto" w:fill="auto"/>
            <w:noWrap/>
            <w:vAlign w:val="bottom"/>
          </w:tcPr>
          <w:p w14:paraId="7E8AFC4D" w14:textId="59A11A68" w:rsidR="001E51B1" w:rsidRPr="001E51B1" w:rsidRDefault="001E51B1" w:rsidP="001E51B1">
            <w:pPr>
              <w:rPr>
                <w:szCs w:val="20"/>
              </w:rPr>
            </w:pPr>
            <w:r w:rsidRPr="001E51B1">
              <w:rPr>
                <w:color w:val="000000"/>
                <w:szCs w:val="20"/>
              </w:rPr>
              <w:t>Canvey Island West</w:t>
            </w:r>
          </w:p>
        </w:tc>
        <w:tc>
          <w:tcPr>
            <w:tcW w:w="1701" w:type="dxa"/>
            <w:shd w:val="clear" w:color="auto" w:fill="auto"/>
            <w:noWrap/>
            <w:vAlign w:val="bottom"/>
          </w:tcPr>
          <w:p w14:paraId="34FE22C4" w14:textId="6334FBD6" w:rsidR="001E51B1" w:rsidRPr="001E51B1" w:rsidRDefault="001E51B1" w:rsidP="001E51B1">
            <w:pPr>
              <w:rPr>
                <w:szCs w:val="20"/>
              </w:rPr>
            </w:pPr>
            <w:r w:rsidRPr="001E51B1">
              <w:rPr>
                <w:color w:val="000000"/>
                <w:szCs w:val="20"/>
              </w:rPr>
              <w:t>Castle Point</w:t>
            </w:r>
          </w:p>
        </w:tc>
        <w:tc>
          <w:tcPr>
            <w:tcW w:w="2676" w:type="dxa"/>
            <w:shd w:val="clear" w:color="auto" w:fill="auto"/>
            <w:noWrap/>
            <w:vAlign w:val="bottom"/>
          </w:tcPr>
          <w:p w14:paraId="1488785F" w14:textId="4D2E6E40" w:rsidR="001E51B1" w:rsidRPr="001E51B1" w:rsidRDefault="001E51B1" w:rsidP="001E51B1">
            <w:pPr>
              <w:jc w:val="right"/>
              <w:rPr>
                <w:rFonts w:eastAsia="Times New Roman" w:cs="Calibri"/>
                <w:szCs w:val="20"/>
                <w:lang w:eastAsia="en-GB"/>
              </w:rPr>
            </w:pPr>
            <w:r w:rsidRPr="001E51B1">
              <w:rPr>
                <w:color w:val="000000"/>
                <w:szCs w:val="20"/>
              </w:rPr>
              <w:t>10.6</w:t>
            </w:r>
          </w:p>
        </w:tc>
      </w:tr>
      <w:tr w:rsidR="001E51B1" w:rsidRPr="00192ECD" w14:paraId="3A0D1F7F" w14:textId="77777777" w:rsidTr="001E51B1">
        <w:trPr>
          <w:trHeight w:val="300"/>
        </w:trPr>
        <w:tc>
          <w:tcPr>
            <w:tcW w:w="4531" w:type="dxa"/>
            <w:shd w:val="clear" w:color="auto" w:fill="auto"/>
            <w:noWrap/>
            <w:vAlign w:val="bottom"/>
          </w:tcPr>
          <w:p w14:paraId="5BE8DE6F" w14:textId="6F2CD60B" w:rsidR="001E51B1" w:rsidRPr="001E51B1" w:rsidRDefault="001E51B1" w:rsidP="001E51B1">
            <w:pPr>
              <w:rPr>
                <w:szCs w:val="20"/>
              </w:rPr>
            </w:pPr>
            <w:r w:rsidRPr="001E51B1">
              <w:rPr>
                <w:color w:val="000000"/>
                <w:szCs w:val="20"/>
              </w:rPr>
              <w:t>Canvey Island South</w:t>
            </w:r>
          </w:p>
        </w:tc>
        <w:tc>
          <w:tcPr>
            <w:tcW w:w="1701" w:type="dxa"/>
            <w:shd w:val="clear" w:color="auto" w:fill="auto"/>
            <w:noWrap/>
            <w:vAlign w:val="bottom"/>
          </w:tcPr>
          <w:p w14:paraId="0FAA2AA2" w14:textId="29F50483" w:rsidR="001E51B1" w:rsidRPr="001E51B1" w:rsidRDefault="001E51B1" w:rsidP="001E51B1">
            <w:pPr>
              <w:rPr>
                <w:szCs w:val="20"/>
              </w:rPr>
            </w:pPr>
            <w:r w:rsidRPr="001E51B1">
              <w:rPr>
                <w:color w:val="000000"/>
                <w:szCs w:val="20"/>
              </w:rPr>
              <w:t>Castle Point</w:t>
            </w:r>
          </w:p>
        </w:tc>
        <w:tc>
          <w:tcPr>
            <w:tcW w:w="2676" w:type="dxa"/>
            <w:shd w:val="clear" w:color="auto" w:fill="auto"/>
            <w:noWrap/>
            <w:vAlign w:val="bottom"/>
          </w:tcPr>
          <w:p w14:paraId="0E324852" w14:textId="37FE422B" w:rsidR="001E51B1" w:rsidRPr="001E51B1" w:rsidRDefault="001E51B1" w:rsidP="001E51B1">
            <w:pPr>
              <w:jc w:val="right"/>
              <w:rPr>
                <w:rFonts w:eastAsia="Times New Roman" w:cs="Calibri"/>
                <w:szCs w:val="20"/>
                <w:lang w:eastAsia="en-GB"/>
              </w:rPr>
            </w:pPr>
            <w:r w:rsidRPr="001E51B1">
              <w:rPr>
                <w:color w:val="000000"/>
                <w:szCs w:val="20"/>
              </w:rPr>
              <w:t>11.0</w:t>
            </w:r>
          </w:p>
        </w:tc>
      </w:tr>
      <w:tr w:rsidR="001E51B1" w:rsidRPr="00192ECD" w14:paraId="7B2D4FCC" w14:textId="77777777" w:rsidTr="00AB41AF">
        <w:trPr>
          <w:trHeight w:val="300"/>
        </w:trPr>
        <w:tc>
          <w:tcPr>
            <w:tcW w:w="4531" w:type="dxa"/>
            <w:shd w:val="clear" w:color="auto" w:fill="auto"/>
            <w:noWrap/>
            <w:vAlign w:val="bottom"/>
          </w:tcPr>
          <w:p w14:paraId="247E1D56" w14:textId="174F99DB" w:rsidR="001E51B1" w:rsidRPr="001E51B1" w:rsidRDefault="001E51B1" w:rsidP="001E51B1">
            <w:pPr>
              <w:rPr>
                <w:szCs w:val="20"/>
              </w:rPr>
            </w:pPr>
            <w:proofErr w:type="spellStart"/>
            <w:r w:rsidRPr="001E51B1">
              <w:rPr>
                <w:color w:val="000000"/>
                <w:szCs w:val="20"/>
              </w:rPr>
              <w:t>Cann</w:t>
            </w:r>
            <w:proofErr w:type="spellEnd"/>
            <w:r w:rsidRPr="001E51B1">
              <w:rPr>
                <w:color w:val="000000"/>
                <w:szCs w:val="20"/>
              </w:rPr>
              <w:t xml:space="preserve"> Hall</w:t>
            </w:r>
          </w:p>
        </w:tc>
        <w:tc>
          <w:tcPr>
            <w:tcW w:w="1701" w:type="dxa"/>
            <w:shd w:val="clear" w:color="auto" w:fill="auto"/>
            <w:noWrap/>
            <w:vAlign w:val="bottom"/>
          </w:tcPr>
          <w:p w14:paraId="153829B0" w14:textId="746AC135" w:rsidR="001E51B1" w:rsidRPr="001E51B1" w:rsidRDefault="001E51B1" w:rsidP="001E51B1">
            <w:pPr>
              <w:rPr>
                <w:szCs w:val="20"/>
              </w:rPr>
            </w:pPr>
            <w:r w:rsidRPr="001E51B1">
              <w:rPr>
                <w:color w:val="000000"/>
                <w:szCs w:val="20"/>
              </w:rPr>
              <w:t>Tendring</w:t>
            </w:r>
          </w:p>
        </w:tc>
        <w:tc>
          <w:tcPr>
            <w:tcW w:w="2676" w:type="dxa"/>
            <w:shd w:val="clear" w:color="auto" w:fill="auto"/>
            <w:noWrap/>
            <w:vAlign w:val="bottom"/>
          </w:tcPr>
          <w:p w14:paraId="26A3F651" w14:textId="38F7D90A" w:rsidR="001E51B1" w:rsidRPr="001E51B1" w:rsidRDefault="001E51B1" w:rsidP="001E51B1">
            <w:pPr>
              <w:jc w:val="right"/>
              <w:rPr>
                <w:rFonts w:eastAsia="Times New Roman" w:cs="Calibri"/>
                <w:szCs w:val="20"/>
                <w:lang w:eastAsia="en-GB"/>
              </w:rPr>
            </w:pPr>
            <w:r w:rsidRPr="001E51B1">
              <w:rPr>
                <w:color w:val="000000"/>
                <w:szCs w:val="20"/>
              </w:rPr>
              <w:t>11.0</w:t>
            </w:r>
          </w:p>
        </w:tc>
      </w:tr>
      <w:tr w:rsidR="001E51B1" w:rsidRPr="00192ECD" w14:paraId="52B9DFA6" w14:textId="77777777" w:rsidTr="00AB41AF">
        <w:trPr>
          <w:trHeight w:val="300"/>
        </w:trPr>
        <w:tc>
          <w:tcPr>
            <w:tcW w:w="4531" w:type="dxa"/>
            <w:shd w:val="clear" w:color="auto" w:fill="auto"/>
            <w:noWrap/>
            <w:vAlign w:val="bottom"/>
          </w:tcPr>
          <w:p w14:paraId="145B452A" w14:textId="421F6F16" w:rsidR="001E51B1" w:rsidRPr="001E51B1" w:rsidRDefault="001E51B1" w:rsidP="001E51B1">
            <w:pPr>
              <w:rPr>
                <w:szCs w:val="20"/>
              </w:rPr>
            </w:pPr>
            <w:proofErr w:type="spellStart"/>
            <w:r w:rsidRPr="001E51B1">
              <w:rPr>
                <w:color w:val="000000"/>
                <w:szCs w:val="20"/>
              </w:rPr>
              <w:t>Fryerns</w:t>
            </w:r>
            <w:proofErr w:type="spellEnd"/>
          </w:p>
        </w:tc>
        <w:tc>
          <w:tcPr>
            <w:tcW w:w="1701" w:type="dxa"/>
            <w:shd w:val="clear" w:color="auto" w:fill="auto"/>
            <w:noWrap/>
            <w:vAlign w:val="bottom"/>
          </w:tcPr>
          <w:p w14:paraId="0C792012" w14:textId="44380B6D" w:rsidR="001E51B1" w:rsidRPr="001E51B1" w:rsidRDefault="001E51B1" w:rsidP="001E51B1">
            <w:pPr>
              <w:rPr>
                <w:szCs w:val="20"/>
              </w:rPr>
            </w:pPr>
            <w:r w:rsidRPr="001E51B1">
              <w:rPr>
                <w:color w:val="000000"/>
                <w:szCs w:val="20"/>
              </w:rPr>
              <w:t>Basildon</w:t>
            </w:r>
          </w:p>
        </w:tc>
        <w:tc>
          <w:tcPr>
            <w:tcW w:w="2676" w:type="dxa"/>
            <w:shd w:val="clear" w:color="auto" w:fill="auto"/>
            <w:noWrap/>
            <w:vAlign w:val="bottom"/>
          </w:tcPr>
          <w:p w14:paraId="1DD014C7" w14:textId="2E9B9B25" w:rsidR="001E51B1" w:rsidRPr="001E51B1" w:rsidRDefault="001E51B1" w:rsidP="001E51B1">
            <w:pPr>
              <w:jc w:val="right"/>
              <w:rPr>
                <w:rFonts w:eastAsia="Times New Roman" w:cs="Calibri"/>
                <w:szCs w:val="20"/>
                <w:lang w:eastAsia="en-GB"/>
              </w:rPr>
            </w:pPr>
            <w:r w:rsidRPr="001E51B1">
              <w:rPr>
                <w:color w:val="000000"/>
                <w:szCs w:val="20"/>
              </w:rPr>
              <w:t>11.5</w:t>
            </w:r>
          </w:p>
        </w:tc>
      </w:tr>
      <w:tr w:rsidR="001E51B1" w:rsidRPr="00192ECD" w14:paraId="0CC5F348" w14:textId="77777777" w:rsidTr="001E51B1">
        <w:trPr>
          <w:trHeight w:val="300"/>
        </w:trPr>
        <w:tc>
          <w:tcPr>
            <w:tcW w:w="4531" w:type="dxa"/>
            <w:shd w:val="clear" w:color="auto" w:fill="0070C0"/>
            <w:noWrap/>
            <w:vAlign w:val="bottom"/>
          </w:tcPr>
          <w:p w14:paraId="3FC5B67A" w14:textId="6C5BCCAE" w:rsidR="001E51B1" w:rsidRPr="001E51B1" w:rsidRDefault="001E51B1" w:rsidP="001E51B1">
            <w:pPr>
              <w:rPr>
                <w:color w:val="FFFFFF" w:themeColor="background1"/>
                <w:szCs w:val="20"/>
              </w:rPr>
            </w:pPr>
            <w:r w:rsidRPr="001E51B1">
              <w:rPr>
                <w:color w:val="FFFFFF" w:themeColor="background1"/>
                <w:szCs w:val="20"/>
              </w:rPr>
              <w:t>Pitsea North West</w:t>
            </w:r>
          </w:p>
        </w:tc>
        <w:tc>
          <w:tcPr>
            <w:tcW w:w="1701" w:type="dxa"/>
            <w:shd w:val="clear" w:color="auto" w:fill="0070C0"/>
            <w:noWrap/>
            <w:vAlign w:val="bottom"/>
          </w:tcPr>
          <w:p w14:paraId="1EF631A0" w14:textId="50040788" w:rsidR="001E51B1" w:rsidRPr="001E51B1" w:rsidRDefault="001E51B1" w:rsidP="001E51B1">
            <w:pPr>
              <w:rPr>
                <w:color w:val="FFFFFF" w:themeColor="background1"/>
                <w:szCs w:val="20"/>
              </w:rPr>
            </w:pPr>
            <w:r w:rsidRPr="001E51B1">
              <w:rPr>
                <w:color w:val="FFFFFF" w:themeColor="background1"/>
                <w:szCs w:val="20"/>
              </w:rPr>
              <w:t>Basildon</w:t>
            </w:r>
          </w:p>
        </w:tc>
        <w:tc>
          <w:tcPr>
            <w:tcW w:w="2676" w:type="dxa"/>
            <w:shd w:val="clear" w:color="auto" w:fill="0070C0"/>
            <w:noWrap/>
            <w:vAlign w:val="bottom"/>
          </w:tcPr>
          <w:p w14:paraId="65DA8FA7" w14:textId="4A20C2AC"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12.0</w:t>
            </w:r>
          </w:p>
        </w:tc>
      </w:tr>
      <w:tr w:rsidR="001E51B1" w:rsidRPr="00192ECD" w14:paraId="0193FE4A" w14:textId="77777777" w:rsidTr="00AB41AF">
        <w:trPr>
          <w:trHeight w:val="300"/>
        </w:trPr>
        <w:tc>
          <w:tcPr>
            <w:tcW w:w="4531" w:type="dxa"/>
            <w:shd w:val="clear" w:color="auto" w:fill="auto"/>
            <w:noWrap/>
            <w:vAlign w:val="bottom"/>
          </w:tcPr>
          <w:p w14:paraId="2112BD11" w14:textId="6AD1C9F6" w:rsidR="001E51B1" w:rsidRPr="001E51B1" w:rsidRDefault="001E51B1" w:rsidP="001E51B1">
            <w:pPr>
              <w:rPr>
                <w:szCs w:val="20"/>
              </w:rPr>
            </w:pPr>
            <w:r w:rsidRPr="001E51B1">
              <w:rPr>
                <w:color w:val="000000"/>
                <w:szCs w:val="20"/>
              </w:rPr>
              <w:t>Canvey Island Winter Gardens</w:t>
            </w:r>
          </w:p>
        </w:tc>
        <w:tc>
          <w:tcPr>
            <w:tcW w:w="1701" w:type="dxa"/>
            <w:shd w:val="clear" w:color="auto" w:fill="auto"/>
            <w:noWrap/>
            <w:vAlign w:val="bottom"/>
          </w:tcPr>
          <w:p w14:paraId="66EBF995" w14:textId="17584D2D" w:rsidR="001E51B1" w:rsidRPr="001E51B1" w:rsidRDefault="001E51B1" w:rsidP="001E51B1">
            <w:pPr>
              <w:rPr>
                <w:szCs w:val="20"/>
              </w:rPr>
            </w:pPr>
            <w:r w:rsidRPr="001E51B1">
              <w:rPr>
                <w:color w:val="000000"/>
                <w:szCs w:val="20"/>
              </w:rPr>
              <w:t>Castle Point</w:t>
            </w:r>
          </w:p>
        </w:tc>
        <w:tc>
          <w:tcPr>
            <w:tcW w:w="2676" w:type="dxa"/>
            <w:shd w:val="clear" w:color="auto" w:fill="auto"/>
            <w:noWrap/>
            <w:vAlign w:val="bottom"/>
          </w:tcPr>
          <w:p w14:paraId="05D2C31E" w14:textId="56D91C8B" w:rsidR="001E51B1" w:rsidRPr="001E51B1" w:rsidRDefault="001E51B1" w:rsidP="001E51B1">
            <w:pPr>
              <w:jc w:val="right"/>
              <w:rPr>
                <w:rFonts w:eastAsia="Times New Roman" w:cs="Calibri"/>
                <w:szCs w:val="20"/>
                <w:lang w:eastAsia="en-GB"/>
              </w:rPr>
            </w:pPr>
            <w:r w:rsidRPr="001E51B1">
              <w:rPr>
                <w:color w:val="000000"/>
                <w:szCs w:val="20"/>
              </w:rPr>
              <w:t>12.1</w:t>
            </w:r>
          </w:p>
        </w:tc>
      </w:tr>
      <w:tr w:rsidR="001E51B1" w:rsidRPr="00192ECD" w14:paraId="02B24FA7" w14:textId="77777777" w:rsidTr="001E51B1">
        <w:trPr>
          <w:trHeight w:val="300"/>
        </w:trPr>
        <w:tc>
          <w:tcPr>
            <w:tcW w:w="4531" w:type="dxa"/>
            <w:shd w:val="clear" w:color="auto" w:fill="0070C0"/>
            <w:noWrap/>
            <w:vAlign w:val="bottom"/>
          </w:tcPr>
          <w:p w14:paraId="258F0CB0" w14:textId="4BE8158F" w:rsidR="001E51B1" w:rsidRPr="001E51B1" w:rsidRDefault="001E51B1" w:rsidP="001E51B1">
            <w:pPr>
              <w:rPr>
                <w:color w:val="FFFFFF" w:themeColor="background1"/>
                <w:szCs w:val="20"/>
              </w:rPr>
            </w:pPr>
            <w:proofErr w:type="spellStart"/>
            <w:r w:rsidRPr="001E51B1">
              <w:rPr>
                <w:color w:val="FFFFFF" w:themeColor="background1"/>
                <w:szCs w:val="20"/>
              </w:rPr>
              <w:t>Vange</w:t>
            </w:r>
            <w:proofErr w:type="spellEnd"/>
          </w:p>
        </w:tc>
        <w:tc>
          <w:tcPr>
            <w:tcW w:w="1701" w:type="dxa"/>
            <w:shd w:val="clear" w:color="auto" w:fill="0070C0"/>
            <w:noWrap/>
            <w:vAlign w:val="bottom"/>
          </w:tcPr>
          <w:p w14:paraId="7BE6916E" w14:textId="270254A7" w:rsidR="001E51B1" w:rsidRPr="001E51B1" w:rsidRDefault="001E51B1" w:rsidP="001E51B1">
            <w:pPr>
              <w:rPr>
                <w:color w:val="FFFFFF" w:themeColor="background1"/>
                <w:szCs w:val="20"/>
              </w:rPr>
            </w:pPr>
            <w:r w:rsidRPr="001E51B1">
              <w:rPr>
                <w:color w:val="FFFFFF" w:themeColor="background1"/>
                <w:szCs w:val="20"/>
              </w:rPr>
              <w:t>Basildon</w:t>
            </w:r>
          </w:p>
        </w:tc>
        <w:tc>
          <w:tcPr>
            <w:tcW w:w="2676" w:type="dxa"/>
            <w:shd w:val="clear" w:color="auto" w:fill="0070C0"/>
            <w:noWrap/>
            <w:vAlign w:val="bottom"/>
          </w:tcPr>
          <w:p w14:paraId="576617F7" w14:textId="580CFBB8"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12.1</w:t>
            </w:r>
          </w:p>
        </w:tc>
      </w:tr>
      <w:tr w:rsidR="001E51B1" w:rsidRPr="00192ECD" w14:paraId="10CCD1D8" w14:textId="77777777" w:rsidTr="00AB41AF">
        <w:trPr>
          <w:trHeight w:val="300"/>
        </w:trPr>
        <w:tc>
          <w:tcPr>
            <w:tcW w:w="4531" w:type="dxa"/>
            <w:shd w:val="clear" w:color="auto" w:fill="auto"/>
            <w:noWrap/>
            <w:vAlign w:val="bottom"/>
          </w:tcPr>
          <w:p w14:paraId="0DA662E2" w14:textId="1B9045B0" w:rsidR="001E51B1" w:rsidRPr="001E51B1" w:rsidRDefault="001E51B1" w:rsidP="001E51B1">
            <w:pPr>
              <w:rPr>
                <w:szCs w:val="20"/>
              </w:rPr>
            </w:pPr>
            <w:r w:rsidRPr="001E51B1">
              <w:rPr>
                <w:color w:val="000000"/>
                <w:szCs w:val="20"/>
              </w:rPr>
              <w:t>St Bartholomew's</w:t>
            </w:r>
          </w:p>
        </w:tc>
        <w:tc>
          <w:tcPr>
            <w:tcW w:w="1701" w:type="dxa"/>
            <w:shd w:val="clear" w:color="auto" w:fill="auto"/>
            <w:noWrap/>
            <w:vAlign w:val="bottom"/>
          </w:tcPr>
          <w:p w14:paraId="432C27D5" w14:textId="67212AA3" w:rsidR="001E51B1" w:rsidRPr="001E51B1" w:rsidRDefault="001E51B1" w:rsidP="001E51B1">
            <w:pPr>
              <w:rPr>
                <w:szCs w:val="20"/>
              </w:rPr>
            </w:pPr>
            <w:r w:rsidRPr="001E51B1">
              <w:rPr>
                <w:color w:val="000000"/>
                <w:szCs w:val="20"/>
              </w:rPr>
              <w:t>Tendring</w:t>
            </w:r>
          </w:p>
        </w:tc>
        <w:tc>
          <w:tcPr>
            <w:tcW w:w="2676" w:type="dxa"/>
            <w:shd w:val="clear" w:color="auto" w:fill="auto"/>
            <w:noWrap/>
            <w:vAlign w:val="bottom"/>
          </w:tcPr>
          <w:p w14:paraId="1000FBE9" w14:textId="75FF5300" w:rsidR="001E51B1" w:rsidRPr="001E51B1" w:rsidRDefault="001E51B1" w:rsidP="001E51B1">
            <w:pPr>
              <w:jc w:val="right"/>
              <w:rPr>
                <w:rFonts w:eastAsia="Times New Roman" w:cs="Calibri"/>
                <w:szCs w:val="20"/>
                <w:lang w:eastAsia="en-GB"/>
              </w:rPr>
            </w:pPr>
            <w:r w:rsidRPr="001E51B1">
              <w:rPr>
                <w:color w:val="000000"/>
                <w:szCs w:val="20"/>
              </w:rPr>
              <w:t>12.3</w:t>
            </w:r>
          </w:p>
        </w:tc>
      </w:tr>
      <w:tr w:rsidR="001E51B1" w:rsidRPr="00192ECD" w14:paraId="7B043E41" w14:textId="77777777" w:rsidTr="001E51B1">
        <w:trPr>
          <w:trHeight w:val="300"/>
        </w:trPr>
        <w:tc>
          <w:tcPr>
            <w:tcW w:w="4531" w:type="dxa"/>
            <w:shd w:val="clear" w:color="auto" w:fill="auto"/>
            <w:noWrap/>
            <w:vAlign w:val="bottom"/>
          </w:tcPr>
          <w:p w14:paraId="1C9B07CA" w14:textId="4B5ACDD1" w:rsidR="001E51B1" w:rsidRPr="001E51B1" w:rsidRDefault="001E51B1" w:rsidP="001E51B1">
            <w:pPr>
              <w:rPr>
                <w:szCs w:val="20"/>
              </w:rPr>
            </w:pPr>
            <w:r w:rsidRPr="001E51B1">
              <w:rPr>
                <w:color w:val="000000"/>
                <w:szCs w:val="20"/>
              </w:rPr>
              <w:t>Homelands</w:t>
            </w:r>
          </w:p>
        </w:tc>
        <w:tc>
          <w:tcPr>
            <w:tcW w:w="1701" w:type="dxa"/>
            <w:shd w:val="clear" w:color="auto" w:fill="auto"/>
            <w:noWrap/>
            <w:vAlign w:val="bottom"/>
          </w:tcPr>
          <w:p w14:paraId="02868C54" w14:textId="31696BC9" w:rsidR="001E51B1" w:rsidRPr="001E51B1" w:rsidRDefault="001E51B1" w:rsidP="001E51B1">
            <w:pPr>
              <w:rPr>
                <w:szCs w:val="20"/>
              </w:rPr>
            </w:pPr>
            <w:r w:rsidRPr="001E51B1">
              <w:rPr>
                <w:color w:val="000000"/>
                <w:szCs w:val="20"/>
              </w:rPr>
              <w:t>Tendring</w:t>
            </w:r>
          </w:p>
        </w:tc>
        <w:tc>
          <w:tcPr>
            <w:tcW w:w="2676" w:type="dxa"/>
            <w:shd w:val="clear" w:color="auto" w:fill="auto"/>
            <w:noWrap/>
            <w:vAlign w:val="bottom"/>
          </w:tcPr>
          <w:p w14:paraId="7EC231FA" w14:textId="6F648972" w:rsidR="001E51B1" w:rsidRPr="001E51B1" w:rsidRDefault="001E51B1" w:rsidP="001E51B1">
            <w:pPr>
              <w:jc w:val="right"/>
              <w:rPr>
                <w:rFonts w:eastAsia="Times New Roman" w:cs="Calibri"/>
                <w:szCs w:val="20"/>
                <w:lang w:eastAsia="en-GB"/>
              </w:rPr>
            </w:pPr>
            <w:r w:rsidRPr="001E51B1">
              <w:rPr>
                <w:color w:val="000000"/>
                <w:szCs w:val="20"/>
              </w:rPr>
              <w:t>12.3</w:t>
            </w:r>
          </w:p>
        </w:tc>
      </w:tr>
      <w:tr w:rsidR="001E51B1" w:rsidRPr="00192ECD" w14:paraId="41A74266" w14:textId="77777777" w:rsidTr="001E51B1">
        <w:trPr>
          <w:trHeight w:val="300"/>
        </w:trPr>
        <w:tc>
          <w:tcPr>
            <w:tcW w:w="4531" w:type="dxa"/>
            <w:shd w:val="clear" w:color="auto" w:fill="0070C0"/>
            <w:noWrap/>
            <w:vAlign w:val="bottom"/>
          </w:tcPr>
          <w:p w14:paraId="6CD52CE3" w14:textId="50385AC4" w:rsidR="001E51B1" w:rsidRPr="001E51B1" w:rsidRDefault="001E51B1" w:rsidP="001E51B1">
            <w:pPr>
              <w:rPr>
                <w:color w:val="FFFFFF" w:themeColor="background1"/>
                <w:szCs w:val="20"/>
              </w:rPr>
            </w:pPr>
            <w:r w:rsidRPr="001E51B1">
              <w:rPr>
                <w:color w:val="FFFFFF" w:themeColor="background1"/>
                <w:szCs w:val="20"/>
              </w:rPr>
              <w:t>St James</w:t>
            </w:r>
          </w:p>
        </w:tc>
        <w:tc>
          <w:tcPr>
            <w:tcW w:w="1701" w:type="dxa"/>
            <w:shd w:val="clear" w:color="auto" w:fill="0070C0"/>
            <w:noWrap/>
            <w:vAlign w:val="bottom"/>
          </w:tcPr>
          <w:p w14:paraId="4927E23F" w14:textId="7989224E" w:rsidR="001E51B1" w:rsidRPr="001E51B1" w:rsidRDefault="001E51B1" w:rsidP="001E51B1">
            <w:pPr>
              <w:rPr>
                <w:color w:val="FFFFFF" w:themeColor="background1"/>
                <w:szCs w:val="20"/>
              </w:rPr>
            </w:pPr>
            <w:r w:rsidRPr="001E51B1">
              <w:rPr>
                <w:color w:val="FFFFFF" w:themeColor="background1"/>
                <w:szCs w:val="20"/>
              </w:rPr>
              <w:t>Tendring</w:t>
            </w:r>
          </w:p>
        </w:tc>
        <w:tc>
          <w:tcPr>
            <w:tcW w:w="2676" w:type="dxa"/>
            <w:shd w:val="clear" w:color="auto" w:fill="0070C0"/>
            <w:noWrap/>
            <w:vAlign w:val="bottom"/>
          </w:tcPr>
          <w:p w14:paraId="1A1F6660" w14:textId="5064A6AB"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12.6</w:t>
            </w:r>
          </w:p>
        </w:tc>
      </w:tr>
      <w:tr w:rsidR="001E51B1" w:rsidRPr="00192ECD" w14:paraId="039A8D25" w14:textId="77777777" w:rsidTr="001E51B1">
        <w:trPr>
          <w:trHeight w:val="300"/>
        </w:trPr>
        <w:tc>
          <w:tcPr>
            <w:tcW w:w="4531" w:type="dxa"/>
            <w:shd w:val="clear" w:color="auto" w:fill="0070C0"/>
            <w:noWrap/>
            <w:vAlign w:val="bottom"/>
          </w:tcPr>
          <w:p w14:paraId="48AB0E82" w14:textId="240538A5" w:rsidR="001E51B1" w:rsidRPr="001E51B1" w:rsidRDefault="001E51B1" w:rsidP="001E51B1">
            <w:pPr>
              <w:rPr>
                <w:color w:val="FFFFFF" w:themeColor="background1"/>
                <w:szCs w:val="20"/>
              </w:rPr>
            </w:pPr>
            <w:r w:rsidRPr="001E51B1">
              <w:rPr>
                <w:color w:val="FFFFFF" w:themeColor="background1"/>
                <w:szCs w:val="20"/>
              </w:rPr>
              <w:t>Pitsea South East</w:t>
            </w:r>
          </w:p>
        </w:tc>
        <w:tc>
          <w:tcPr>
            <w:tcW w:w="1701" w:type="dxa"/>
            <w:shd w:val="clear" w:color="auto" w:fill="0070C0"/>
            <w:noWrap/>
            <w:vAlign w:val="bottom"/>
          </w:tcPr>
          <w:p w14:paraId="655867B1" w14:textId="70C4867F" w:rsidR="001E51B1" w:rsidRPr="001E51B1" w:rsidRDefault="001E51B1" w:rsidP="001E51B1">
            <w:pPr>
              <w:rPr>
                <w:color w:val="FFFFFF" w:themeColor="background1"/>
                <w:szCs w:val="20"/>
              </w:rPr>
            </w:pPr>
            <w:r w:rsidRPr="001E51B1">
              <w:rPr>
                <w:color w:val="FFFFFF" w:themeColor="background1"/>
                <w:szCs w:val="20"/>
              </w:rPr>
              <w:t>Basildon</w:t>
            </w:r>
          </w:p>
        </w:tc>
        <w:tc>
          <w:tcPr>
            <w:tcW w:w="2676" w:type="dxa"/>
            <w:shd w:val="clear" w:color="auto" w:fill="0070C0"/>
            <w:noWrap/>
            <w:vAlign w:val="bottom"/>
          </w:tcPr>
          <w:p w14:paraId="0B8EE2AC" w14:textId="754E7EB1" w:rsidR="001E51B1" w:rsidRPr="001E51B1" w:rsidRDefault="001E51B1" w:rsidP="001E51B1">
            <w:pPr>
              <w:jc w:val="right"/>
              <w:rPr>
                <w:rFonts w:eastAsia="Times New Roman" w:cs="Calibri"/>
                <w:color w:val="FFFFFF" w:themeColor="background1"/>
                <w:szCs w:val="20"/>
                <w:lang w:eastAsia="en-GB"/>
              </w:rPr>
            </w:pPr>
            <w:r w:rsidRPr="001E51B1">
              <w:rPr>
                <w:color w:val="FFFFFF" w:themeColor="background1"/>
                <w:szCs w:val="20"/>
              </w:rPr>
              <w:t>12.6</w:t>
            </w:r>
          </w:p>
        </w:tc>
      </w:tr>
      <w:tr w:rsidR="001E51B1" w:rsidRPr="00192ECD" w14:paraId="48F1B2F9" w14:textId="77777777" w:rsidTr="00AB41AF">
        <w:trPr>
          <w:trHeight w:val="300"/>
        </w:trPr>
        <w:tc>
          <w:tcPr>
            <w:tcW w:w="8908" w:type="dxa"/>
            <w:gridSpan w:val="3"/>
            <w:shd w:val="clear" w:color="auto" w:fill="FFFFFF" w:themeFill="background1"/>
            <w:noWrap/>
            <w:vAlign w:val="bottom"/>
          </w:tcPr>
          <w:p w14:paraId="5B2581CE" w14:textId="77777777" w:rsidR="001E51B1" w:rsidRPr="00192ECD" w:rsidRDefault="001E51B1" w:rsidP="00AB41AF">
            <w:pPr>
              <w:rPr>
                <w:rFonts w:eastAsia="Times New Roman" w:cs="Calibri"/>
                <w:color w:val="000000" w:themeColor="text1"/>
                <w:szCs w:val="20"/>
                <w:lang w:eastAsia="en-GB"/>
              </w:rPr>
            </w:pPr>
            <w:r w:rsidRPr="00192ECD">
              <w:rPr>
                <w:color w:val="000000" w:themeColor="text1"/>
              </w:rPr>
              <w:t xml:space="preserve">Source: </w:t>
            </w:r>
            <w:r>
              <w:rPr>
                <w:color w:val="000000" w:themeColor="text1"/>
              </w:rPr>
              <w:t>Census 2011</w:t>
            </w:r>
          </w:p>
        </w:tc>
      </w:tr>
    </w:tbl>
    <w:p w14:paraId="501ACC6C" w14:textId="5F5F46F5" w:rsidR="00C86E2C" w:rsidRDefault="00C86E2C" w:rsidP="00C86E2C">
      <w:pPr>
        <w:rPr>
          <w:lang w:val="en-US"/>
        </w:rPr>
      </w:pPr>
    </w:p>
    <w:p w14:paraId="65320C2E" w14:textId="3875DA52" w:rsidR="001E51B1" w:rsidRDefault="001E51B1" w:rsidP="00C86E2C">
      <w:r>
        <w:t>Eight of the 12 LBAs in Essex feature among the 20 wards with the lowest proportion of degree educated residents. Again, Tendring features predominantly, with eight wards among the 20 with the lowest proportion of degree-educated residents. It is also notable that five neighbourhoods in Canvey Island feature among the top 20 – each of these areas also featured among the top 10% on the Community Needs Index – highlighting the association between Community Need and a lack of high</w:t>
      </w:r>
      <w:r w:rsidR="000C17E1">
        <w:t>-</w:t>
      </w:r>
      <w:r>
        <w:t>level qualifications.</w:t>
      </w:r>
    </w:p>
    <w:p w14:paraId="6A4C3D6A" w14:textId="09DD080B" w:rsidR="001E51B1" w:rsidRDefault="001E51B1" w:rsidP="00C86E2C"/>
    <w:p w14:paraId="007A9D9A" w14:textId="3D1B05A1" w:rsidR="001E51B1" w:rsidRDefault="001E51B1" w:rsidP="001E51B1">
      <w:pPr>
        <w:pStyle w:val="Heading2"/>
        <w:rPr>
          <w:lang w:val="en-US"/>
        </w:rPr>
      </w:pPr>
      <w:bookmarkStart w:id="25" w:name="_Toc71790745"/>
      <w:r>
        <w:rPr>
          <w:lang w:val="en-US"/>
        </w:rPr>
        <w:t>Wards experiencing multiple challenges on high risk factors</w:t>
      </w:r>
      <w:bookmarkEnd w:id="25"/>
    </w:p>
    <w:p w14:paraId="50B3C209" w14:textId="1B27B73A" w:rsidR="001E51B1" w:rsidRDefault="001E51B1" w:rsidP="001E51B1">
      <w:pPr>
        <w:rPr>
          <w:lang w:val="en-US"/>
        </w:rPr>
      </w:pPr>
    </w:p>
    <w:p w14:paraId="5DACEB62" w14:textId="60D4D70B" w:rsidR="001E51B1" w:rsidRDefault="001E51B1" w:rsidP="001E51B1">
      <w:pPr>
        <w:rPr>
          <w:lang w:val="en-US"/>
        </w:rPr>
      </w:pPr>
      <w:r>
        <w:rPr>
          <w:lang w:val="en-US"/>
        </w:rPr>
        <w:t xml:space="preserve">The table below lists the wards which </w:t>
      </w:r>
      <w:r w:rsidR="00E272FE">
        <w:rPr>
          <w:lang w:val="en-US"/>
        </w:rPr>
        <w:t>perform less well than the</w:t>
      </w:r>
      <w:r>
        <w:rPr>
          <w:lang w:val="en-US"/>
        </w:rPr>
        <w:t xml:space="preserve"> national average on each of the four identified key risk factors. These wards are likely to be at increased risk of being </w:t>
      </w:r>
      <w:r>
        <w:rPr>
          <w:lang w:val="en-US"/>
        </w:rPr>
        <w:lastRenderedPageBreak/>
        <w:t xml:space="preserve">identified as ‘left-behind’. </w:t>
      </w:r>
      <w:r w:rsidR="00E272FE">
        <w:rPr>
          <w:lang w:val="en-US"/>
        </w:rPr>
        <w:t>Please note, wards currently identified as ‘left-behind’ have been excluded from this list</w:t>
      </w:r>
      <w:r w:rsidR="00E272FE">
        <w:rPr>
          <w:rStyle w:val="FootnoteReference"/>
          <w:lang w:val="en-US"/>
        </w:rPr>
        <w:footnoteReference w:id="7"/>
      </w:r>
      <w:r w:rsidR="00E272FE">
        <w:rPr>
          <w:lang w:val="en-US"/>
        </w:rPr>
        <w:t>.</w:t>
      </w:r>
    </w:p>
    <w:p w14:paraId="24AB9CAC" w14:textId="66A63D56" w:rsidR="001E51B1" w:rsidRDefault="001E51B1" w:rsidP="001E51B1">
      <w:pPr>
        <w:rPr>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E272FE" w:rsidRPr="00192ECD" w14:paraId="26FC1B12" w14:textId="77777777" w:rsidTr="00E272FE">
        <w:trPr>
          <w:trHeight w:val="300"/>
        </w:trPr>
        <w:tc>
          <w:tcPr>
            <w:tcW w:w="8926" w:type="dxa"/>
            <w:gridSpan w:val="2"/>
            <w:shd w:val="clear" w:color="auto" w:fill="002060"/>
            <w:noWrap/>
            <w:vAlign w:val="center"/>
          </w:tcPr>
          <w:p w14:paraId="78077C2B" w14:textId="6946F371" w:rsidR="00E272FE" w:rsidRDefault="00E272FE"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Areas</w:t>
            </w:r>
            <w:r w:rsidR="000A79D8">
              <w:rPr>
                <w:rFonts w:eastAsia="Times New Roman" w:cs="Calibri"/>
                <w:color w:val="FFFFFF" w:themeColor="background1"/>
                <w:szCs w:val="20"/>
                <w:lang w:eastAsia="en-GB"/>
              </w:rPr>
              <w:t xml:space="preserve"> performing less well than the national average on all four risk measures</w:t>
            </w:r>
          </w:p>
        </w:tc>
      </w:tr>
      <w:tr w:rsidR="00E272FE" w:rsidRPr="00192ECD" w14:paraId="7D1DF5FD" w14:textId="77777777" w:rsidTr="00E272FE">
        <w:trPr>
          <w:trHeight w:val="300"/>
        </w:trPr>
        <w:tc>
          <w:tcPr>
            <w:tcW w:w="4531" w:type="dxa"/>
            <w:shd w:val="clear" w:color="auto" w:fill="0070C0"/>
            <w:noWrap/>
            <w:vAlign w:val="center"/>
          </w:tcPr>
          <w:p w14:paraId="351AA9B9" w14:textId="77777777" w:rsidR="00E272FE" w:rsidRPr="00192ECD" w:rsidRDefault="00E272FE"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Area</w:t>
            </w:r>
          </w:p>
        </w:tc>
        <w:tc>
          <w:tcPr>
            <w:tcW w:w="4395" w:type="dxa"/>
            <w:shd w:val="clear" w:color="auto" w:fill="0070C0"/>
            <w:noWrap/>
            <w:vAlign w:val="center"/>
          </w:tcPr>
          <w:p w14:paraId="5AEDE670" w14:textId="77777777" w:rsidR="00E272FE" w:rsidRPr="00192ECD" w:rsidRDefault="00E272FE" w:rsidP="00AB41AF">
            <w:pPr>
              <w:rPr>
                <w:rFonts w:eastAsia="Times New Roman" w:cs="Calibri"/>
                <w:color w:val="FFFFFF" w:themeColor="background1"/>
                <w:szCs w:val="20"/>
                <w:lang w:eastAsia="en-GB"/>
              </w:rPr>
            </w:pPr>
            <w:r>
              <w:rPr>
                <w:color w:val="FFFFFF" w:themeColor="background1"/>
              </w:rPr>
              <w:t>Local Authority</w:t>
            </w:r>
          </w:p>
        </w:tc>
      </w:tr>
      <w:tr w:rsidR="00E272FE" w:rsidRPr="00192ECD" w14:paraId="4DA8B2EB" w14:textId="77777777" w:rsidTr="00E272FE">
        <w:trPr>
          <w:trHeight w:val="300"/>
        </w:trPr>
        <w:tc>
          <w:tcPr>
            <w:tcW w:w="4531" w:type="dxa"/>
            <w:shd w:val="clear" w:color="auto" w:fill="auto"/>
            <w:noWrap/>
            <w:vAlign w:val="bottom"/>
          </w:tcPr>
          <w:p w14:paraId="0172D457" w14:textId="6936C25A" w:rsidR="00E272FE" w:rsidRPr="007B70B0" w:rsidRDefault="00E272FE" w:rsidP="00E272FE">
            <w:pPr>
              <w:rPr>
                <w:szCs w:val="20"/>
              </w:rPr>
            </w:pPr>
            <w:r w:rsidRPr="007B70B0">
              <w:rPr>
                <w:color w:val="000000"/>
                <w:szCs w:val="20"/>
              </w:rPr>
              <w:t>Halstead Trinity</w:t>
            </w:r>
          </w:p>
        </w:tc>
        <w:tc>
          <w:tcPr>
            <w:tcW w:w="4395" w:type="dxa"/>
            <w:shd w:val="clear" w:color="auto" w:fill="auto"/>
            <w:noWrap/>
            <w:vAlign w:val="bottom"/>
          </w:tcPr>
          <w:p w14:paraId="2D48B099" w14:textId="74CAD34E" w:rsidR="00E272FE" w:rsidRPr="007B70B0" w:rsidRDefault="00E272FE" w:rsidP="00E272FE">
            <w:pPr>
              <w:rPr>
                <w:szCs w:val="20"/>
              </w:rPr>
            </w:pPr>
            <w:r w:rsidRPr="007B70B0">
              <w:rPr>
                <w:color w:val="000000"/>
                <w:szCs w:val="20"/>
              </w:rPr>
              <w:t>Braintree</w:t>
            </w:r>
          </w:p>
        </w:tc>
      </w:tr>
      <w:tr w:rsidR="00E272FE" w:rsidRPr="00192ECD" w14:paraId="35FA1CB5" w14:textId="77777777" w:rsidTr="00E272FE">
        <w:trPr>
          <w:trHeight w:val="300"/>
        </w:trPr>
        <w:tc>
          <w:tcPr>
            <w:tcW w:w="4531" w:type="dxa"/>
            <w:shd w:val="clear" w:color="auto" w:fill="auto"/>
            <w:noWrap/>
            <w:vAlign w:val="bottom"/>
          </w:tcPr>
          <w:p w14:paraId="5BE4B896" w14:textId="241944A9" w:rsidR="00E272FE" w:rsidRPr="007B70B0" w:rsidRDefault="00E272FE" w:rsidP="00E272FE">
            <w:pPr>
              <w:rPr>
                <w:szCs w:val="20"/>
              </w:rPr>
            </w:pPr>
            <w:r w:rsidRPr="007B70B0">
              <w:rPr>
                <w:color w:val="000000"/>
                <w:szCs w:val="20"/>
              </w:rPr>
              <w:t>Witham West</w:t>
            </w:r>
          </w:p>
        </w:tc>
        <w:tc>
          <w:tcPr>
            <w:tcW w:w="4395" w:type="dxa"/>
            <w:shd w:val="clear" w:color="auto" w:fill="auto"/>
            <w:noWrap/>
            <w:vAlign w:val="bottom"/>
          </w:tcPr>
          <w:p w14:paraId="708A3CD0" w14:textId="786BBB77" w:rsidR="00E272FE" w:rsidRPr="007B70B0" w:rsidRDefault="00E272FE" w:rsidP="00E272FE">
            <w:pPr>
              <w:rPr>
                <w:szCs w:val="20"/>
              </w:rPr>
            </w:pPr>
            <w:r w:rsidRPr="007B70B0">
              <w:rPr>
                <w:color w:val="000000"/>
                <w:szCs w:val="20"/>
              </w:rPr>
              <w:t>Braintree</w:t>
            </w:r>
          </w:p>
        </w:tc>
      </w:tr>
      <w:tr w:rsidR="00E272FE" w:rsidRPr="00192ECD" w14:paraId="430739B3" w14:textId="77777777" w:rsidTr="00E272FE">
        <w:trPr>
          <w:trHeight w:val="300"/>
        </w:trPr>
        <w:tc>
          <w:tcPr>
            <w:tcW w:w="4531" w:type="dxa"/>
            <w:shd w:val="clear" w:color="auto" w:fill="auto"/>
            <w:noWrap/>
            <w:vAlign w:val="bottom"/>
          </w:tcPr>
          <w:p w14:paraId="572C2D9D" w14:textId="5803CDA6" w:rsidR="00E272FE" w:rsidRPr="007B70B0" w:rsidRDefault="00E272FE" w:rsidP="00E272FE">
            <w:pPr>
              <w:rPr>
                <w:szCs w:val="20"/>
              </w:rPr>
            </w:pPr>
            <w:r w:rsidRPr="007B70B0">
              <w:rPr>
                <w:color w:val="000000"/>
                <w:szCs w:val="20"/>
              </w:rPr>
              <w:t>Witham North</w:t>
            </w:r>
          </w:p>
        </w:tc>
        <w:tc>
          <w:tcPr>
            <w:tcW w:w="4395" w:type="dxa"/>
            <w:shd w:val="clear" w:color="auto" w:fill="auto"/>
            <w:noWrap/>
            <w:vAlign w:val="bottom"/>
          </w:tcPr>
          <w:p w14:paraId="54DEB30E" w14:textId="24F5383E" w:rsidR="00E272FE" w:rsidRPr="007B70B0" w:rsidRDefault="00E272FE" w:rsidP="00E272FE">
            <w:pPr>
              <w:rPr>
                <w:szCs w:val="20"/>
              </w:rPr>
            </w:pPr>
            <w:r w:rsidRPr="007B70B0">
              <w:rPr>
                <w:color w:val="000000"/>
                <w:szCs w:val="20"/>
              </w:rPr>
              <w:t>Braintree</w:t>
            </w:r>
          </w:p>
        </w:tc>
      </w:tr>
      <w:tr w:rsidR="00E272FE" w:rsidRPr="00192ECD" w14:paraId="44318178" w14:textId="77777777" w:rsidTr="00E272FE">
        <w:trPr>
          <w:trHeight w:val="300"/>
        </w:trPr>
        <w:tc>
          <w:tcPr>
            <w:tcW w:w="4531" w:type="dxa"/>
            <w:shd w:val="clear" w:color="auto" w:fill="auto"/>
            <w:noWrap/>
            <w:vAlign w:val="bottom"/>
          </w:tcPr>
          <w:p w14:paraId="073D5AAD" w14:textId="6E7B5B51" w:rsidR="00E272FE" w:rsidRPr="007B70B0" w:rsidRDefault="00E272FE" w:rsidP="00E272FE">
            <w:pPr>
              <w:rPr>
                <w:szCs w:val="20"/>
              </w:rPr>
            </w:pPr>
            <w:r w:rsidRPr="007B70B0">
              <w:rPr>
                <w:color w:val="000000"/>
                <w:szCs w:val="20"/>
              </w:rPr>
              <w:t>St Andrews</w:t>
            </w:r>
          </w:p>
        </w:tc>
        <w:tc>
          <w:tcPr>
            <w:tcW w:w="4395" w:type="dxa"/>
            <w:shd w:val="clear" w:color="auto" w:fill="auto"/>
            <w:noWrap/>
            <w:vAlign w:val="bottom"/>
          </w:tcPr>
          <w:p w14:paraId="57CC5FBC" w14:textId="0D6B267E" w:rsidR="00E272FE" w:rsidRPr="007B70B0" w:rsidRDefault="00E272FE" w:rsidP="00E272FE">
            <w:pPr>
              <w:rPr>
                <w:szCs w:val="20"/>
              </w:rPr>
            </w:pPr>
            <w:r w:rsidRPr="007B70B0">
              <w:rPr>
                <w:color w:val="000000"/>
                <w:szCs w:val="20"/>
              </w:rPr>
              <w:t>Chelmsford</w:t>
            </w:r>
          </w:p>
        </w:tc>
      </w:tr>
      <w:tr w:rsidR="00E272FE" w:rsidRPr="00192ECD" w14:paraId="3A4BDE00" w14:textId="77777777" w:rsidTr="00E272FE">
        <w:trPr>
          <w:trHeight w:val="300"/>
        </w:trPr>
        <w:tc>
          <w:tcPr>
            <w:tcW w:w="4531" w:type="dxa"/>
            <w:shd w:val="clear" w:color="auto" w:fill="auto"/>
            <w:noWrap/>
            <w:vAlign w:val="bottom"/>
          </w:tcPr>
          <w:p w14:paraId="3A40C384" w14:textId="62B0712F" w:rsidR="00E272FE" w:rsidRPr="007B70B0" w:rsidRDefault="00E272FE" w:rsidP="00E272FE">
            <w:pPr>
              <w:rPr>
                <w:szCs w:val="20"/>
              </w:rPr>
            </w:pPr>
            <w:proofErr w:type="spellStart"/>
            <w:r w:rsidRPr="007B70B0">
              <w:rPr>
                <w:color w:val="000000"/>
                <w:szCs w:val="20"/>
              </w:rPr>
              <w:t>Berechurch</w:t>
            </w:r>
            <w:proofErr w:type="spellEnd"/>
          </w:p>
        </w:tc>
        <w:tc>
          <w:tcPr>
            <w:tcW w:w="4395" w:type="dxa"/>
            <w:shd w:val="clear" w:color="auto" w:fill="auto"/>
            <w:noWrap/>
            <w:vAlign w:val="bottom"/>
          </w:tcPr>
          <w:p w14:paraId="61998082" w14:textId="25F307DF" w:rsidR="00E272FE" w:rsidRPr="007B70B0" w:rsidRDefault="00E272FE" w:rsidP="00E272FE">
            <w:pPr>
              <w:rPr>
                <w:szCs w:val="20"/>
              </w:rPr>
            </w:pPr>
            <w:r w:rsidRPr="007B70B0">
              <w:rPr>
                <w:color w:val="000000"/>
                <w:szCs w:val="20"/>
              </w:rPr>
              <w:t>Colchester</w:t>
            </w:r>
          </w:p>
        </w:tc>
      </w:tr>
      <w:tr w:rsidR="00E272FE" w:rsidRPr="00192ECD" w14:paraId="70C513FA" w14:textId="77777777" w:rsidTr="00E272FE">
        <w:trPr>
          <w:trHeight w:val="300"/>
        </w:trPr>
        <w:tc>
          <w:tcPr>
            <w:tcW w:w="4531" w:type="dxa"/>
            <w:shd w:val="clear" w:color="auto" w:fill="auto"/>
            <w:noWrap/>
            <w:vAlign w:val="bottom"/>
          </w:tcPr>
          <w:p w14:paraId="0B907474" w14:textId="7781A9C9" w:rsidR="00E272FE" w:rsidRPr="007B70B0" w:rsidRDefault="00E272FE" w:rsidP="00E272FE">
            <w:pPr>
              <w:rPr>
                <w:szCs w:val="20"/>
              </w:rPr>
            </w:pPr>
            <w:proofErr w:type="spellStart"/>
            <w:r w:rsidRPr="007B70B0">
              <w:rPr>
                <w:color w:val="000000"/>
                <w:szCs w:val="20"/>
              </w:rPr>
              <w:t>Greenstead</w:t>
            </w:r>
            <w:proofErr w:type="spellEnd"/>
          </w:p>
        </w:tc>
        <w:tc>
          <w:tcPr>
            <w:tcW w:w="4395" w:type="dxa"/>
            <w:shd w:val="clear" w:color="auto" w:fill="auto"/>
            <w:noWrap/>
            <w:vAlign w:val="bottom"/>
          </w:tcPr>
          <w:p w14:paraId="3FD0406F" w14:textId="445B7191" w:rsidR="00E272FE" w:rsidRPr="007B70B0" w:rsidRDefault="00E272FE" w:rsidP="00E272FE">
            <w:pPr>
              <w:rPr>
                <w:szCs w:val="20"/>
              </w:rPr>
            </w:pPr>
            <w:r w:rsidRPr="007B70B0">
              <w:rPr>
                <w:color w:val="000000"/>
                <w:szCs w:val="20"/>
              </w:rPr>
              <w:t>Colchester</w:t>
            </w:r>
          </w:p>
        </w:tc>
      </w:tr>
      <w:tr w:rsidR="00E272FE" w:rsidRPr="00192ECD" w14:paraId="1BB5C0A0" w14:textId="77777777" w:rsidTr="00E272FE">
        <w:trPr>
          <w:trHeight w:val="300"/>
        </w:trPr>
        <w:tc>
          <w:tcPr>
            <w:tcW w:w="4531" w:type="dxa"/>
            <w:shd w:val="clear" w:color="auto" w:fill="auto"/>
            <w:noWrap/>
            <w:vAlign w:val="bottom"/>
          </w:tcPr>
          <w:p w14:paraId="539C4E23" w14:textId="032090BC" w:rsidR="00E272FE" w:rsidRPr="007B70B0" w:rsidRDefault="00E272FE" w:rsidP="00E272FE">
            <w:pPr>
              <w:rPr>
                <w:szCs w:val="20"/>
              </w:rPr>
            </w:pPr>
            <w:r w:rsidRPr="007B70B0">
              <w:rPr>
                <w:color w:val="000000"/>
                <w:szCs w:val="20"/>
              </w:rPr>
              <w:t>Old Heath and The Hythe</w:t>
            </w:r>
          </w:p>
        </w:tc>
        <w:tc>
          <w:tcPr>
            <w:tcW w:w="4395" w:type="dxa"/>
            <w:shd w:val="clear" w:color="auto" w:fill="auto"/>
            <w:noWrap/>
            <w:vAlign w:val="bottom"/>
          </w:tcPr>
          <w:p w14:paraId="2E6E7958" w14:textId="135D3399" w:rsidR="00E272FE" w:rsidRPr="007B70B0" w:rsidRDefault="00E272FE" w:rsidP="00E272FE">
            <w:pPr>
              <w:rPr>
                <w:szCs w:val="20"/>
              </w:rPr>
            </w:pPr>
            <w:r w:rsidRPr="007B70B0">
              <w:rPr>
                <w:color w:val="000000"/>
                <w:szCs w:val="20"/>
              </w:rPr>
              <w:t>Colchester</w:t>
            </w:r>
          </w:p>
        </w:tc>
      </w:tr>
      <w:tr w:rsidR="00E272FE" w:rsidRPr="00192ECD" w14:paraId="41E14A5B" w14:textId="77777777" w:rsidTr="00E272FE">
        <w:trPr>
          <w:trHeight w:val="300"/>
        </w:trPr>
        <w:tc>
          <w:tcPr>
            <w:tcW w:w="4531" w:type="dxa"/>
            <w:shd w:val="clear" w:color="auto" w:fill="auto"/>
            <w:noWrap/>
            <w:vAlign w:val="bottom"/>
          </w:tcPr>
          <w:p w14:paraId="26AB7193" w14:textId="79912A01" w:rsidR="00E272FE" w:rsidRPr="007B70B0" w:rsidRDefault="00E272FE" w:rsidP="00E272FE">
            <w:pPr>
              <w:rPr>
                <w:szCs w:val="20"/>
              </w:rPr>
            </w:pPr>
            <w:r w:rsidRPr="007B70B0">
              <w:rPr>
                <w:color w:val="000000"/>
                <w:szCs w:val="20"/>
              </w:rPr>
              <w:t xml:space="preserve">Loughton </w:t>
            </w:r>
            <w:proofErr w:type="spellStart"/>
            <w:r w:rsidRPr="007B70B0">
              <w:rPr>
                <w:color w:val="000000"/>
                <w:szCs w:val="20"/>
              </w:rPr>
              <w:t>Fairmead</w:t>
            </w:r>
            <w:proofErr w:type="spellEnd"/>
          </w:p>
        </w:tc>
        <w:tc>
          <w:tcPr>
            <w:tcW w:w="4395" w:type="dxa"/>
            <w:shd w:val="clear" w:color="auto" w:fill="auto"/>
            <w:noWrap/>
            <w:vAlign w:val="bottom"/>
          </w:tcPr>
          <w:p w14:paraId="1A30D7C4" w14:textId="51056CC3" w:rsidR="00E272FE" w:rsidRPr="007B70B0" w:rsidRDefault="00E272FE" w:rsidP="00E272FE">
            <w:pPr>
              <w:rPr>
                <w:szCs w:val="20"/>
              </w:rPr>
            </w:pPr>
            <w:r w:rsidRPr="007B70B0">
              <w:rPr>
                <w:color w:val="000000"/>
                <w:szCs w:val="20"/>
              </w:rPr>
              <w:t>Epping Forest</w:t>
            </w:r>
          </w:p>
        </w:tc>
      </w:tr>
      <w:tr w:rsidR="00E272FE" w:rsidRPr="00192ECD" w14:paraId="6E145DD5" w14:textId="77777777" w:rsidTr="00E272FE">
        <w:trPr>
          <w:trHeight w:val="300"/>
        </w:trPr>
        <w:tc>
          <w:tcPr>
            <w:tcW w:w="4531" w:type="dxa"/>
            <w:shd w:val="clear" w:color="auto" w:fill="auto"/>
            <w:noWrap/>
            <w:vAlign w:val="bottom"/>
          </w:tcPr>
          <w:p w14:paraId="7AEE55FA" w14:textId="582A4D2E" w:rsidR="00E272FE" w:rsidRPr="007B70B0" w:rsidRDefault="00E272FE" w:rsidP="00E272FE">
            <w:pPr>
              <w:rPr>
                <w:szCs w:val="20"/>
              </w:rPr>
            </w:pPr>
            <w:r w:rsidRPr="007B70B0">
              <w:rPr>
                <w:color w:val="000000"/>
                <w:szCs w:val="20"/>
              </w:rPr>
              <w:t>Loughton Alderton</w:t>
            </w:r>
          </w:p>
        </w:tc>
        <w:tc>
          <w:tcPr>
            <w:tcW w:w="4395" w:type="dxa"/>
            <w:shd w:val="clear" w:color="auto" w:fill="auto"/>
            <w:noWrap/>
            <w:vAlign w:val="bottom"/>
          </w:tcPr>
          <w:p w14:paraId="24655E9E" w14:textId="69DFBD78" w:rsidR="00E272FE" w:rsidRPr="007B70B0" w:rsidRDefault="00E272FE" w:rsidP="00E272FE">
            <w:pPr>
              <w:rPr>
                <w:szCs w:val="20"/>
              </w:rPr>
            </w:pPr>
            <w:r w:rsidRPr="007B70B0">
              <w:rPr>
                <w:color w:val="000000"/>
                <w:szCs w:val="20"/>
              </w:rPr>
              <w:t>Epping Forest</w:t>
            </w:r>
          </w:p>
        </w:tc>
      </w:tr>
      <w:tr w:rsidR="00E272FE" w:rsidRPr="00192ECD" w14:paraId="1A2A3B39" w14:textId="77777777" w:rsidTr="00E272FE">
        <w:trPr>
          <w:trHeight w:val="300"/>
        </w:trPr>
        <w:tc>
          <w:tcPr>
            <w:tcW w:w="4531" w:type="dxa"/>
            <w:shd w:val="clear" w:color="auto" w:fill="auto"/>
            <w:noWrap/>
            <w:vAlign w:val="bottom"/>
          </w:tcPr>
          <w:p w14:paraId="1E609F74" w14:textId="477483AD" w:rsidR="00E272FE" w:rsidRPr="007B70B0" w:rsidRDefault="00E272FE" w:rsidP="00E272FE">
            <w:pPr>
              <w:rPr>
                <w:szCs w:val="20"/>
              </w:rPr>
            </w:pPr>
            <w:r w:rsidRPr="007B70B0">
              <w:rPr>
                <w:color w:val="000000"/>
                <w:szCs w:val="20"/>
              </w:rPr>
              <w:t xml:space="preserve">Staple </w:t>
            </w:r>
            <w:proofErr w:type="spellStart"/>
            <w:r w:rsidRPr="007B70B0">
              <w:rPr>
                <w:color w:val="000000"/>
                <w:szCs w:val="20"/>
              </w:rPr>
              <w:t>Tye</w:t>
            </w:r>
            <w:proofErr w:type="spellEnd"/>
          </w:p>
        </w:tc>
        <w:tc>
          <w:tcPr>
            <w:tcW w:w="4395" w:type="dxa"/>
            <w:shd w:val="clear" w:color="auto" w:fill="auto"/>
            <w:noWrap/>
            <w:vAlign w:val="bottom"/>
          </w:tcPr>
          <w:p w14:paraId="7BD1EE58" w14:textId="5BEC70F1" w:rsidR="00E272FE" w:rsidRPr="007B70B0" w:rsidRDefault="00E272FE" w:rsidP="00E272FE">
            <w:pPr>
              <w:rPr>
                <w:szCs w:val="20"/>
              </w:rPr>
            </w:pPr>
            <w:r w:rsidRPr="007B70B0">
              <w:rPr>
                <w:color w:val="000000"/>
                <w:szCs w:val="20"/>
              </w:rPr>
              <w:t>Harlow</w:t>
            </w:r>
          </w:p>
        </w:tc>
      </w:tr>
      <w:tr w:rsidR="00E272FE" w:rsidRPr="00192ECD" w14:paraId="22E93C78" w14:textId="77777777" w:rsidTr="00E272FE">
        <w:trPr>
          <w:trHeight w:val="300"/>
        </w:trPr>
        <w:tc>
          <w:tcPr>
            <w:tcW w:w="4531" w:type="dxa"/>
            <w:shd w:val="clear" w:color="auto" w:fill="auto"/>
            <w:noWrap/>
            <w:vAlign w:val="bottom"/>
          </w:tcPr>
          <w:p w14:paraId="612EC17D" w14:textId="18B5B960" w:rsidR="00E272FE" w:rsidRPr="007B70B0" w:rsidRDefault="00E272FE" w:rsidP="00E272FE">
            <w:pPr>
              <w:rPr>
                <w:szCs w:val="20"/>
              </w:rPr>
            </w:pPr>
            <w:proofErr w:type="spellStart"/>
            <w:r w:rsidRPr="007B70B0">
              <w:rPr>
                <w:color w:val="000000"/>
                <w:szCs w:val="20"/>
              </w:rPr>
              <w:t>Netteswell</w:t>
            </w:r>
            <w:proofErr w:type="spellEnd"/>
          </w:p>
        </w:tc>
        <w:tc>
          <w:tcPr>
            <w:tcW w:w="4395" w:type="dxa"/>
            <w:shd w:val="clear" w:color="auto" w:fill="auto"/>
            <w:noWrap/>
            <w:vAlign w:val="bottom"/>
          </w:tcPr>
          <w:p w14:paraId="59C1B2B3" w14:textId="0E9559F7" w:rsidR="00E272FE" w:rsidRPr="007B70B0" w:rsidRDefault="00E272FE" w:rsidP="00E272FE">
            <w:pPr>
              <w:rPr>
                <w:szCs w:val="20"/>
              </w:rPr>
            </w:pPr>
            <w:r w:rsidRPr="007B70B0">
              <w:rPr>
                <w:color w:val="000000"/>
                <w:szCs w:val="20"/>
              </w:rPr>
              <w:t>Harlow</w:t>
            </w:r>
          </w:p>
        </w:tc>
      </w:tr>
      <w:tr w:rsidR="00E272FE" w:rsidRPr="00192ECD" w14:paraId="519A41A0" w14:textId="77777777" w:rsidTr="00E272FE">
        <w:trPr>
          <w:trHeight w:val="300"/>
        </w:trPr>
        <w:tc>
          <w:tcPr>
            <w:tcW w:w="4531" w:type="dxa"/>
            <w:shd w:val="clear" w:color="auto" w:fill="auto"/>
            <w:noWrap/>
            <w:vAlign w:val="bottom"/>
          </w:tcPr>
          <w:p w14:paraId="68C19824" w14:textId="12A91427" w:rsidR="00E272FE" w:rsidRPr="007B70B0" w:rsidRDefault="00E272FE" w:rsidP="00E272FE">
            <w:pPr>
              <w:rPr>
                <w:szCs w:val="20"/>
              </w:rPr>
            </w:pPr>
            <w:r w:rsidRPr="007B70B0">
              <w:rPr>
                <w:color w:val="000000"/>
                <w:szCs w:val="20"/>
              </w:rPr>
              <w:t>Southminster</w:t>
            </w:r>
          </w:p>
        </w:tc>
        <w:tc>
          <w:tcPr>
            <w:tcW w:w="4395" w:type="dxa"/>
            <w:shd w:val="clear" w:color="auto" w:fill="auto"/>
            <w:noWrap/>
            <w:vAlign w:val="bottom"/>
          </w:tcPr>
          <w:p w14:paraId="65F68108" w14:textId="7B76D137" w:rsidR="00E272FE" w:rsidRPr="007B70B0" w:rsidRDefault="00E272FE" w:rsidP="00E272FE">
            <w:pPr>
              <w:rPr>
                <w:szCs w:val="20"/>
              </w:rPr>
            </w:pPr>
            <w:r w:rsidRPr="007B70B0">
              <w:rPr>
                <w:color w:val="000000"/>
                <w:szCs w:val="20"/>
              </w:rPr>
              <w:t>Maldon</w:t>
            </w:r>
          </w:p>
        </w:tc>
      </w:tr>
      <w:tr w:rsidR="00E272FE" w:rsidRPr="00192ECD" w14:paraId="558BEA0C" w14:textId="77777777" w:rsidTr="00E272FE">
        <w:trPr>
          <w:trHeight w:val="300"/>
        </w:trPr>
        <w:tc>
          <w:tcPr>
            <w:tcW w:w="4531" w:type="dxa"/>
            <w:shd w:val="clear" w:color="auto" w:fill="auto"/>
            <w:noWrap/>
            <w:vAlign w:val="bottom"/>
          </w:tcPr>
          <w:p w14:paraId="25D47191" w14:textId="18451BE6" w:rsidR="00E272FE" w:rsidRPr="007B70B0" w:rsidRDefault="00E272FE" w:rsidP="00E272FE">
            <w:pPr>
              <w:rPr>
                <w:szCs w:val="20"/>
              </w:rPr>
            </w:pPr>
            <w:r w:rsidRPr="007B70B0">
              <w:rPr>
                <w:color w:val="000000"/>
                <w:szCs w:val="20"/>
              </w:rPr>
              <w:t>Burnham-on-Crouch South</w:t>
            </w:r>
          </w:p>
        </w:tc>
        <w:tc>
          <w:tcPr>
            <w:tcW w:w="4395" w:type="dxa"/>
            <w:shd w:val="clear" w:color="auto" w:fill="auto"/>
            <w:noWrap/>
            <w:vAlign w:val="bottom"/>
          </w:tcPr>
          <w:p w14:paraId="6215845E" w14:textId="2E4C1634" w:rsidR="00E272FE" w:rsidRPr="007B70B0" w:rsidRDefault="00E272FE" w:rsidP="00E272FE">
            <w:pPr>
              <w:rPr>
                <w:szCs w:val="20"/>
              </w:rPr>
            </w:pPr>
            <w:r w:rsidRPr="007B70B0">
              <w:rPr>
                <w:color w:val="000000"/>
                <w:szCs w:val="20"/>
              </w:rPr>
              <w:t>Maldon</w:t>
            </w:r>
          </w:p>
        </w:tc>
      </w:tr>
    </w:tbl>
    <w:p w14:paraId="128BF7B1" w14:textId="308802CF" w:rsidR="001E51B1" w:rsidRDefault="001E51B1" w:rsidP="001E51B1">
      <w:pPr>
        <w:rPr>
          <w:lang w:val="en-US"/>
        </w:rPr>
      </w:pPr>
    </w:p>
    <w:p w14:paraId="6CE07FDC" w14:textId="54B6C70C" w:rsidR="000A79D8" w:rsidRDefault="000A79D8" w:rsidP="001E51B1">
      <w:pPr>
        <w:rPr>
          <w:lang w:val="en-US"/>
        </w:rPr>
      </w:pPr>
      <w:r>
        <w:rPr>
          <w:lang w:val="en-US"/>
        </w:rPr>
        <w:t xml:space="preserve">13 </w:t>
      </w:r>
      <w:r w:rsidR="007B70B0">
        <w:rPr>
          <w:lang w:val="en-US"/>
        </w:rPr>
        <w:t xml:space="preserve">wards </w:t>
      </w:r>
      <w:r>
        <w:rPr>
          <w:lang w:val="en-US"/>
        </w:rPr>
        <w:t xml:space="preserve">are identified </w:t>
      </w:r>
      <w:r w:rsidR="007B70B0">
        <w:rPr>
          <w:lang w:val="en-US"/>
        </w:rPr>
        <w:t>as having relatively high needs across all four risk factors</w:t>
      </w:r>
      <w:r>
        <w:rPr>
          <w:lang w:val="en-US"/>
        </w:rPr>
        <w:t xml:space="preserve">, including three in Braintree, three in Colchester, two each in Epping Forest, Harlow and </w:t>
      </w:r>
      <w:proofErr w:type="spellStart"/>
      <w:r>
        <w:rPr>
          <w:lang w:val="en-US"/>
        </w:rPr>
        <w:t>Maldon</w:t>
      </w:r>
      <w:proofErr w:type="spellEnd"/>
      <w:r>
        <w:rPr>
          <w:lang w:val="en-US"/>
        </w:rPr>
        <w:t xml:space="preserve"> and one in Chelmsford. </w:t>
      </w:r>
      <w:r w:rsidR="007B70B0">
        <w:rPr>
          <w:lang w:val="en-US"/>
        </w:rPr>
        <w:t xml:space="preserve">These areas are at greater risk of being identified as left-behind. </w:t>
      </w:r>
    </w:p>
    <w:p w14:paraId="02FF068F" w14:textId="0CAB3E58" w:rsidR="007B70B0" w:rsidRDefault="007B70B0" w:rsidP="001E51B1">
      <w:pPr>
        <w:rPr>
          <w:lang w:val="en-US"/>
        </w:rPr>
      </w:pPr>
    </w:p>
    <w:p w14:paraId="6FEE0FF2" w14:textId="601798D4" w:rsidR="007B70B0" w:rsidRDefault="007B70B0" w:rsidP="001E51B1">
      <w:pPr>
        <w:rPr>
          <w:lang w:val="en-US"/>
        </w:rPr>
      </w:pPr>
      <w:r>
        <w:rPr>
          <w:lang w:val="en-US"/>
        </w:rPr>
        <w:t xml:space="preserve">In addition, a further four wards rank among the top 20 areas with the </w:t>
      </w:r>
      <w:r w:rsidR="000C17E1">
        <w:rPr>
          <w:lang w:val="en-US"/>
        </w:rPr>
        <w:t xml:space="preserve">smallest </w:t>
      </w:r>
      <w:r w:rsidRPr="000C17E1">
        <w:rPr>
          <w:i/>
          <w:iCs/>
          <w:lang w:val="en-US"/>
        </w:rPr>
        <w:t>average combined rank</w:t>
      </w:r>
      <w:r w:rsidR="000C17E1">
        <w:rPr>
          <w:rStyle w:val="FootnoteReference"/>
          <w:i/>
          <w:iCs/>
          <w:lang w:val="en-US"/>
        </w:rPr>
        <w:footnoteReference w:id="8"/>
      </w:r>
      <w:r w:rsidRPr="000C17E1">
        <w:rPr>
          <w:i/>
          <w:iCs/>
          <w:lang w:val="en-US"/>
        </w:rPr>
        <w:t xml:space="preserve"> </w:t>
      </w:r>
      <w:r>
        <w:rPr>
          <w:lang w:val="en-US"/>
        </w:rPr>
        <w:t>across these four risk factors</w:t>
      </w:r>
      <w:r w:rsidR="00FA772C">
        <w:rPr>
          <w:lang w:val="en-US"/>
        </w:rPr>
        <w:t xml:space="preserve"> and are also at increased risk of experienc</w:t>
      </w:r>
      <w:r w:rsidR="001979CC">
        <w:rPr>
          <w:lang w:val="en-US"/>
        </w:rPr>
        <w:t>ing</w:t>
      </w:r>
      <w:r w:rsidR="001979CC">
        <w:rPr>
          <w:lang w:val="en-US"/>
        </w:rPr>
        <w:t xml:space="preserve"> </w:t>
      </w:r>
      <w:r w:rsidR="00FA772C">
        <w:rPr>
          <w:lang w:val="en-US"/>
        </w:rPr>
        <w:t>the challenges identified in ‘left-behind areas</w:t>
      </w:r>
      <w:r>
        <w:rPr>
          <w:lang w:val="en-US"/>
        </w:rPr>
        <w:t>:</w:t>
      </w:r>
    </w:p>
    <w:p w14:paraId="5D047453" w14:textId="77777777" w:rsidR="007B70B0" w:rsidRDefault="007B70B0" w:rsidP="001E51B1">
      <w:pPr>
        <w:rPr>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7B70B0" w:rsidRPr="00192ECD" w14:paraId="436B751A" w14:textId="77777777" w:rsidTr="00AB41AF">
        <w:trPr>
          <w:trHeight w:val="300"/>
        </w:trPr>
        <w:tc>
          <w:tcPr>
            <w:tcW w:w="4531" w:type="dxa"/>
            <w:shd w:val="clear" w:color="auto" w:fill="0070C0"/>
            <w:noWrap/>
            <w:vAlign w:val="center"/>
          </w:tcPr>
          <w:p w14:paraId="30B00944" w14:textId="77777777" w:rsidR="007B70B0" w:rsidRPr="00192ECD" w:rsidRDefault="007B70B0" w:rsidP="00AB41AF">
            <w:pPr>
              <w:rPr>
                <w:rFonts w:eastAsia="Times New Roman" w:cs="Calibri"/>
                <w:color w:val="FFFFFF" w:themeColor="background1"/>
                <w:szCs w:val="20"/>
                <w:lang w:eastAsia="en-GB"/>
              </w:rPr>
            </w:pPr>
            <w:r>
              <w:rPr>
                <w:rFonts w:eastAsia="Times New Roman" w:cs="Calibri"/>
                <w:color w:val="FFFFFF" w:themeColor="background1"/>
                <w:szCs w:val="20"/>
                <w:lang w:eastAsia="en-GB"/>
              </w:rPr>
              <w:t>Area</w:t>
            </w:r>
          </w:p>
        </w:tc>
        <w:tc>
          <w:tcPr>
            <w:tcW w:w="4395" w:type="dxa"/>
            <w:shd w:val="clear" w:color="auto" w:fill="0070C0"/>
            <w:noWrap/>
            <w:vAlign w:val="center"/>
          </w:tcPr>
          <w:p w14:paraId="6C603F5B" w14:textId="77777777" w:rsidR="007B70B0" w:rsidRPr="00192ECD" w:rsidRDefault="007B70B0" w:rsidP="00AB41AF">
            <w:pPr>
              <w:rPr>
                <w:rFonts w:eastAsia="Times New Roman" w:cs="Calibri"/>
                <w:color w:val="FFFFFF" w:themeColor="background1"/>
                <w:szCs w:val="20"/>
                <w:lang w:eastAsia="en-GB"/>
              </w:rPr>
            </w:pPr>
            <w:r>
              <w:rPr>
                <w:color w:val="FFFFFF" w:themeColor="background1"/>
              </w:rPr>
              <w:t>Local Authority</w:t>
            </w:r>
          </w:p>
        </w:tc>
      </w:tr>
      <w:tr w:rsidR="007B70B0" w:rsidRPr="007B70B0" w14:paraId="5EAD4841" w14:textId="77777777" w:rsidTr="00AB41AF">
        <w:trPr>
          <w:trHeight w:val="300"/>
        </w:trPr>
        <w:tc>
          <w:tcPr>
            <w:tcW w:w="4531" w:type="dxa"/>
            <w:shd w:val="clear" w:color="auto" w:fill="auto"/>
            <w:noWrap/>
            <w:vAlign w:val="bottom"/>
          </w:tcPr>
          <w:p w14:paraId="0C7847C8" w14:textId="4E09816F" w:rsidR="007B70B0" w:rsidRPr="007B70B0" w:rsidRDefault="007B70B0" w:rsidP="00AB41AF">
            <w:pPr>
              <w:rPr>
                <w:szCs w:val="20"/>
              </w:rPr>
            </w:pPr>
            <w:proofErr w:type="spellStart"/>
            <w:r w:rsidRPr="007B70B0">
              <w:rPr>
                <w:lang w:val="en-US"/>
              </w:rPr>
              <w:t>Cann</w:t>
            </w:r>
            <w:proofErr w:type="spellEnd"/>
            <w:r w:rsidRPr="007B70B0">
              <w:rPr>
                <w:lang w:val="en-US"/>
              </w:rPr>
              <w:t xml:space="preserve"> Hal</w:t>
            </w:r>
            <w:r>
              <w:rPr>
                <w:lang w:val="en-US"/>
              </w:rPr>
              <w:t>l</w:t>
            </w:r>
          </w:p>
        </w:tc>
        <w:tc>
          <w:tcPr>
            <w:tcW w:w="4395" w:type="dxa"/>
            <w:shd w:val="clear" w:color="auto" w:fill="auto"/>
            <w:noWrap/>
            <w:vAlign w:val="bottom"/>
          </w:tcPr>
          <w:p w14:paraId="7D667541" w14:textId="2364844E" w:rsidR="007B70B0" w:rsidRPr="007B70B0" w:rsidRDefault="007B70B0" w:rsidP="00AB41AF">
            <w:pPr>
              <w:rPr>
                <w:szCs w:val="20"/>
              </w:rPr>
            </w:pPr>
            <w:r>
              <w:rPr>
                <w:lang w:val="en-US"/>
              </w:rPr>
              <w:t>Tendring</w:t>
            </w:r>
          </w:p>
        </w:tc>
      </w:tr>
      <w:tr w:rsidR="007B70B0" w:rsidRPr="007B70B0" w14:paraId="28BBA120" w14:textId="77777777" w:rsidTr="00AB41AF">
        <w:trPr>
          <w:trHeight w:val="300"/>
        </w:trPr>
        <w:tc>
          <w:tcPr>
            <w:tcW w:w="4531" w:type="dxa"/>
            <w:shd w:val="clear" w:color="auto" w:fill="auto"/>
            <w:noWrap/>
            <w:vAlign w:val="bottom"/>
          </w:tcPr>
          <w:p w14:paraId="38B9D961" w14:textId="3D92895C" w:rsidR="007B70B0" w:rsidRPr="007B70B0" w:rsidRDefault="007B70B0" w:rsidP="00AB41AF">
            <w:pPr>
              <w:rPr>
                <w:szCs w:val="20"/>
              </w:rPr>
            </w:pPr>
            <w:proofErr w:type="spellStart"/>
            <w:r w:rsidRPr="007B70B0">
              <w:rPr>
                <w:lang w:val="en-US"/>
              </w:rPr>
              <w:t>Canvey</w:t>
            </w:r>
            <w:proofErr w:type="spellEnd"/>
            <w:r w:rsidRPr="007B70B0">
              <w:rPr>
                <w:lang w:val="en-US"/>
              </w:rPr>
              <w:t xml:space="preserve"> Island East</w:t>
            </w:r>
          </w:p>
        </w:tc>
        <w:tc>
          <w:tcPr>
            <w:tcW w:w="4395" w:type="dxa"/>
            <w:shd w:val="clear" w:color="auto" w:fill="auto"/>
            <w:noWrap/>
            <w:vAlign w:val="bottom"/>
          </w:tcPr>
          <w:p w14:paraId="4CD52A11" w14:textId="51580EDE" w:rsidR="007B70B0" w:rsidRPr="007B70B0" w:rsidRDefault="007B70B0" w:rsidP="00AB41AF">
            <w:pPr>
              <w:rPr>
                <w:szCs w:val="20"/>
              </w:rPr>
            </w:pPr>
            <w:r w:rsidRPr="007B70B0">
              <w:rPr>
                <w:lang w:val="en-US"/>
              </w:rPr>
              <w:t>Castle Point</w:t>
            </w:r>
          </w:p>
        </w:tc>
      </w:tr>
      <w:tr w:rsidR="007B70B0" w:rsidRPr="007B70B0" w14:paraId="38F9D106" w14:textId="77777777" w:rsidTr="00AB41AF">
        <w:trPr>
          <w:trHeight w:val="300"/>
        </w:trPr>
        <w:tc>
          <w:tcPr>
            <w:tcW w:w="4531" w:type="dxa"/>
            <w:shd w:val="clear" w:color="auto" w:fill="auto"/>
            <w:noWrap/>
            <w:vAlign w:val="bottom"/>
          </w:tcPr>
          <w:p w14:paraId="4120FF06" w14:textId="67C49897" w:rsidR="007B70B0" w:rsidRPr="007B70B0" w:rsidRDefault="007B70B0" w:rsidP="007B70B0">
            <w:pPr>
              <w:rPr>
                <w:szCs w:val="20"/>
              </w:rPr>
            </w:pPr>
            <w:proofErr w:type="spellStart"/>
            <w:r w:rsidRPr="007B70B0">
              <w:rPr>
                <w:lang w:val="en-US"/>
              </w:rPr>
              <w:t>Dovercourt</w:t>
            </w:r>
            <w:proofErr w:type="spellEnd"/>
            <w:r w:rsidRPr="007B70B0">
              <w:rPr>
                <w:lang w:val="en-US"/>
              </w:rPr>
              <w:t xml:space="preserve"> Tollgate</w:t>
            </w:r>
          </w:p>
        </w:tc>
        <w:tc>
          <w:tcPr>
            <w:tcW w:w="4395" w:type="dxa"/>
            <w:shd w:val="clear" w:color="auto" w:fill="auto"/>
            <w:noWrap/>
            <w:vAlign w:val="bottom"/>
          </w:tcPr>
          <w:p w14:paraId="29E45E13" w14:textId="57196C45" w:rsidR="007B70B0" w:rsidRPr="007B70B0" w:rsidRDefault="007B70B0" w:rsidP="007B70B0">
            <w:pPr>
              <w:rPr>
                <w:szCs w:val="20"/>
              </w:rPr>
            </w:pPr>
            <w:r>
              <w:rPr>
                <w:lang w:val="en-US"/>
              </w:rPr>
              <w:t>Tendring</w:t>
            </w:r>
          </w:p>
        </w:tc>
      </w:tr>
      <w:tr w:rsidR="007B70B0" w:rsidRPr="007B70B0" w14:paraId="5D48A26D" w14:textId="77777777" w:rsidTr="00AB41AF">
        <w:trPr>
          <w:trHeight w:val="300"/>
        </w:trPr>
        <w:tc>
          <w:tcPr>
            <w:tcW w:w="4531" w:type="dxa"/>
            <w:shd w:val="clear" w:color="auto" w:fill="auto"/>
            <w:noWrap/>
            <w:vAlign w:val="bottom"/>
          </w:tcPr>
          <w:p w14:paraId="62D4B004" w14:textId="0F4B4A82" w:rsidR="007B70B0" w:rsidRPr="007B70B0" w:rsidRDefault="007B70B0" w:rsidP="007B70B0">
            <w:pPr>
              <w:rPr>
                <w:szCs w:val="20"/>
              </w:rPr>
            </w:pPr>
            <w:r>
              <w:rPr>
                <w:lang w:val="en-US"/>
              </w:rPr>
              <w:t>Harlow Common</w:t>
            </w:r>
          </w:p>
        </w:tc>
        <w:tc>
          <w:tcPr>
            <w:tcW w:w="4395" w:type="dxa"/>
            <w:shd w:val="clear" w:color="auto" w:fill="auto"/>
            <w:noWrap/>
            <w:vAlign w:val="bottom"/>
          </w:tcPr>
          <w:p w14:paraId="14716551" w14:textId="00323E96" w:rsidR="007B70B0" w:rsidRPr="007B70B0" w:rsidRDefault="007B70B0" w:rsidP="007B70B0">
            <w:pPr>
              <w:rPr>
                <w:szCs w:val="20"/>
              </w:rPr>
            </w:pPr>
            <w:r>
              <w:rPr>
                <w:lang w:val="en-US"/>
              </w:rPr>
              <w:t>Harlow</w:t>
            </w:r>
          </w:p>
        </w:tc>
      </w:tr>
    </w:tbl>
    <w:p w14:paraId="46CAFB2D" w14:textId="563A4A93" w:rsidR="007B70B0" w:rsidRDefault="007B70B0" w:rsidP="001E51B1">
      <w:pPr>
        <w:rPr>
          <w:lang w:val="en-US"/>
        </w:rPr>
      </w:pPr>
    </w:p>
    <w:p w14:paraId="154BE064" w14:textId="45795497" w:rsidR="00FA772C" w:rsidRDefault="00FA772C" w:rsidP="001E51B1">
      <w:pPr>
        <w:rPr>
          <w:lang w:val="en-US"/>
        </w:rPr>
      </w:pPr>
      <w:r>
        <w:rPr>
          <w:lang w:val="en-US"/>
        </w:rPr>
        <w:t xml:space="preserve">It is notable that the geographical spread of </w:t>
      </w:r>
      <w:r w:rsidR="000C17E1">
        <w:rPr>
          <w:lang w:val="en-US"/>
        </w:rPr>
        <w:t>at-risk</w:t>
      </w:r>
      <w:r>
        <w:rPr>
          <w:lang w:val="en-US"/>
        </w:rPr>
        <w:t xml:space="preserve"> areas is relatively wide, with nine of the 12 Local Authorities in Essex containing wards that are or are at risk of being ‘left-behind’</w:t>
      </w:r>
      <w:r w:rsidR="000C17E1">
        <w:rPr>
          <w:lang w:val="en-US"/>
        </w:rPr>
        <w:t xml:space="preserve"> in contrast to the current set of identified ‘left-behind’ areas which are predominantly focused in two areas of the county (</w:t>
      </w:r>
      <w:proofErr w:type="spellStart"/>
      <w:r w:rsidR="000C17E1">
        <w:rPr>
          <w:lang w:val="en-US"/>
        </w:rPr>
        <w:t>Basildon</w:t>
      </w:r>
      <w:proofErr w:type="spellEnd"/>
      <w:r w:rsidR="000C17E1">
        <w:rPr>
          <w:lang w:val="en-US"/>
        </w:rPr>
        <w:t xml:space="preserve"> and Tendring). This suggests that some of the underlying risk factors are more of a county-wide issue rather than concentrated in a small subset of areas.</w:t>
      </w:r>
    </w:p>
    <w:p w14:paraId="502F14B7" w14:textId="77777777" w:rsidR="00FA772C" w:rsidRDefault="00FA772C">
      <w:pPr>
        <w:spacing w:after="160" w:line="259" w:lineRule="auto"/>
        <w:rPr>
          <w:rFonts w:eastAsiaTheme="majorEastAsia" w:cstheme="majorBidi"/>
          <w:color w:val="2F5496" w:themeColor="accent1" w:themeShade="BF"/>
          <w:sz w:val="32"/>
          <w:szCs w:val="32"/>
        </w:rPr>
      </w:pPr>
      <w:r>
        <w:br w:type="page"/>
      </w:r>
    </w:p>
    <w:p w14:paraId="26424D21" w14:textId="32D5D3E7" w:rsidR="0045150F" w:rsidRDefault="0045150F" w:rsidP="00D25FB0">
      <w:pPr>
        <w:pStyle w:val="Heading1"/>
      </w:pPr>
      <w:bookmarkStart w:id="26" w:name="_Toc71790746"/>
      <w:r>
        <w:lastRenderedPageBreak/>
        <w:t>Appendix A: The initial long-list</w:t>
      </w:r>
      <w:bookmarkEnd w:id="26"/>
    </w:p>
    <w:p w14:paraId="43162805" w14:textId="440A1179" w:rsidR="0045150F" w:rsidRDefault="0045150F" w:rsidP="0045150F"/>
    <w:p w14:paraId="514D17A3" w14:textId="701E4674" w:rsidR="0045150F" w:rsidRDefault="0045150F" w:rsidP="0045150F">
      <w:r>
        <w:t>The table below presents the 168 indicators considered as part of the initial long-list of predictor variables to consider including in the model.</w:t>
      </w:r>
    </w:p>
    <w:p w14:paraId="606272E5" w14:textId="3BDE9ABA" w:rsidR="0045150F" w:rsidRDefault="0045150F" w:rsidP="0045150F"/>
    <w:tbl>
      <w:tblPr>
        <w:tblStyle w:val="GridTable4-Accent5"/>
        <w:tblW w:w="9493" w:type="dxa"/>
        <w:tblLayout w:type="fixed"/>
        <w:tblLook w:val="04A0" w:firstRow="1" w:lastRow="0" w:firstColumn="1" w:lastColumn="0" w:noHBand="0" w:noVBand="1"/>
      </w:tblPr>
      <w:tblGrid>
        <w:gridCol w:w="4957"/>
        <w:gridCol w:w="3260"/>
        <w:gridCol w:w="1276"/>
      </w:tblGrid>
      <w:tr w:rsidR="0045150F" w:rsidRPr="00532E83" w14:paraId="7103B974" w14:textId="77777777" w:rsidTr="00AB41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0A14EE7" w14:textId="77777777" w:rsidR="0045150F" w:rsidRPr="00E16578" w:rsidRDefault="0045150F" w:rsidP="00AB41AF">
            <w:pPr>
              <w:rPr>
                <w:rFonts w:cstheme="minorHAnsi"/>
                <w:b w:val="0"/>
                <w:bCs w:val="0"/>
                <w:szCs w:val="20"/>
              </w:rPr>
            </w:pPr>
            <w:r w:rsidRPr="00E16578">
              <w:rPr>
                <w:rFonts w:cstheme="minorHAnsi"/>
                <w:b w:val="0"/>
                <w:bCs w:val="0"/>
                <w:szCs w:val="20"/>
              </w:rPr>
              <w:t>Indicator</w:t>
            </w:r>
          </w:p>
        </w:tc>
        <w:tc>
          <w:tcPr>
            <w:tcW w:w="3260" w:type="dxa"/>
            <w:noWrap/>
            <w:hideMark/>
          </w:tcPr>
          <w:p w14:paraId="675CC60A" w14:textId="77777777" w:rsidR="0045150F" w:rsidRPr="00E16578" w:rsidRDefault="0045150F" w:rsidP="00AB41AF">
            <w:pPr>
              <w:cnfStyle w:val="100000000000" w:firstRow="1" w:lastRow="0" w:firstColumn="0" w:lastColumn="0" w:oddVBand="0" w:evenVBand="0" w:oddHBand="0" w:evenHBand="0" w:firstRowFirstColumn="0" w:firstRowLastColumn="0" w:lastRowFirstColumn="0" w:lastRowLastColumn="0"/>
              <w:rPr>
                <w:rFonts w:cstheme="minorHAnsi"/>
                <w:b w:val="0"/>
                <w:bCs w:val="0"/>
                <w:szCs w:val="20"/>
              </w:rPr>
            </w:pPr>
            <w:r w:rsidRPr="00E16578">
              <w:rPr>
                <w:rFonts w:cstheme="minorHAnsi"/>
                <w:b w:val="0"/>
                <w:bCs w:val="0"/>
                <w:szCs w:val="20"/>
              </w:rPr>
              <w:t>Source</w:t>
            </w:r>
          </w:p>
        </w:tc>
        <w:tc>
          <w:tcPr>
            <w:tcW w:w="1276" w:type="dxa"/>
            <w:noWrap/>
            <w:hideMark/>
          </w:tcPr>
          <w:p w14:paraId="6D264A77" w14:textId="77777777" w:rsidR="0045150F" w:rsidRPr="00E16578" w:rsidRDefault="0045150F" w:rsidP="00AB41AF">
            <w:pPr>
              <w:cnfStyle w:val="100000000000" w:firstRow="1" w:lastRow="0" w:firstColumn="0" w:lastColumn="0" w:oddVBand="0" w:evenVBand="0" w:oddHBand="0" w:evenHBand="0" w:firstRowFirstColumn="0" w:firstRowLastColumn="0" w:lastRowFirstColumn="0" w:lastRowLastColumn="0"/>
              <w:rPr>
                <w:rFonts w:cstheme="minorHAnsi"/>
                <w:b w:val="0"/>
                <w:bCs w:val="0"/>
                <w:szCs w:val="20"/>
              </w:rPr>
            </w:pPr>
            <w:r w:rsidRPr="00E16578">
              <w:rPr>
                <w:rFonts w:cstheme="minorHAnsi"/>
                <w:b w:val="0"/>
                <w:bCs w:val="0"/>
                <w:szCs w:val="20"/>
              </w:rPr>
              <w:t>Date</w:t>
            </w:r>
          </w:p>
        </w:tc>
      </w:tr>
      <w:tr w:rsidR="0045150F" w:rsidRPr="00532E83" w14:paraId="18607AB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6EE8BA8" w14:textId="77777777" w:rsidR="0045150F" w:rsidRPr="00E16578" w:rsidRDefault="0045150F" w:rsidP="00AB41AF">
            <w:pPr>
              <w:rPr>
                <w:rFonts w:cstheme="minorHAnsi"/>
                <w:b w:val="0"/>
                <w:bCs w:val="0"/>
                <w:sz w:val="18"/>
                <w:szCs w:val="18"/>
              </w:rPr>
            </w:pPr>
            <w:r w:rsidRPr="00E16578">
              <w:rPr>
                <w:b w:val="0"/>
                <w:bCs w:val="0"/>
                <w:color w:val="000000"/>
                <w:sz w:val="18"/>
                <w:szCs w:val="18"/>
              </w:rPr>
              <w:t>Addresses with private outdoor space</w:t>
            </w:r>
          </w:p>
        </w:tc>
        <w:tc>
          <w:tcPr>
            <w:tcW w:w="3260" w:type="dxa"/>
            <w:noWrap/>
            <w:vAlign w:val="bottom"/>
          </w:tcPr>
          <w:p w14:paraId="787070E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Ordnance Survey</w:t>
            </w:r>
          </w:p>
        </w:tc>
        <w:tc>
          <w:tcPr>
            <w:tcW w:w="1276" w:type="dxa"/>
            <w:noWrap/>
            <w:vAlign w:val="bottom"/>
          </w:tcPr>
          <w:p w14:paraId="0CA7B1E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Apr-20</w:t>
            </w:r>
          </w:p>
        </w:tc>
      </w:tr>
      <w:tr w:rsidR="0045150F" w:rsidRPr="00532E83" w14:paraId="0AFFCE84"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85117EC" w14:textId="77777777" w:rsidR="0045150F" w:rsidRPr="00E16578" w:rsidRDefault="0045150F" w:rsidP="00AB41AF">
            <w:pPr>
              <w:rPr>
                <w:rFonts w:cstheme="minorHAnsi"/>
                <w:b w:val="0"/>
                <w:bCs w:val="0"/>
                <w:sz w:val="18"/>
                <w:szCs w:val="18"/>
              </w:rPr>
            </w:pPr>
            <w:r w:rsidRPr="00E16578">
              <w:rPr>
                <w:b w:val="0"/>
                <w:bCs w:val="0"/>
                <w:color w:val="000000"/>
                <w:sz w:val="18"/>
                <w:szCs w:val="18"/>
              </w:rPr>
              <w:t>All householders (aged 16+) have English as a main language</w:t>
            </w:r>
          </w:p>
        </w:tc>
        <w:tc>
          <w:tcPr>
            <w:tcW w:w="3260" w:type="dxa"/>
            <w:noWrap/>
            <w:vAlign w:val="bottom"/>
          </w:tcPr>
          <w:p w14:paraId="6A0F973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3291B0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45150F" w:rsidRPr="00532E83" w14:paraId="4B21A274"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2A25D1F" w14:textId="77777777" w:rsidR="0045150F" w:rsidRPr="00E16578" w:rsidRDefault="0045150F" w:rsidP="00AB41AF">
            <w:pPr>
              <w:rPr>
                <w:rFonts w:cstheme="minorHAnsi"/>
                <w:b w:val="0"/>
                <w:bCs w:val="0"/>
                <w:sz w:val="18"/>
                <w:szCs w:val="18"/>
              </w:rPr>
            </w:pPr>
            <w:r w:rsidRPr="00E16578">
              <w:rPr>
                <w:b w:val="0"/>
                <w:bCs w:val="0"/>
                <w:color w:val="000000"/>
                <w:sz w:val="18"/>
                <w:szCs w:val="18"/>
              </w:rPr>
              <w:t>All VAT based local units</w:t>
            </w:r>
          </w:p>
        </w:tc>
        <w:tc>
          <w:tcPr>
            <w:tcW w:w="3260" w:type="dxa"/>
            <w:noWrap/>
            <w:vAlign w:val="bottom"/>
          </w:tcPr>
          <w:p w14:paraId="79DB267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675F392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2020</w:t>
            </w:r>
          </w:p>
        </w:tc>
      </w:tr>
      <w:tr w:rsidR="0045150F" w:rsidRPr="00532E83" w14:paraId="119004CE"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46228EF" w14:textId="77777777" w:rsidR="0045150F" w:rsidRPr="00E16578" w:rsidRDefault="0045150F" w:rsidP="00AB41AF">
            <w:pPr>
              <w:rPr>
                <w:rFonts w:cstheme="minorHAnsi"/>
                <w:b w:val="0"/>
                <w:bCs w:val="0"/>
                <w:sz w:val="18"/>
                <w:szCs w:val="18"/>
              </w:rPr>
            </w:pPr>
            <w:r w:rsidRPr="00E16578">
              <w:rPr>
                <w:b w:val="0"/>
                <w:bCs w:val="0"/>
                <w:color w:val="000000"/>
                <w:sz w:val="18"/>
                <w:szCs w:val="18"/>
              </w:rPr>
              <w:t>Anti-social behaviour</w:t>
            </w:r>
          </w:p>
        </w:tc>
        <w:tc>
          <w:tcPr>
            <w:tcW w:w="3260" w:type="dxa"/>
            <w:noWrap/>
            <w:vAlign w:val="bottom"/>
          </w:tcPr>
          <w:p w14:paraId="24C94F2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Police UK</w:t>
            </w:r>
          </w:p>
        </w:tc>
        <w:tc>
          <w:tcPr>
            <w:tcW w:w="1276" w:type="dxa"/>
            <w:noWrap/>
            <w:vAlign w:val="bottom"/>
          </w:tcPr>
          <w:p w14:paraId="59EDC44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104C149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8F63107"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house price</w:t>
            </w:r>
          </w:p>
        </w:tc>
        <w:tc>
          <w:tcPr>
            <w:tcW w:w="3260" w:type="dxa"/>
            <w:noWrap/>
            <w:vAlign w:val="bottom"/>
          </w:tcPr>
          <w:p w14:paraId="17C3C3C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4C3B0C1A"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25261475"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1BFBCB3"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house price for detached houses</w:t>
            </w:r>
          </w:p>
        </w:tc>
        <w:tc>
          <w:tcPr>
            <w:tcW w:w="3260" w:type="dxa"/>
            <w:noWrap/>
            <w:vAlign w:val="bottom"/>
          </w:tcPr>
          <w:p w14:paraId="43B70DEC"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609DE9F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4002A154"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0EB90EA"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house price for flats</w:t>
            </w:r>
          </w:p>
        </w:tc>
        <w:tc>
          <w:tcPr>
            <w:tcW w:w="3260" w:type="dxa"/>
            <w:noWrap/>
            <w:vAlign w:val="bottom"/>
          </w:tcPr>
          <w:p w14:paraId="282334A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69A6D33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4E16CA9E"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FF3E902"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house price for semi-detached houses</w:t>
            </w:r>
          </w:p>
        </w:tc>
        <w:tc>
          <w:tcPr>
            <w:tcW w:w="3260" w:type="dxa"/>
            <w:noWrap/>
            <w:vAlign w:val="bottom"/>
          </w:tcPr>
          <w:p w14:paraId="0B3ED53C"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04871AA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1E248D55"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B67E796"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house price for terraced houses</w:t>
            </w:r>
          </w:p>
        </w:tc>
        <w:tc>
          <w:tcPr>
            <w:tcW w:w="3260" w:type="dxa"/>
            <w:noWrap/>
            <w:vAlign w:val="bottom"/>
          </w:tcPr>
          <w:p w14:paraId="3C2C5DA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0D129D2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5A97461A"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B4EC261"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household size</w:t>
            </w:r>
          </w:p>
        </w:tc>
        <w:tc>
          <w:tcPr>
            <w:tcW w:w="3260" w:type="dxa"/>
            <w:noWrap/>
            <w:vAlign w:val="bottom"/>
          </w:tcPr>
          <w:p w14:paraId="1783EE8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B62DBC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45150F" w:rsidRPr="00532E83" w14:paraId="6C9AC342"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8692C3B" w14:textId="77777777" w:rsidR="0045150F" w:rsidRPr="00E16578" w:rsidRDefault="0045150F" w:rsidP="00AB41AF">
            <w:pPr>
              <w:rPr>
                <w:rFonts w:cstheme="minorHAnsi"/>
                <w:b w:val="0"/>
                <w:bCs w:val="0"/>
                <w:sz w:val="18"/>
                <w:szCs w:val="18"/>
              </w:rPr>
            </w:pPr>
            <w:r w:rsidRPr="00E16578">
              <w:rPr>
                <w:b w:val="0"/>
                <w:bCs w:val="0"/>
                <w:color w:val="000000"/>
                <w:sz w:val="18"/>
                <w:szCs w:val="18"/>
              </w:rPr>
              <w:t>Average Point Score - Key Stage 1 pupils</w:t>
            </w:r>
          </w:p>
        </w:tc>
        <w:tc>
          <w:tcPr>
            <w:tcW w:w="3260" w:type="dxa"/>
            <w:noWrap/>
            <w:vAlign w:val="bottom"/>
          </w:tcPr>
          <w:p w14:paraId="75D2DD0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357535B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2013/14</w:t>
            </w:r>
          </w:p>
        </w:tc>
      </w:tr>
      <w:tr w:rsidR="0045150F" w:rsidRPr="00532E83" w14:paraId="438A1253"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195C876" w14:textId="77777777" w:rsidR="0045150F" w:rsidRPr="00E16578" w:rsidRDefault="0045150F" w:rsidP="00AB41AF">
            <w:pPr>
              <w:rPr>
                <w:rFonts w:cstheme="minorHAnsi"/>
                <w:b w:val="0"/>
                <w:bCs w:val="0"/>
                <w:sz w:val="18"/>
                <w:szCs w:val="18"/>
              </w:rPr>
            </w:pPr>
            <w:r w:rsidRPr="00E16578">
              <w:rPr>
                <w:b w:val="0"/>
                <w:bCs w:val="0"/>
                <w:color w:val="000000"/>
                <w:sz w:val="18"/>
                <w:szCs w:val="18"/>
              </w:rPr>
              <w:t>Change in population 2001 to 2017</w:t>
            </w:r>
          </w:p>
        </w:tc>
        <w:tc>
          <w:tcPr>
            <w:tcW w:w="3260" w:type="dxa"/>
            <w:noWrap/>
            <w:vAlign w:val="bottom"/>
          </w:tcPr>
          <w:p w14:paraId="1A3843A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Office for National Statistics (ONS)</w:t>
            </w:r>
          </w:p>
        </w:tc>
        <w:tc>
          <w:tcPr>
            <w:tcW w:w="1276" w:type="dxa"/>
            <w:noWrap/>
            <w:vAlign w:val="bottom"/>
          </w:tcPr>
          <w:p w14:paraId="7B88A0B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2001 to 2017</w:t>
            </w:r>
          </w:p>
        </w:tc>
      </w:tr>
      <w:tr w:rsidR="0045150F" w:rsidRPr="00532E83" w14:paraId="1706616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2EDDA96" w14:textId="77777777" w:rsidR="0045150F" w:rsidRPr="00E16578" w:rsidRDefault="0045150F" w:rsidP="00AB41AF">
            <w:pPr>
              <w:rPr>
                <w:rFonts w:cstheme="minorHAnsi"/>
                <w:b w:val="0"/>
                <w:bCs w:val="0"/>
                <w:sz w:val="18"/>
                <w:szCs w:val="18"/>
              </w:rPr>
            </w:pPr>
            <w:r w:rsidRPr="00E16578">
              <w:rPr>
                <w:b w:val="0"/>
                <w:bCs w:val="0"/>
                <w:color w:val="000000"/>
                <w:sz w:val="18"/>
                <w:szCs w:val="18"/>
              </w:rPr>
              <w:t>Change in unemployment claimant rate 2005 to 2019</w:t>
            </w:r>
          </w:p>
        </w:tc>
        <w:tc>
          <w:tcPr>
            <w:tcW w:w="3260" w:type="dxa"/>
            <w:noWrap/>
            <w:vAlign w:val="bottom"/>
          </w:tcPr>
          <w:p w14:paraId="19E77D9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Department for Work and Pensions </w:t>
            </w:r>
          </w:p>
        </w:tc>
        <w:tc>
          <w:tcPr>
            <w:tcW w:w="1276" w:type="dxa"/>
            <w:noWrap/>
            <w:vAlign w:val="bottom"/>
          </w:tcPr>
          <w:p w14:paraId="60C8EBAE"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2005 to 2019</w:t>
            </w:r>
          </w:p>
        </w:tc>
      </w:tr>
      <w:tr w:rsidR="0045150F" w:rsidRPr="00532E83" w14:paraId="16472438"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AD39B89" w14:textId="77777777" w:rsidR="0045150F" w:rsidRPr="00E16578" w:rsidRDefault="0045150F" w:rsidP="00AB41AF">
            <w:pPr>
              <w:rPr>
                <w:rFonts w:cstheme="minorHAnsi"/>
                <w:b w:val="0"/>
                <w:bCs w:val="0"/>
                <w:sz w:val="18"/>
                <w:szCs w:val="18"/>
              </w:rPr>
            </w:pPr>
            <w:r w:rsidRPr="00E16578">
              <w:rPr>
                <w:b w:val="0"/>
                <w:bCs w:val="0"/>
                <w:color w:val="000000"/>
                <w:sz w:val="18"/>
                <w:szCs w:val="18"/>
              </w:rPr>
              <w:t>Children providing unpaid care</w:t>
            </w:r>
          </w:p>
        </w:tc>
        <w:tc>
          <w:tcPr>
            <w:tcW w:w="3260" w:type="dxa"/>
            <w:noWrap/>
            <w:vAlign w:val="bottom"/>
          </w:tcPr>
          <w:p w14:paraId="5302BEE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B6329C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45150F" w:rsidRPr="00532E83" w14:paraId="7B51EEBA"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93225D4" w14:textId="77777777" w:rsidR="0045150F" w:rsidRPr="00E16578" w:rsidRDefault="0045150F" w:rsidP="00AB41AF">
            <w:pPr>
              <w:rPr>
                <w:rFonts w:cstheme="minorHAnsi"/>
                <w:b w:val="0"/>
                <w:bCs w:val="0"/>
                <w:sz w:val="18"/>
                <w:szCs w:val="18"/>
              </w:rPr>
            </w:pPr>
            <w:r w:rsidRPr="00E16578">
              <w:rPr>
                <w:b w:val="0"/>
                <w:bCs w:val="0"/>
                <w:color w:val="000000"/>
                <w:sz w:val="18"/>
                <w:szCs w:val="18"/>
              </w:rPr>
              <w:t>Criminal damage</w:t>
            </w:r>
          </w:p>
        </w:tc>
        <w:tc>
          <w:tcPr>
            <w:tcW w:w="3260" w:type="dxa"/>
            <w:noWrap/>
            <w:vAlign w:val="bottom"/>
          </w:tcPr>
          <w:p w14:paraId="43E22CB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Police UK</w:t>
            </w:r>
          </w:p>
        </w:tc>
        <w:tc>
          <w:tcPr>
            <w:tcW w:w="1276" w:type="dxa"/>
            <w:noWrap/>
            <w:vAlign w:val="bottom"/>
          </w:tcPr>
          <w:p w14:paraId="56D9C47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430AE9FD"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14040F2" w14:textId="77777777" w:rsidR="0045150F" w:rsidRPr="00E16578" w:rsidRDefault="0045150F" w:rsidP="00AB41AF">
            <w:pPr>
              <w:rPr>
                <w:rFonts w:cstheme="minorHAnsi"/>
                <w:b w:val="0"/>
                <w:bCs w:val="0"/>
                <w:sz w:val="18"/>
                <w:szCs w:val="18"/>
              </w:rPr>
            </w:pPr>
            <w:r w:rsidRPr="00E16578">
              <w:rPr>
                <w:b w:val="0"/>
                <w:bCs w:val="0"/>
                <w:color w:val="000000"/>
                <w:sz w:val="18"/>
                <w:szCs w:val="18"/>
              </w:rPr>
              <w:t>Current average energy efficiency of domestic buildings</w:t>
            </w:r>
          </w:p>
        </w:tc>
        <w:tc>
          <w:tcPr>
            <w:tcW w:w="3260" w:type="dxa"/>
            <w:noWrap/>
            <w:vAlign w:val="bottom"/>
          </w:tcPr>
          <w:p w14:paraId="690842A0"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Department for Communities and Local Government</w:t>
            </w:r>
          </w:p>
        </w:tc>
        <w:tc>
          <w:tcPr>
            <w:tcW w:w="1276" w:type="dxa"/>
            <w:noWrap/>
            <w:vAlign w:val="bottom"/>
          </w:tcPr>
          <w:p w14:paraId="7CF0F59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2009 to 2016</w:t>
            </w:r>
          </w:p>
        </w:tc>
      </w:tr>
      <w:tr w:rsidR="009E3D36" w:rsidRPr="00532E83" w14:paraId="3CE266F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D84DC94" w14:textId="77777777" w:rsidR="0045150F" w:rsidRPr="00E16578" w:rsidRDefault="0045150F" w:rsidP="00AB41AF">
            <w:pPr>
              <w:rPr>
                <w:rFonts w:cstheme="minorHAnsi"/>
                <w:b w:val="0"/>
                <w:bCs w:val="0"/>
                <w:sz w:val="18"/>
                <w:szCs w:val="18"/>
              </w:rPr>
            </w:pPr>
            <w:r w:rsidRPr="00E16578">
              <w:rPr>
                <w:b w:val="0"/>
                <w:bCs w:val="0"/>
                <w:color w:val="000000"/>
                <w:sz w:val="18"/>
                <w:szCs w:val="18"/>
              </w:rPr>
              <w:t>Drug crime offences</w:t>
            </w:r>
          </w:p>
        </w:tc>
        <w:tc>
          <w:tcPr>
            <w:tcW w:w="3260" w:type="dxa"/>
            <w:noWrap/>
            <w:vAlign w:val="bottom"/>
          </w:tcPr>
          <w:p w14:paraId="0D0EEDD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Police UK</w:t>
            </w:r>
          </w:p>
        </w:tc>
        <w:tc>
          <w:tcPr>
            <w:tcW w:w="1276" w:type="dxa"/>
            <w:noWrap/>
            <w:vAlign w:val="bottom"/>
          </w:tcPr>
          <w:p w14:paraId="10C6FCF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45150F" w:rsidRPr="00532E83" w14:paraId="267FF67E"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495F603" w14:textId="77777777" w:rsidR="0045150F" w:rsidRPr="00E16578" w:rsidRDefault="0045150F" w:rsidP="00AB41AF">
            <w:pPr>
              <w:rPr>
                <w:rFonts w:cstheme="minorHAnsi"/>
                <w:b w:val="0"/>
                <w:bCs w:val="0"/>
                <w:sz w:val="18"/>
                <w:szCs w:val="18"/>
              </w:rPr>
            </w:pPr>
            <w:r w:rsidRPr="00E16578">
              <w:rPr>
                <w:b w:val="0"/>
                <w:bCs w:val="0"/>
                <w:color w:val="000000"/>
                <w:sz w:val="18"/>
                <w:szCs w:val="18"/>
              </w:rPr>
              <w:t>Dwelling stock built 1945-2000</w:t>
            </w:r>
          </w:p>
        </w:tc>
        <w:tc>
          <w:tcPr>
            <w:tcW w:w="3260" w:type="dxa"/>
            <w:noWrap/>
            <w:vAlign w:val="bottom"/>
          </w:tcPr>
          <w:p w14:paraId="180BC5D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Valuation Office Agency</w:t>
            </w:r>
          </w:p>
        </w:tc>
        <w:tc>
          <w:tcPr>
            <w:tcW w:w="1276" w:type="dxa"/>
            <w:noWrap/>
            <w:vAlign w:val="bottom"/>
          </w:tcPr>
          <w:p w14:paraId="16B12FB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2020</w:t>
            </w:r>
          </w:p>
        </w:tc>
      </w:tr>
      <w:tr w:rsidR="00D941BA" w:rsidRPr="00532E83" w14:paraId="0F9790F1"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61FFB0B" w14:textId="77777777" w:rsidR="0045150F" w:rsidRPr="00E16578" w:rsidRDefault="0045150F" w:rsidP="00AB41AF">
            <w:pPr>
              <w:rPr>
                <w:rFonts w:cstheme="minorHAnsi"/>
                <w:b w:val="0"/>
                <w:bCs w:val="0"/>
                <w:sz w:val="18"/>
                <w:szCs w:val="18"/>
              </w:rPr>
            </w:pPr>
            <w:r w:rsidRPr="00E16578">
              <w:rPr>
                <w:b w:val="0"/>
                <w:bCs w:val="0"/>
                <w:color w:val="000000"/>
                <w:sz w:val="18"/>
                <w:szCs w:val="18"/>
              </w:rPr>
              <w:t>Dwelling stock built after 2000</w:t>
            </w:r>
          </w:p>
        </w:tc>
        <w:tc>
          <w:tcPr>
            <w:tcW w:w="3260" w:type="dxa"/>
            <w:noWrap/>
          </w:tcPr>
          <w:p w14:paraId="63EEA27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E6862">
              <w:rPr>
                <w:color w:val="000000"/>
                <w:sz w:val="18"/>
                <w:szCs w:val="18"/>
              </w:rPr>
              <w:t>Valuation Office Agency</w:t>
            </w:r>
          </w:p>
        </w:tc>
        <w:tc>
          <w:tcPr>
            <w:tcW w:w="1276" w:type="dxa"/>
            <w:noWrap/>
            <w:vAlign w:val="bottom"/>
          </w:tcPr>
          <w:p w14:paraId="54DBCEC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2020</w:t>
            </w:r>
          </w:p>
        </w:tc>
      </w:tr>
      <w:tr w:rsidR="009E3D36" w:rsidRPr="00532E83" w14:paraId="64FE21A8"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4A02453" w14:textId="77777777" w:rsidR="0045150F" w:rsidRPr="00E16578" w:rsidRDefault="0045150F" w:rsidP="00AB41AF">
            <w:pPr>
              <w:rPr>
                <w:rFonts w:cstheme="minorHAnsi"/>
                <w:b w:val="0"/>
                <w:bCs w:val="0"/>
                <w:sz w:val="18"/>
                <w:szCs w:val="18"/>
              </w:rPr>
            </w:pPr>
            <w:r w:rsidRPr="00E16578">
              <w:rPr>
                <w:b w:val="0"/>
                <w:bCs w:val="0"/>
                <w:color w:val="000000"/>
                <w:sz w:val="18"/>
                <w:szCs w:val="18"/>
              </w:rPr>
              <w:t>Dwelling Stock by Council Tax Band - Band A</w:t>
            </w:r>
          </w:p>
        </w:tc>
        <w:tc>
          <w:tcPr>
            <w:tcW w:w="3260" w:type="dxa"/>
            <w:noWrap/>
          </w:tcPr>
          <w:p w14:paraId="4E9E558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E6862">
              <w:rPr>
                <w:color w:val="000000"/>
                <w:sz w:val="18"/>
                <w:szCs w:val="18"/>
              </w:rPr>
              <w:t>Valuation Office Agency</w:t>
            </w:r>
          </w:p>
        </w:tc>
        <w:tc>
          <w:tcPr>
            <w:tcW w:w="1276" w:type="dxa"/>
            <w:noWrap/>
            <w:vAlign w:val="bottom"/>
          </w:tcPr>
          <w:p w14:paraId="2B43D990"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2020</w:t>
            </w:r>
          </w:p>
        </w:tc>
      </w:tr>
      <w:tr w:rsidR="009E3D36" w:rsidRPr="00532E83" w14:paraId="6E75C49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45E1AA7" w14:textId="77777777" w:rsidR="0045150F" w:rsidRPr="00E16578" w:rsidRDefault="0045150F" w:rsidP="00AB41AF">
            <w:pPr>
              <w:rPr>
                <w:rFonts w:cstheme="minorHAnsi"/>
                <w:b w:val="0"/>
                <w:bCs w:val="0"/>
                <w:sz w:val="18"/>
                <w:szCs w:val="18"/>
              </w:rPr>
            </w:pPr>
            <w:r w:rsidRPr="00E16578">
              <w:rPr>
                <w:b w:val="0"/>
                <w:bCs w:val="0"/>
                <w:color w:val="000000"/>
                <w:sz w:val="18"/>
                <w:szCs w:val="18"/>
              </w:rPr>
              <w:t>Dwellings with 9 or more rooms</w:t>
            </w:r>
          </w:p>
        </w:tc>
        <w:tc>
          <w:tcPr>
            <w:tcW w:w="3260" w:type="dxa"/>
            <w:noWrap/>
            <w:vAlign w:val="bottom"/>
          </w:tcPr>
          <w:p w14:paraId="29312C5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E7FF8B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45150F" w:rsidRPr="00532E83" w14:paraId="703C1236"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703F0EF" w14:textId="77777777" w:rsidR="0045150F" w:rsidRPr="00E16578" w:rsidRDefault="0045150F" w:rsidP="00AB41AF">
            <w:pPr>
              <w:rPr>
                <w:rFonts w:cstheme="minorHAnsi"/>
                <w:b w:val="0"/>
                <w:bCs w:val="0"/>
                <w:sz w:val="18"/>
                <w:szCs w:val="18"/>
              </w:rPr>
            </w:pPr>
            <w:r w:rsidRPr="00E16578">
              <w:rPr>
                <w:b w:val="0"/>
                <w:bCs w:val="0"/>
                <w:color w:val="000000"/>
                <w:sz w:val="18"/>
                <w:szCs w:val="18"/>
              </w:rPr>
              <w:t>Dwellings with two rooms or fewer</w:t>
            </w:r>
          </w:p>
        </w:tc>
        <w:tc>
          <w:tcPr>
            <w:tcW w:w="3260" w:type="dxa"/>
            <w:noWrap/>
            <w:vAlign w:val="bottom"/>
          </w:tcPr>
          <w:p w14:paraId="2D3EC21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BA8A7D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085C5057"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B938E6A" w14:textId="77777777" w:rsidR="0045150F" w:rsidRPr="00E16578" w:rsidRDefault="0045150F" w:rsidP="00AB41AF">
            <w:pPr>
              <w:rPr>
                <w:rFonts w:cstheme="minorHAnsi"/>
                <w:b w:val="0"/>
                <w:bCs w:val="0"/>
                <w:sz w:val="18"/>
                <w:szCs w:val="18"/>
              </w:rPr>
            </w:pPr>
            <w:r w:rsidRPr="00E16578">
              <w:rPr>
                <w:b w:val="0"/>
                <w:bCs w:val="0"/>
                <w:color w:val="000000"/>
                <w:sz w:val="18"/>
                <w:szCs w:val="18"/>
              </w:rPr>
              <w:t>Economically inactive: Looking after home or family</w:t>
            </w:r>
          </w:p>
        </w:tc>
        <w:tc>
          <w:tcPr>
            <w:tcW w:w="3260" w:type="dxa"/>
            <w:noWrap/>
            <w:vAlign w:val="bottom"/>
          </w:tcPr>
          <w:p w14:paraId="76CB487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FA7831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45150F" w:rsidRPr="00532E83" w14:paraId="46AE4D7D"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882C463" w14:textId="77777777" w:rsidR="0045150F" w:rsidRPr="00E16578" w:rsidRDefault="0045150F" w:rsidP="00AB41AF">
            <w:pPr>
              <w:rPr>
                <w:rFonts w:cstheme="minorHAnsi"/>
                <w:b w:val="0"/>
                <w:bCs w:val="0"/>
                <w:sz w:val="18"/>
                <w:szCs w:val="18"/>
              </w:rPr>
            </w:pPr>
            <w:r w:rsidRPr="00E16578">
              <w:rPr>
                <w:b w:val="0"/>
                <w:bCs w:val="0"/>
                <w:color w:val="000000"/>
                <w:sz w:val="18"/>
                <w:szCs w:val="18"/>
              </w:rPr>
              <w:t>Employment area ratio: workplace population / resident population</w:t>
            </w:r>
          </w:p>
        </w:tc>
        <w:tc>
          <w:tcPr>
            <w:tcW w:w="3260" w:type="dxa"/>
            <w:noWrap/>
            <w:vAlign w:val="bottom"/>
          </w:tcPr>
          <w:p w14:paraId="2BB4FF4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9B3180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4B85E8F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5273FA3" w14:textId="77777777" w:rsidR="0045150F" w:rsidRPr="00E16578" w:rsidRDefault="0045150F" w:rsidP="00AB41AF">
            <w:pPr>
              <w:rPr>
                <w:rFonts w:cstheme="minorHAnsi"/>
                <w:b w:val="0"/>
                <w:bCs w:val="0"/>
                <w:sz w:val="18"/>
                <w:szCs w:val="18"/>
              </w:rPr>
            </w:pPr>
            <w:r w:rsidRPr="00E16578">
              <w:rPr>
                <w:b w:val="0"/>
                <w:bCs w:val="0"/>
                <w:color w:val="000000"/>
                <w:sz w:val="18"/>
                <w:szCs w:val="18"/>
              </w:rPr>
              <w:t>Fertility rate</w:t>
            </w:r>
          </w:p>
        </w:tc>
        <w:tc>
          <w:tcPr>
            <w:tcW w:w="3260" w:type="dxa"/>
            <w:noWrap/>
            <w:vAlign w:val="bottom"/>
          </w:tcPr>
          <w:p w14:paraId="2DC1385E"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689C340E"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2011-2015</w:t>
            </w:r>
          </w:p>
        </w:tc>
      </w:tr>
      <w:tr w:rsidR="00D941BA" w:rsidRPr="00532E83" w14:paraId="6BA2A0DA"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B47D49A" w14:textId="77777777" w:rsidR="0045150F" w:rsidRPr="00E16578" w:rsidRDefault="0045150F" w:rsidP="00AB41AF">
            <w:pPr>
              <w:rPr>
                <w:rFonts w:cstheme="minorHAnsi"/>
                <w:b w:val="0"/>
                <w:bCs w:val="0"/>
                <w:sz w:val="18"/>
                <w:szCs w:val="18"/>
              </w:rPr>
            </w:pPr>
            <w:r w:rsidRPr="00E16578">
              <w:rPr>
                <w:b w:val="0"/>
                <w:bCs w:val="0"/>
                <w:color w:val="000000"/>
                <w:sz w:val="18"/>
                <w:szCs w:val="18"/>
              </w:rPr>
              <w:t xml:space="preserve">Full-time employees </w:t>
            </w:r>
          </w:p>
        </w:tc>
        <w:tc>
          <w:tcPr>
            <w:tcW w:w="3260" w:type="dxa"/>
            <w:noWrap/>
            <w:vAlign w:val="bottom"/>
          </w:tcPr>
          <w:p w14:paraId="3DB3F59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BE2173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347B2C75"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901CAA6" w14:textId="77777777" w:rsidR="0045150F" w:rsidRPr="00E16578" w:rsidRDefault="0045150F" w:rsidP="00AB41AF">
            <w:pPr>
              <w:rPr>
                <w:rFonts w:cstheme="minorHAnsi"/>
                <w:b w:val="0"/>
                <w:bCs w:val="0"/>
                <w:sz w:val="18"/>
                <w:szCs w:val="18"/>
              </w:rPr>
            </w:pPr>
            <w:r w:rsidRPr="00E16578">
              <w:rPr>
                <w:b w:val="0"/>
                <w:bCs w:val="0"/>
                <w:color w:val="000000"/>
                <w:sz w:val="18"/>
                <w:szCs w:val="18"/>
              </w:rPr>
              <w:t>Full-time: 49 or more hours worked</w:t>
            </w:r>
          </w:p>
        </w:tc>
        <w:tc>
          <w:tcPr>
            <w:tcW w:w="3260" w:type="dxa"/>
            <w:noWrap/>
            <w:vAlign w:val="bottom"/>
          </w:tcPr>
          <w:p w14:paraId="34C81B1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BC44AE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4CC0F5BD"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092004A" w14:textId="77777777" w:rsidR="0045150F" w:rsidRPr="00E16578" w:rsidRDefault="0045150F" w:rsidP="00AB41AF">
            <w:pPr>
              <w:rPr>
                <w:rFonts w:cstheme="minorHAnsi"/>
                <w:b w:val="0"/>
                <w:bCs w:val="0"/>
                <w:sz w:val="18"/>
                <w:szCs w:val="18"/>
              </w:rPr>
            </w:pPr>
            <w:r w:rsidRPr="00E16578">
              <w:rPr>
                <w:b w:val="0"/>
                <w:bCs w:val="0"/>
                <w:color w:val="000000"/>
                <w:sz w:val="18"/>
                <w:szCs w:val="18"/>
              </w:rPr>
              <w:t>Highest level of qualification: Level 1 qualifications</w:t>
            </w:r>
          </w:p>
        </w:tc>
        <w:tc>
          <w:tcPr>
            <w:tcW w:w="3260" w:type="dxa"/>
            <w:noWrap/>
            <w:vAlign w:val="bottom"/>
          </w:tcPr>
          <w:p w14:paraId="5C21F30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1D75D6D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FF66CA9"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83835B4" w14:textId="77777777" w:rsidR="0045150F" w:rsidRPr="00E16578" w:rsidRDefault="0045150F" w:rsidP="00AB41AF">
            <w:pPr>
              <w:rPr>
                <w:rFonts w:cstheme="minorHAnsi"/>
                <w:b w:val="0"/>
                <w:bCs w:val="0"/>
                <w:sz w:val="18"/>
                <w:szCs w:val="18"/>
              </w:rPr>
            </w:pPr>
            <w:r w:rsidRPr="00E16578">
              <w:rPr>
                <w:b w:val="0"/>
                <w:bCs w:val="0"/>
                <w:color w:val="000000"/>
                <w:sz w:val="18"/>
                <w:szCs w:val="18"/>
              </w:rPr>
              <w:t>Highest level of qualification: Level 4/5 (degree or higher) qualifications</w:t>
            </w:r>
          </w:p>
        </w:tc>
        <w:tc>
          <w:tcPr>
            <w:tcW w:w="3260" w:type="dxa"/>
            <w:noWrap/>
            <w:vAlign w:val="bottom"/>
          </w:tcPr>
          <w:p w14:paraId="4F712C9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3C8231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3785573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227E376" w14:textId="77777777" w:rsidR="0045150F" w:rsidRPr="00E16578" w:rsidRDefault="0045150F" w:rsidP="00AB41AF">
            <w:pPr>
              <w:rPr>
                <w:rFonts w:cstheme="minorHAnsi"/>
                <w:b w:val="0"/>
                <w:bCs w:val="0"/>
                <w:sz w:val="18"/>
                <w:szCs w:val="18"/>
              </w:rPr>
            </w:pPr>
            <w:r w:rsidRPr="00E16578">
              <w:rPr>
                <w:b w:val="0"/>
                <w:bCs w:val="0"/>
                <w:color w:val="000000"/>
                <w:sz w:val="18"/>
                <w:szCs w:val="18"/>
              </w:rPr>
              <w:t>Households with multiple needs</w:t>
            </w:r>
          </w:p>
        </w:tc>
        <w:tc>
          <w:tcPr>
            <w:tcW w:w="3260" w:type="dxa"/>
            <w:noWrap/>
            <w:vAlign w:val="bottom"/>
          </w:tcPr>
          <w:p w14:paraId="6F4DD931"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189216E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5F934187"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16E99EB" w14:textId="77777777" w:rsidR="0045150F" w:rsidRPr="00E16578" w:rsidRDefault="0045150F" w:rsidP="00AB41AF">
            <w:pPr>
              <w:rPr>
                <w:rFonts w:cstheme="minorHAnsi"/>
                <w:b w:val="0"/>
                <w:bCs w:val="0"/>
                <w:sz w:val="18"/>
                <w:szCs w:val="18"/>
              </w:rPr>
            </w:pPr>
            <w:r w:rsidRPr="00E16578">
              <w:rPr>
                <w:b w:val="0"/>
                <w:bCs w:val="0"/>
                <w:color w:val="000000"/>
                <w:sz w:val="18"/>
                <w:szCs w:val="18"/>
              </w:rPr>
              <w:t>Housing affordability: Total price/salary ratio (average house)</w:t>
            </w:r>
          </w:p>
        </w:tc>
        <w:tc>
          <w:tcPr>
            <w:tcW w:w="3260" w:type="dxa"/>
            <w:noWrap/>
            <w:vAlign w:val="bottom"/>
          </w:tcPr>
          <w:p w14:paraId="5B1378C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 / Office for National Statistics</w:t>
            </w:r>
          </w:p>
        </w:tc>
        <w:tc>
          <w:tcPr>
            <w:tcW w:w="1276" w:type="dxa"/>
            <w:noWrap/>
            <w:vAlign w:val="bottom"/>
          </w:tcPr>
          <w:p w14:paraId="150E45AA"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Year ending Sep 2017 House Prices, </w:t>
            </w:r>
            <w:r w:rsidRPr="00E16578">
              <w:rPr>
                <w:color w:val="000000"/>
                <w:sz w:val="18"/>
                <w:szCs w:val="18"/>
              </w:rPr>
              <w:lastRenderedPageBreak/>
              <w:t>2015/16 Earnings</w:t>
            </w:r>
          </w:p>
        </w:tc>
      </w:tr>
      <w:tr w:rsidR="00D941BA" w:rsidRPr="00532E83" w14:paraId="0EB945EC"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F45CFC8" w14:textId="77777777" w:rsidR="0045150F" w:rsidRPr="00E16578" w:rsidRDefault="0045150F" w:rsidP="00AB41AF">
            <w:pPr>
              <w:rPr>
                <w:rFonts w:cstheme="minorHAnsi"/>
                <w:b w:val="0"/>
                <w:bCs w:val="0"/>
                <w:sz w:val="18"/>
                <w:szCs w:val="18"/>
              </w:rPr>
            </w:pPr>
            <w:r w:rsidRPr="00E16578">
              <w:rPr>
                <w:b w:val="0"/>
                <w:bCs w:val="0"/>
                <w:color w:val="000000"/>
                <w:sz w:val="18"/>
                <w:szCs w:val="18"/>
              </w:rPr>
              <w:lastRenderedPageBreak/>
              <w:t>Housing Benefit</w:t>
            </w:r>
          </w:p>
        </w:tc>
        <w:tc>
          <w:tcPr>
            <w:tcW w:w="3260" w:type="dxa"/>
            <w:noWrap/>
            <w:vAlign w:val="bottom"/>
          </w:tcPr>
          <w:p w14:paraId="2440E92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 xml:space="preserve">Department for Work and Pensions </w:t>
            </w:r>
          </w:p>
        </w:tc>
        <w:tc>
          <w:tcPr>
            <w:tcW w:w="1276" w:type="dxa"/>
            <w:noWrap/>
            <w:vAlign w:val="bottom"/>
          </w:tcPr>
          <w:p w14:paraId="693E1BB1"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Nov-20</w:t>
            </w:r>
          </w:p>
        </w:tc>
      </w:tr>
      <w:tr w:rsidR="00D941BA" w:rsidRPr="00532E83" w14:paraId="5CFDE735"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4BC226F"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Accommodation and food service activities</w:t>
            </w:r>
          </w:p>
        </w:tc>
        <w:tc>
          <w:tcPr>
            <w:tcW w:w="3260" w:type="dxa"/>
            <w:noWrap/>
            <w:vAlign w:val="bottom"/>
          </w:tcPr>
          <w:p w14:paraId="7081E2E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1EA850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D23C6E1"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39BC6A8"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Administrative and support service activities</w:t>
            </w:r>
          </w:p>
        </w:tc>
        <w:tc>
          <w:tcPr>
            <w:tcW w:w="3260" w:type="dxa"/>
            <w:noWrap/>
            <w:vAlign w:val="bottom"/>
          </w:tcPr>
          <w:p w14:paraId="5A20CBC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737A78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336FCD62"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0918CD8"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Agriculture, forestry and fishing</w:t>
            </w:r>
          </w:p>
        </w:tc>
        <w:tc>
          <w:tcPr>
            <w:tcW w:w="3260" w:type="dxa"/>
            <w:noWrap/>
            <w:vAlign w:val="bottom"/>
          </w:tcPr>
          <w:p w14:paraId="3AD4EB8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155D32BA"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014DFF1"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326EAD6"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Construction</w:t>
            </w:r>
          </w:p>
        </w:tc>
        <w:tc>
          <w:tcPr>
            <w:tcW w:w="3260" w:type="dxa"/>
            <w:noWrap/>
            <w:vAlign w:val="bottom"/>
          </w:tcPr>
          <w:p w14:paraId="670C037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2ED990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D25A15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BDFC2B8"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Education</w:t>
            </w:r>
          </w:p>
        </w:tc>
        <w:tc>
          <w:tcPr>
            <w:tcW w:w="3260" w:type="dxa"/>
            <w:noWrap/>
            <w:vAlign w:val="bottom"/>
          </w:tcPr>
          <w:p w14:paraId="123DE01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ACAB24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75BFCD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7AC2B5A"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Electricity, gas, steam and air conditioning supply</w:t>
            </w:r>
          </w:p>
        </w:tc>
        <w:tc>
          <w:tcPr>
            <w:tcW w:w="3260" w:type="dxa"/>
            <w:noWrap/>
            <w:vAlign w:val="bottom"/>
          </w:tcPr>
          <w:p w14:paraId="1307E8F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180702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5A838AC"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EFE6D37"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Financial and insurance activities</w:t>
            </w:r>
          </w:p>
        </w:tc>
        <w:tc>
          <w:tcPr>
            <w:tcW w:w="3260" w:type="dxa"/>
            <w:noWrap/>
            <w:vAlign w:val="bottom"/>
          </w:tcPr>
          <w:p w14:paraId="51B08C8E"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D0CF88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9305C17"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1931DA3"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Human health and social work activities</w:t>
            </w:r>
          </w:p>
        </w:tc>
        <w:tc>
          <w:tcPr>
            <w:tcW w:w="3260" w:type="dxa"/>
            <w:noWrap/>
            <w:vAlign w:val="bottom"/>
          </w:tcPr>
          <w:p w14:paraId="13E4D97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D78AA7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59B34D13"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F49B56C"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Information and communication</w:t>
            </w:r>
          </w:p>
        </w:tc>
        <w:tc>
          <w:tcPr>
            <w:tcW w:w="3260" w:type="dxa"/>
            <w:noWrap/>
            <w:vAlign w:val="bottom"/>
          </w:tcPr>
          <w:p w14:paraId="09C1CCA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AD3C82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FDC098F"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EA0ACF1"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Manufacturing</w:t>
            </w:r>
          </w:p>
        </w:tc>
        <w:tc>
          <w:tcPr>
            <w:tcW w:w="3260" w:type="dxa"/>
            <w:noWrap/>
            <w:vAlign w:val="bottom"/>
          </w:tcPr>
          <w:p w14:paraId="051767A1"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DEF494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018B4C3"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7676CB9"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Mining and quarrying</w:t>
            </w:r>
          </w:p>
        </w:tc>
        <w:tc>
          <w:tcPr>
            <w:tcW w:w="3260" w:type="dxa"/>
            <w:noWrap/>
            <w:vAlign w:val="bottom"/>
          </w:tcPr>
          <w:p w14:paraId="25C2AA6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810304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AABF4E4"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EDB73AF"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Professional, scientific and technical activities</w:t>
            </w:r>
          </w:p>
        </w:tc>
        <w:tc>
          <w:tcPr>
            <w:tcW w:w="3260" w:type="dxa"/>
            <w:noWrap/>
            <w:vAlign w:val="bottom"/>
          </w:tcPr>
          <w:p w14:paraId="33F1C80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D94A5D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61D96D4"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1DE8DFF"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Public administration and defence; compulsory social security</w:t>
            </w:r>
          </w:p>
        </w:tc>
        <w:tc>
          <w:tcPr>
            <w:tcW w:w="3260" w:type="dxa"/>
            <w:noWrap/>
            <w:vAlign w:val="bottom"/>
          </w:tcPr>
          <w:p w14:paraId="71FA27D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4D6F91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3495272E"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8302FD0"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Real estate activities</w:t>
            </w:r>
          </w:p>
        </w:tc>
        <w:tc>
          <w:tcPr>
            <w:tcW w:w="3260" w:type="dxa"/>
            <w:noWrap/>
            <w:vAlign w:val="bottom"/>
          </w:tcPr>
          <w:p w14:paraId="0BA70E8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2E48A2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5DC805EA"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90CD2D8"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Transport and storage</w:t>
            </w:r>
          </w:p>
        </w:tc>
        <w:tc>
          <w:tcPr>
            <w:tcW w:w="3260" w:type="dxa"/>
            <w:noWrap/>
            <w:vAlign w:val="bottom"/>
          </w:tcPr>
          <w:p w14:paraId="5C019F1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540B0B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8042D46"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D97CD01"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Water supply; sewerage, waste management and remediation activities</w:t>
            </w:r>
          </w:p>
        </w:tc>
        <w:tc>
          <w:tcPr>
            <w:tcW w:w="3260" w:type="dxa"/>
            <w:noWrap/>
            <w:vAlign w:val="bottom"/>
          </w:tcPr>
          <w:p w14:paraId="23A087E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089F83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CE03CC0"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349A15C" w14:textId="77777777" w:rsidR="0045150F" w:rsidRPr="00E16578" w:rsidRDefault="0045150F" w:rsidP="00AB41AF">
            <w:pPr>
              <w:rPr>
                <w:rFonts w:cstheme="minorHAnsi"/>
                <w:b w:val="0"/>
                <w:bCs w:val="0"/>
                <w:sz w:val="18"/>
                <w:szCs w:val="18"/>
              </w:rPr>
            </w:pPr>
            <w:r w:rsidRPr="00E16578">
              <w:rPr>
                <w:b w:val="0"/>
                <w:bCs w:val="0"/>
                <w:color w:val="000000"/>
                <w:sz w:val="18"/>
                <w:szCs w:val="18"/>
              </w:rPr>
              <w:t>Industry: Wholesale and retail trade; repair of motor vehicles and motor cycles</w:t>
            </w:r>
          </w:p>
        </w:tc>
        <w:tc>
          <w:tcPr>
            <w:tcW w:w="3260" w:type="dxa"/>
            <w:noWrap/>
            <w:vAlign w:val="bottom"/>
          </w:tcPr>
          <w:p w14:paraId="7AC0127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59193C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FF3311A"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1874F58" w14:textId="77777777" w:rsidR="0045150F" w:rsidRPr="00E16578" w:rsidRDefault="0045150F" w:rsidP="00AB41AF">
            <w:pPr>
              <w:rPr>
                <w:rFonts w:cstheme="minorHAnsi"/>
                <w:b w:val="0"/>
                <w:bCs w:val="0"/>
                <w:sz w:val="18"/>
                <w:szCs w:val="18"/>
              </w:rPr>
            </w:pPr>
            <w:r w:rsidRPr="00E16578">
              <w:rPr>
                <w:b w:val="0"/>
                <w:bCs w:val="0"/>
                <w:color w:val="000000"/>
                <w:sz w:val="18"/>
                <w:szCs w:val="18"/>
              </w:rPr>
              <w:t>Last worked before 2001</w:t>
            </w:r>
          </w:p>
        </w:tc>
        <w:tc>
          <w:tcPr>
            <w:tcW w:w="3260" w:type="dxa"/>
            <w:noWrap/>
            <w:vAlign w:val="bottom"/>
          </w:tcPr>
          <w:p w14:paraId="2EFBA24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068D90A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6F2AAE9"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D460D04" w14:textId="77777777" w:rsidR="0045150F" w:rsidRPr="00E16578" w:rsidRDefault="0045150F" w:rsidP="00AB41AF">
            <w:pPr>
              <w:rPr>
                <w:rFonts w:cstheme="minorHAnsi"/>
                <w:b w:val="0"/>
                <w:bCs w:val="0"/>
                <w:sz w:val="18"/>
                <w:szCs w:val="18"/>
              </w:rPr>
            </w:pPr>
            <w:r w:rsidRPr="00E16578">
              <w:rPr>
                <w:b w:val="0"/>
                <w:bCs w:val="0"/>
                <w:color w:val="000000"/>
                <w:sz w:val="18"/>
                <w:szCs w:val="18"/>
              </w:rPr>
              <w:t>Lone parent in full-time employment: Total</w:t>
            </w:r>
          </w:p>
        </w:tc>
        <w:tc>
          <w:tcPr>
            <w:tcW w:w="3260" w:type="dxa"/>
            <w:noWrap/>
            <w:vAlign w:val="bottom"/>
          </w:tcPr>
          <w:p w14:paraId="736E206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2DE586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3F7F5A04"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6935C4D" w14:textId="77777777" w:rsidR="0045150F" w:rsidRPr="00E16578" w:rsidRDefault="0045150F" w:rsidP="00AB41AF">
            <w:pPr>
              <w:rPr>
                <w:rFonts w:cstheme="minorHAnsi"/>
                <w:b w:val="0"/>
                <w:bCs w:val="0"/>
                <w:sz w:val="18"/>
                <w:szCs w:val="18"/>
              </w:rPr>
            </w:pPr>
            <w:r w:rsidRPr="00E16578">
              <w:rPr>
                <w:b w:val="0"/>
                <w:bCs w:val="0"/>
                <w:color w:val="000000"/>
                <w:sz w:val="18"/>
                <w:szCs w:val="18"/>
              </w:rPr>
              <w:t>Lone parent in part-time employment: Total</w:t>
            </w:r>
          </w:p>
        </w:tc>
        <w:tc>
          <w:tcPr>
            <w:tcW w:w="3260" w:type="dxa"/>
            <w:noWrap/>
            <w:vAlign w:val="bottom"/>
          </w:tcPr>
          <w:p w14:paraId="7E48BD8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79BCFC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1E52DC9C"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3AD18EF" w14:textId="77777777" w:rsidR="0045150F" w:rsidRPr="00E16578" w:rsidRDefault="0045150F" w:rsidP="00AB41AF">
            <w:pPr>
              <w:rPr>
                <w:rFonts w:cstheme="minorHAnsi"/>
                <w:b w:val="0"/>
                <w:bCs w:val="0"/>
                <w:sz w:val="18"/>
                <w:szCs w:val="18"/>
              </w:rPr>
            </w:pPr>
            <w:r w:rsidRPr="00E16578">
              <w:rPr>
                <w:b w:val="0"/>
                <w:bCs w:val="0"/>
                <w:color w:val="000000"/>
                <w:sz w:val="18"/>
                <w:szCs w:val="18"/>
              </w:rPr>
              <w:t>Lone parent not in employment: Total</w:t>
            </w:r>
          </w:p>
        </w:tc>
        <w:tc>
          <w:tcPr>
            <w:tcW w:w="3260" w:type="dxa"/>
            <w:noWrap/>
            <w:vAlign w:val="bottom"/>
          </w:tcPr>
          <w:p w14:paraId="72A2354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3E1F3C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D0ECD31"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BE61E0B" w14:textId="77777777" w:rsidR="0045150F" w:rsidRPr="00E16578" w:rsidRDefault="0045150F" w:rsidP="00AB41AF">
            <w:pPr>
              <w:rPr>
                <w:rFonts w:cstheme="minorHAnsi"/>
                <w:b w:val="0"/>
                <w:bCs w:val="0"/>
                <w:sz w:val="18"/>
                <w:szCs w:val="18"/>
              </w:rPr>
            </w:pPr>
            <w:r w:rsidRPr="00E16578">
              <w:rPr>
                <w:b w:val="0"/>
                <w:bCs w:val="0"/>
                <w:color w:val="000000"/>
                <w:sz w:val="18"/>
                <w:szCs w:val="18"/>
              </w:rPr>
              <w:t>Low birth weight</w:t>
            </w:r>
          </w:p>
        </w:tc>
        <w:tc>
          <w:tcPr>
            <w:tcW w:w="3260" w:type="dxa"/>
            <w:noWrap/>
            <w:vAlign w:val="bottom"/>
          </w:tcPr>
          <w:p w14:paraId="761B6FD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159FC32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2011-2015</w:t>
            </w:r>
          </w:p>
        </w:tc>
      </w:tr>
      <w:tr w:rsidR="00D941BA" w:rsidRPr="00532E83" w14:paraId="234F891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BE2ADB7" w14:textId="77777777" w:rsidR="0045150F" w:rsidRPr="00E16578" w:rsidRDefault="0045150F" w:rsidP="00AB41AF">
            <w:pPr>
              <w:rPr>
                <w:rFonts w:cstheme="minorHAnsi"/>
                <w:b w:val="0"/>
                <w:bCs w:val="0"/>
                <w:sz w:val="18"/>
                <w:szCs w:val="18"/>
              </w:rPr>
            </w:pPr>
            <w:r w:rsidRPr="00E16578">
              <w:rPr>
                <w:b w:val="0"/>
                <w:bCs w:val="0"/>
                <w:color w:val="000000"/>
                <w:sz w:val="18"/>
                <w:szCs w:val="18"/>
              </w:rPr>
              <w:t>Main language is not English: Cannot speak English</w:t>
            </w:r>
          </w:p>
        </w:tc>
        <w:tc>
          <w:tcPr>
            <w:tcW w:w="3260" w:type="dxa"/>
            <w:noWrap/>
            <w:vAlign w:val="bottom"/>
          </w:tcPr>
          <w:p w14:paraId="322F01F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06A912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1B37AB6"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D4C18B8" w14:textId="77777777" w:rsidR="0045150F" w:rsidRPr="00E16578" w:rsidRDefault="0045150F" w:rsidP="00AB41AF">
            <w:pPr>
              <w:rPr>
                <w:rFonts w:cstheme="minorHAnsi"/>
                <w:b w:val="0"/>
                <w:bCs w:val="0"/>
                <w:sz w:val="18"/>
                <w:szCs w:val="18"/>
              </w:rPr>
            </w:pPr>
            <w:r w:rsidRPr="00E16578">
              <w:rPr>
                <w:b w:val="0"/>
                <w:bCs w:val="0"/>
                <w:color w:val="000000"/>
                <w:sz w:val="18"/>
                <w:szCs w:val="18"/>
              </w:rPr>
              <w:t>Main language is not English: Cannot speak English well</w:t>
            </w:r>
          </w:p>
        </w:tc>
        <w:tc>
          <w:tcPr>
            <w:tcW w:w="3260" w:type="dxa"/>
            <w:noWrap/>
            <w:vAlign w:val="bottom"/>
          </w:tcPr>
          <w:p w14:paraId="2B5D1600"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D21B89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034275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D774346" w14:textId="77777777" w:rsidR="0045150F" w:rsidRPr="00E16578" w:rsidRDefault="0045150F" w:rsidP="00AB41AF">
            <w:pPr>
              <w:rPr>
                <w:rFonts w:cstheme="minorHAnsi"/>
                <w:b w:val="0"/>
                <w:bCs w:val="0"/>
                <w:sz w:val="18"/>
                <w:szCs w:val="18"/>
              </w:rPr>
            </w:pPr>
            <w:r w:rsidRPr="00E16578">
              <w:rPr>
                <w:b w:val="0"/>
                <w:bCs w:val="0"/>
                <w:color w:val="000000"/>
                <w:sz w:val="18"/>
                <w:szCs w:val="18"/>
              </w:rPr>
              <w:t>Median net equivalised household PAYE and benefits income</w:t>
            </w:r>
          </w:p>
        </w:tc>
        <w:tc>
          <w:tcPr>
            <w:tcW w:w="3260" w:type="dxa"/>
            <w:noWrap/>
            <w:vAlign w:val="bottom"/>
          </w:tcPr>
          <w:p w14:paraId="435CC64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592E4C5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2015/16</w:t>
            </w:r>
          </w:p>
        </w:tc>
      </w:tr>
      <w:tr w:rsidR="00D941BA" w:rsidRPr="00532E83" w14:paraId="3FE38AB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BD6C844" w14:textId="77777777" w:rsidR="0045150F" w:rsidRPr="00E16578" w:rsidRDefault="0045150F" w:rsidP="00AB41AF">
            <w:pPr>
              <w:rPr>
                <w:rFonts w:cstheme="minorHAnsi"/>
                <w:b w:val="0"/>
                <w:bCs w:val="0"/>
                <w:sz w:val="18"/>
                <w:szCs w:val="18"/>
              </w:rPr>
            </w:pPr>
            <w:r w:rsidRPr="00E16578">
              <w:rPr>
                <w:b w:val="0"/>
                <w:bCs w:val="0"/>
                <w:color w:val="000000"/>
                <w:sz w:val="18"/>
                <w:szCs w:val="18"/>
              </w:rPr>
              <w:t>Mortgage debt per household</w:t>
            </w:r>
          </w:p>
        </w:tc>
        <w:tc>
          <w:tcPr>
            <w:tcW w:w="3260" w:type="dxa"/>
            <w:noWrap/>
            <w:vAlign w:val="bottom"/>
          </w:tcPr>
          <w:p w14:paraId="09CDBC5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UK Finance</w:t>
            </w:r>
          </w:p>
        </w:tc>
        <w:tc>
          <w:tcPr>
            <w:tcW w:w="1276" w:type="dxa"/>
            <w:noWrap/>
            <w:vAlign w:val="bottom"/>
          </w:tcPr>
          <w:p w14:paraId="34BFDF3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Jun-20</w:t>
            </w:r>
          </w:p>
        </w:tc>
      </w:tr>
      <w:tr w:rsidR="00D941BA" w:rsidRPr="00532E83" w14:paraId="43CFBC0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74C5AE1" w14:textId="77777777" w:rsidR="0045150F" w:rsidRPr="00E16578" w:rsidRDefault="0045150F" w:rsidP="00AB41AF">
            <w:pPr>
              <w:rPr>
                <w:rFonts w:cstheme="minorHAnsi"/>
                <w:b w:val="0"/>
                <w:bCs w:val="0"/>
                <w:sz w:val="18"/>
                <w:szCs w:val="18"/>
              </w:rPr>
            </w:pPr>
            <w:r w:rsidRPr="00E16578">
              <w:rPr>
                <w:b w:val="0"/>
                <w:bCs w:val="0"/>
                <w:color w:val="000000"/>
                <w:sz w:val="18"/>
                <w:szCs w:val="18"/>
              </w:rPr>
              <w:t>National Insurance numbers issued to non-UK nationals</w:t>
            </w:r>
          </w:p>
        </w:tc>
        <w:tc>
          <w:tcPr>
            <w:tcW w:w="3260" w:type="dxa"/>
            <w:noWrap/>
            <w:vAlign w:val="bottom"/>
          </w:tcPr>
          <w:p w14:paraId="6747348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Department for Work and Pensions </w:t>
            </w:r>
          </w:p>
        </w:tc>
        <w:tc>
          <w:tcPr>
            <w:tcW w:w="1276" w:type="dxa"/>
            <w:noWrap/>
            <w:vAlign w:val="bottom"/>
          </w:tcPr>
          <w:p w14:paraId="31B6906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2019/20</w:t>
            </w:r>
          </w:p>
        </w:tc>
      </w:tr>
      <w:tr w:rsidR="00D941BA" w:rsidRPr="00532E83" w14:paraId="114A02A8"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36E34BD" w14:textId="77777777" w:rsidR="0045150F" w:rsidRPr="00E16578" w:rsidRDefault="0045150F" w:rsidP="00AB41AF">
            <w:pPr>
              <w:rPr>
                <w:rFonts w:cstheme="minorHAnsi"/>
                <w:b w:val="0"/>
                <w:bCs w:val="0"/>
                <w:sz w:val="18"/>
                <w:szCs w:val="18"/>
              </w:rPr>
            </w:pPr>
            <w:r w:rsidRPr="00E16578">
              <w:rPr>
                <w:b w:val="0"/>
                <w:bCs w:val="0"/>
                <w:color w:val="000000"/>
                <w:sz w:val="18"/>
                <w:szCs w:val="18"/>
              </w:rPr>
              <w:t>No people in household have English as a main language</w:t>
            </w:r>
          </w:p>
        </w:tc>
        <w:tc>
          <w:tcPr>
            <w:tcW w:w="3260" w:type="dxa"/>
            <w:noWrap/>
            <w:vAlign w:val="bottom"/>
          </w:tcPr>
          <w:p w14:paraId="05E9ED5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A43ACD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2929C4F"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F549F00" w14:textId="77777777" w:rsidR="0045150F" w:rsidRPr="00E16578" w:rsidRDefault="0045150F" w:rsidP="00AB41AF">
            <w:pPr>
              <w:rPr>
                <w:rFonts w:cstheme="minorHAnsi"/>
                <w:b w:val="0"/>
                <w:bCs w:val="0"/>
                <w:sz w:val="18"/>
                <w:szCs w:val="18"/>
              </w:rPr>
            </w:pPr>
            <w:r w:rsidRPr="00E16578">
              <w:rPr>
                <w:b w:val="0"/>
                <w:bCs w:val="0"/>
                <w:color w:val="000000"/>
                <w:sz w:val="18"/>
                <w:szCs w:val="18"/>
              </w:rPr>
              <w:t>Number of property transactions</w:t>
            </w:r>
          </w:p>
        </w:tc>
        <w:tc>
          <w:tcPr>
            <w:tcW w:w="3260" w:type="dxa"/>
            <w:noWrap/>
            <w:vAlign w:val="bottom"/>
          </w:tcPr>
          <w:p w14:paraId="4C64B72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4ED2A862"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D941BA" w:rsidRPr="00532E83" w14:paraId="75ADF7C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D833AF8" w14:textId="77777777" w:rsidR="0045150F" w:rsidRPr="00E16578" w:rsidRDefault="0045150F" w:rsidP="00AB41AF">
            <w:pPr>
              <w:rPr>
                <w:rFonts w:cstheme="minorHAnsi"/>
                <w:b w:val="0"/>
                <w:bCs w:val="0"/>
                <w:sz w:val="18"/>
                <w:szCs w:val="18"/>
              </w:rPr>
            </w:pPr>
            <w:r w:rsidRPr="00E16578">
              <w:rPr>
                <w:b w:val="0"/>
                <w:bCs w:val="0"/>
                <w:color w:val="000000"/>
                <w:sz w:val="18"/>
                <w:szCs w:val="18"/>
              </w:rPr>
              <w:t>Number of property transactions for detached houses</w:t>
            </w:r>
          </w:p>
        </w:tc>
        <w:tc>
          <w:tcPr>
            <w:tcW w:w="3260" w:type="dxa"/>
            <w:noWrap/>
            <w:vAlign w:val="bottom"/>
          </w:tcPr>
          <w:p w14:paraId="3E7A25B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6F06DF3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D941BA" w:rsidRPr="00532E83" w14:paraId="070BB38D"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E067890" w14:textId="77777777" w:rsidR="0045150F" w:rsidRPr="00E16578" w:rsidRDefault="0045150F" w:rsidP="00AB41AF">
            <w:pPr>
              <w:rPr>
                <w:rFonts w:cstheme="minorHAnsi"/>
                <w:b w:val="0"/>
                <w:bCs w:val="0"/>
                <w:sz w:val="18"/>
                <w:szCs w:val="18"/>
              </w:rPr>
            </w:pPr>
            <w:r w:rsidRPr="00E16578">
              <w:rPr>
                <w:b w:val="0"/>
                <w:bCs w:val="0"/>
                <w:color w:val="000000"/>
                <w:sz w:val="18"/>
                <w:szCs w:val="18"/>
              </w:rPr>
              <w:t>Number of property transactions for flats</w:t>
            </w:r>
          </w:p>
        </w:tc>
        <w:tc>
          <w:tcPr>
            <w:tcW w:w="3260" w:type="dxa"/>
            <w:noWrap/>
            <w:vAlign w:val="bottom"/>
          </w:tcPr>
          <w:p w14:paraId="494BF0D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01647C9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D941BA" w:rsidRPr="00532E83" w14:paraId="73B71456"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6F3D8C6" w14:textId="77777777" w:rsidR="0045150F" w:rsidRPr="00E16578" w:rsidRDefault="0045150F" w:rsidP="00AB41AF">
            <w:pPr>
              <w:rPr>
                <w:rFonts w:cstheme="minorHAnsi"/>
                <w:b w:val="0"/>
                <w:bCs w:val="0"/>
                <w:sz w:val="18"/>
                <w:szCs w:val="18"/>
              </w:rPr>
            </w:pPr>
            <w:r w:rsidRPr="00E16578">
              <w:rPr>
                <w:b w:val="0"/>
                <w:bCs w:val="0"/>
                <w:color w:val="000000"/>
                <w:sz w:val="18"/>
                <w:szCs w:val="18"/>
              </w:rPr>
              <w:t>Number of property transactions for semi-detached houses</w:t>
            </w:r>
          </w:p>
        </w:tc>
        <w:tc>
          <w:tcPr>
            <w:tcW w:w="3260" w:type="dxa"/>
            <w:noWrap/>
            <w:vAlign w:val="bottom"/>
          </w:tcPr>
          <w:p w14:paraId="33D0243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530B4DD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D941BA" w:rsidRPr="00532E83" w14:paraId="12FE7141"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1942D83" w14:textId="77777777" w:rsidR="0045150F" w:rsidRPr="00E16578" w:rsidRDefault="0045150F" w:rsidP="00AB41AF">
            <w:pPr>
              <w:rPr>
                <w:rFonts w:cstheme="minorHAnsi"/>
                <w:b w:val="0"/>
                <w:bCs w:val="0"/>
                <w:sz w:val="18"/>
                <w:szCs w:val="18"/>
              </w:rPr>
            </w:pPr>
            <w:r w:rsidRPr="00E16578">
              <w:rPr>
                <w:b w:val="0"/>
                <w:bCs w:val="0"/>
                <w:color w:val="000000"/>
                <w:sz w:val="18"/>
                <w:szCs w:val="18"/>
              </w:rPr>
              <w:t>Number of property transactions for terraced houses</w:t>
            </w:r>
          </w:p>
        </w:tc>
        <w:tc>
          <w:tcPr>
            <w:tcW w:w="3260" w:type="dxa"/>
            <w:noWrap/>
            <w:vAlign w:val="bottom"/>
          </w:tcPr>
          <w:p w14:paraId="3CA2E79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509C308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D941BA" w:rsidRPr="00532E83" w14:paraId="7E394E86"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64B85A8" w14:textId="77777777" w:rsidR="0045150F" w:rsidRPr="00E16578" w:rsidRDefault="0045150F" w:rsidP="00AB41AF">
            <w:pPr>
              <w:rPr>
                <w:rFonts w:cstheme="minorHAnsi"/>
                <w:b w:val="0"/>
                <w:bCs w:val="0"/>
                <w:sz w:val="18"/>
                <w:szCs w:val="18"/>
              </w:rPr>
            </w:pPr>
            <w:r w:rsidRPr="00E16578">
              <w:rPr>
                <w:b w:val="0"/>
                <w:bCs w:val="0"/>
                <w:color w:val="000000"/>
                <w:sz w:val="18"/>
                <w:szCs w:val="18"/>
              </w:rPr>
              <w:t>Obesity prevalence</w:t>
            </w:r>
          </w:p>
        </w:tc>
        <w:tc>
          <w:tcPr>
            <w:tcW w:w="3260" w:type="dxa"/>
            <w:noWrap/>
            <w:vAlign w:val="bottom"/>
          </w:tcPr>
          <w:p w14:paraId="5A535CF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House of Commons Library</w:t>
            </w:r>
          </w:p>
        </w:tc>
        <w:tc>
          <w:tcPr>
            <w:tcW w:w="1276" w:type="dxa"/>
            <w:noWrap/>
            <w:vAlign w:val="bottom"/>
          </w:tcPr>
          <w:p w14:paraId="4B224EE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2017/18</w:t>
            </w:r>
          </w:p>
        </w:tc>
      </w:tr>
      <w:tr w:rsidR="00D941BA" w:rsidRPr="00532E83" w14:paraId="41BCB779"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78678BE" w14:textId="77777777" w:rsidR="0045150F" w:rsidRPr="00E16578" w:rsidRDefault="0045150F" w:rsidP="00AB41AF">
            <w:pPr>
              <w:rPr>
                <w:rFonts w:cstheme="minorHAnsi"/>
                <w:b w:val="0"/>
                <w:bCs w:val="0"/>
                <w:sz w:val="18"/>
                <w:szCs w:val="18"/>
              </w:rPr>
            </w:pPr>
            <w:r w:rsidRPr="00E16578">
              <w:rPr>
                <w:b w:val="0"/>
                <w:bCs w:val="0"/>
                <w:color w:val="000000"/>
                <w:sz w:val="18"/>
                <w:szCs w:val="18"/>
              </w:rPr>
              <w:t>Older person unemployment (50+ receiving JSA or Universal Credit)</w:t>
            </w:r>
          </w:p>
        </w:tc>
        <w:tc>
          <w:tcPr>
            <w:tcW w:w="3260" w:type="dxa"/>
            <w:noWrap/>
            <w:vAlign w:val="bottom"/>
          </w:tcPr>
          <w:p w14:paraId="7CD2F9D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Department for Work and Pensions </w:t>
            </w:r>
          </w:p>
        </w:tc>
        <w:tc>
          <w:tcPr>
            <w:tcW w:w="1276" w:type="dxa"/>
            <w:noWrap/>
            <w:vAlign w:val="bottom"/>
          </w:tcPr>
          <w:p w14:paraId="44C7D82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Feb-21</w:t>
            </w:r>
          </w:p>
        </w:tc>
      </w:tr>
      <w:tr w:rsidR="00D941BA" w:rsidRPr="00532E83" w14:paraId="5350A0DD"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FD76C3A" w14:textId="77777777" w:rsidR="0045150F" w:rsidRPr="00E16578" w:rsidRDefault="0045150F" w:rsidP="00AB41AF">
            <w:pPr>
              <w:rPr>
                <w:rFonts w:cstheme="minorHAnsi"/>
                <w:b w:val="0"/>
                <w:bCs w:val="0"/>
                <w:sz w:val="18"/>
                <w:szCs w:val="18"/>
              </w:rPr>
            </w:pPr>
            <w:r w:rsidRPr="00E16578">
              <w:rPr>
                <w:b w:val="0"/>
                <w:bCs w:val="0"/>
                <w:color w:val="000000"/>
                <w:sz w:val="18"/>
                <w:szCs w:val="18"/>
              </w:rPr>
              <w:lastRenderedPageBreak/>
              <w:t>One person in household with a long-term health problem or disability: With dependent children</w:t>
            </w:r>
          </w:p>
        </w:tc>
        <w:tc>
          <w:tcPr>
            <w:tcW w:w="3260" w:type="dxa"/>
            <w:noWrap/>
            <w:vAlign w:val="bottom"/>
          </w:tcPr>
          <w:p w14:paraId="065FF40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A211C8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5FAE2593"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19EC962" w14:textId="77777777" w:rsidR="0045150F" w:rsidRPr="00E16578" w:rsidRDefault="0045150F" w:rsidP="00AB41AF">
            <w:pPr>
              <w:rPr>
                <w:rFonts w:cstheme="minorHAnsi"/>
                <w:b w:val="0"/>
                <w:bCs w:val="0"/>
                <w:sz w:val="18"/>
                <w:szCs w:val="18"/>
              </w:rPr>
            </w:pPr>
            <w:r w:rsidRPr="00E16578">
              <w:rPr>
                <w:b w:val="0"/>
                <w:bCs w:val="0"/>
                <w:color w:val="000000"/>
                <w:sz w:val="18"/>
                <w:szCs w:val="18"/>
              </w:rPr>
              <w:t>Overweight or obese children in reception year</w:t>
            </w:r>
          </w:p>
        </w:tc>
        <w:tc>
          <w:tcPr>
            <w:tcW w:w="3260" w:type="dxa"/>
            <w:noWrap/>
            <w:vAlign w:val="bottom"/>
          </w:tcPr>
          <w:p w14:paraId="33A0842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National Child Measurement Programme, NHS Digital</w:t>
            </w:r>
          </w:p>
        </w:tc>
        <w:tc>
          <w:tcPr>
            <w:tcW w:w="1276" w:type="dxa"/>
            <w:noWrap/>
            <w:vAlign w:val="bottom"/>
          </w:tcPr>
          <w:p w14:paraId="2FFB887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2015/16-2017/18</w:t>
            </w:r>
          </w:p>
        </w:tc>
      </w:tr>
      <w:tr w:rsidR="00D941BA" w:rsidRPr="00532E83" w14:paraId="58D6EC32"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6E46007" w14:textId="77777777" w:rsidR="0045150F" w:rsidRPr="00E16578" w:rsidRDefault="0045150F" w:rsidP="00AB41AF">
            <w:pPr>
              <w:rPr>
                <w:rFonts w:cstheme="minorHAnsi"/>
                <w:b w:val="0"/>
                <w:bCs w:val="0"/>
                <w:sz w:val="18"/>
                <w:szCs w:val="18"/>
              </w:rPr>
            </w:pPr>
            <w:r w:rsidRPr="00E16578">
              <w:rPr>
                <w:b w:val="0"/>
                <w:bCs w:val="0"/>
                <w:color w:val="000000"/>
                <w:sz w:val="18"/>
                <w:szCs w:val="18"/>
              </w:rPr>
              <w:t>Overweight or obese children in year 6</w:t>
            </w:r>
          </w:p>
        </w:tc>
        <w:tc>
          <w:tcPr>
            <w:tcW w:w="3260" w:type="dxa"/>
            <w:noWrap/>
            <w:vAlign w:val="bottom"/>
          </w:tcPr>
          <w:p w14:paraId="7244CE6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National Child Measurement Programme, NHS Digital</w:t>
            </w:r>
          </w:p>
        </w:tc>
        <w:tc>
          <w:tcPr>
            <w:tcW w:w="1276" w:type="dxa"/>
            <w:noWrap/>
            <w:vAlign w:val="bottom"/>
          </w:tcPr>
          <w:p w14:paraId="54AF016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2015/16-2017/18</w:t>
            </w:r>
          </w:p>
        </w:tc>
      </w:tr>
      <w:tr w:rsidR="00D941BA" w:rsidRPr="00532E83" w14:paraId="636F571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DC5FADC" w14:textId="77777777" w:rsidR="0045150F" w:rsidRPr="00E16578" w:rsidRDefault="0045150F" w:rsidP="00AB41AF">
            <w:pPr>
              <w:rPr>
                <w:rFonts w:cstheme="minorHAnsi"/>
                <w:b w:val="0"/>
                <w:bCs w:val="0"/>
                <w:sz w:val="18"/>
                <w:szCs w:val="18"/>
              </w:rPr>
            </w:pPr>
            <w:r w:rsidRPr="00E16578">
              <w:rPr>
                <w:b w:val="0"/>
                <w:bCs w:val="0"/>
                <w:color w:val="000000"/>
                <w:sz w:val="18"/>
                <w:szCs w:val="18"/>
              </w:rPr>
              <w:t>Participation of state school pupils in higher education</w:t>
            </w:r>
          </w:p>
        </w:tc>
        <w:tc>
          <w:tcPr>
            <w:tcW w:w="3260" w:type="dxa"/>
            <w:noWrap/>
            <w:vAlign w:val="bottom"/>
          </w:tcPr>
          <w:p w14:paraId="2F35D85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Office for Students</w:t>
            </w:r>
          </w:p>
        </w:tc>
        <w:tc>
          <w:tcPr>
            <w:tcW w:w="1276" w:type="dxa"/>
            <w:noWrap/>
            <w:vAlign w:val="bottom"/>
          </w:tcPr>
          <w:p w14:paraId="3FBA26C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2012-13 to 2017-18</w:t>
            </w:r>
          </w:p>
        </w:tc>
      </w:tr>
      <w:tr w:rsidR="00D941BA" w:rsidRPr="00532E83" w14:paraId="20BAA5A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16D1EA4" w14:textId="77777777" w:rsidR="0045150F" w:rsidRPr="00E16578" w:rsidRDefault="0045150F" w:rsidP="00AB41AF">
            <w:pPr>
              <w:rPr>
                <w:rFonts w:cstheme="minorHAnsi"/>
                <w:b w:val="0"/>
                <w:bCs w:val="0"/>
                <w:sz w:val="18"/>
                <w:szCs w:val="18"/>
              </w:rPr>
            </w:pPr>
            <w:r w:rsidRPr="00E16578">
              <w:rPr>
                <w:b w:val="0"/>
                <w:bCs w:val="0"/>
                <w:color w:val="000000"/>
                <w:sz w:val="18"/>
                <w:szCs w:val="18"/>
              </w:rPr>
              <w:t>Part-time employees</w:t>
            </w:r>
          </w:p>
        </w:tc>
        <w:tc>
          <w:tcPr>
            <w:tcW w:w="3260" w:type="dxa"/>
            <w:noWrap/>
            <w:vAlign w:val="bottom"/>
          </w:tcPr>
          <w:p w14:paraId="123D5B2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6DE143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7876D9A"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370B993"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aged 16-24 with no qualifications</w:t>
            </w:r>
          </w:p>
        </w:tc>
        <w:tc>
          <w:tcPr>
            <w:tcW w:w="3260" w:type="dxa"/>
            <w:noWrap/>
            <w:vAlign w:val="bottom"/>
          </w:tcPr>
          <w:p w14:paraId="068C1D1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843AE6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5829E25B"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1849D43"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moving into the area in the last 12 months</w:t>
            </w:r>
          </w:p>
        </w:tc>
        <w:tc>
          <w:tcPr>
            <w:tcW w:w="3260" w:type="dxa"/>
            <w:noWrap/>
            <w:vAlign w:val="bottom"/>
          </w:tcPr>
          <w:p w14:paraId="6791F7E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5DFDCE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B45E7D2"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9DD9A7E"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travelling more than 10km to work</w:t>
            </w:r>
          </w:p>
        </w:tc>
        <w:tc>
          <w:tcPr>
            <w:tcW w:w="3260" w:type="dxa"/>
            <w:noWrap/>
            <w:vAlign w:val="bottom"/>
          </w:tcPr>
          <w:p w14:paraId="257CC10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E05B03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4E55E79"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3DB6C2F"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travelling more than 2km to work</w:t>
            </w:r>
          </w:p>
        </w:tc>
        <w:tc>
          <w:tcPr>
            <w:tcW w:w="3260" w:type="dxa"/>
            <w:noWrap/>
            <w:vAlign w:val="bottom"/>
          </w:tcPr>
          <w:p w14:paraId="53D21B8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E768BF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9D253F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E662192"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with a limiting long-term illness (aged 16-64)</w:t>
            </w:r>
          </w:p>
        </w:tc>
        <w:tc>
          <w:tcPr>
            <w:tcW w:w="3260" w:type="dxa"/>
            <w:noWrap/>
            <w:vAlign w:val="bottom"/>
          </w:tcPr>
          <w:p w14:paraId="3F22C12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359746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D8FE05E"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4EC7423"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with a limiting long-term illness (aged 65+)</w:t>
            </w:r>
          </w:p>
        </w:tc>
        <w:tc>
          <w:tcPr>
            <w:tcW w:w="3260" w:type="dxa"/>
            <w:noWrap/>
            <w:vAlign w:val="bottom"/>
          </w:tcPr>
          <w:p w14:paraId="5E30462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CFFD4B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9751FFA"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39F7468"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with a limiting long-term illness aged 0-15</w:t>
            </w:r>
          </w:p>
        </w:tc>
        <w:tc>
          <w:tcPr>
            <w:tcW w:w="3260" w:type="dxa"/>
            <w:noWrap/>
            <w:vAlign w:val="bottom"/>
          </w:tcPr>
          <w:p w14:paraId="67416FC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46B0A40"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1E07D8F2"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D5894C9" w14:textId="77777777" w:rsidR="0045150F" w:rsidRPr="00E16578" w:rsidRDefault="0045150F" w:rsidP="00AB41AF">
            <w:pPr>
              <w:rPr>
                <w:rFonts w:cstheme="minorHAnsi"/>
                <w:b w:val="0"/>
                <w:bCs w:val="0"/>
                <w:sz w:val="18"/>
                <w:szCs w:val="18"/>
              </w:rPr>
            </w:pPr>
            <w:r w:rsidRPr="00E16578">
              <w:rPr>
                <w:b w:val="0"/>
                <w:bCs w:val="0"/>
                <w:color w:val="000000"/>
                <w:sz w:val="18"/>
                <w:szCs w:val="18"/>
              </w:rPr>
              <w:t>People with a limiting long-term illness aged 16-24</w:t>
            </w:r>
          </w:p>
        </w:tc>
        <w:tc>
          <w:tcPr>
            <w:tcW w:w="3260" w:type="dxa"/>
            <w:noWrap/>
            <w:vAlign w:val="bottom"/>
          </w:tcPr>
          <w:p w14:paraId="1A50AA21"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39B75E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1330931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E1A7935" w14:textId="77777777" w:rsidR="0045150F" w:rsidRPr="00E16578" w:rsidRDefault="0045150F" w:rsidP="00AB41AF">
            <w:pPr>
              <w:rPr>
                <w:rFonts w:cstheme="minorHAnsi"/>
                <w:b w:val="0"/>
                <w:bCs w:val="0"/>
                <w:sz w:val="18"/>
                <w:szCs w:val="18"/>
              </w:rPr>
            </w:pPr>
            <w:r w:rsidRPr="00E16578">
              <w:rPr>
                <w:b w:val="0"/>
                <w:bCs w:val="0"/>
                <w:color w:val="000000"/>
                <w:sz w:val="18"/>
                <w:szCs w:val="18"/>
              </w:rPr>
              <w:t xml:space="preserve">Percentage of all dwellings that are vacant (excluding second homes and holiday homes) </w:t>
            </w:r>
          </w:p>
        </w:tc>
        <w:tc>
          <w:tcPr>
            <w:tcW w:w="3260" w:type="dxa"/>
            <w:noWrap/>
            <w:vAlign w:val="bottom"/>
          </w:tcPr>
          <w:p w14:paraId="48A8B00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Council tax base</w:t>
            </w:r>
          </w:p>
        </w:tc>
        <w:tc>
          <w:tcPr>
            <w:tcW w:w="1276" w:type="dxa"/>
            <w:noWrap/>
            <w:vAlign w:val="bottom"/>
          </w:tcPr>
          <w:p w14:paraId="0A770612"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2017</w:t>
            </w:r>
          </w:p>
        </w:tc>
      </w:tr>
      <w:tr w:rsidR="00D941BA" w:rsidRPr="00532E83" w14:paraId="6980A989"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988B0AD" w14:textId="77777777" w:rsidR="0045150F" w:rsidRPr="00E16578" w:rsidRDefault="0045150F" w:rsidP="00AB41AF">
            <w:pPr>
              <w:rPr>
                <w:rFonts w:cstheme="minorHAnsi"/>
                <w:b w:val="0"/>
                <w:bCs w:val="0"/>
                <w:sz w:val="18"/>
                <w:szCs w:val="18"/>
              </w:rPr>
            </w:pPr>
            <w:r w:rsidRPr="00E16578">
              <w:rPr>
                <w:b w:val="0"/>
                <w:bCs w:val="0"/>
                <w:color w:val="000000"/>
                <w:sz w:val="18"/>
                <w:szCs w:val="18"/>
              </w:rPr>
              <w:t>Percentage of children in poverty (after housing costs)</w:t>
            </w:r>
          </w:p>
        </w:tc>
        <w:tc>
          <w:tcPr>
            <w:tcW w:w="3260" w:type="dxa"/>
            <w:noWrap/>
            <w:vAlign w:val="bottom"/>
          </w:tcPr>
          <w:p w14:paraId="1BEEC15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End Child Poverty</w:t>
            </w:r>
          </w:p>
        </w:tc>
        <w:tc>
          <w:tcPr>
            <w:tcW w:w="1276" w:type="dxa"/>
            <w:noWrap/>
            <w:vAlign w:val="bottom"/>
          </w:tcPr>
          <w:p w14:paraId="317B7D3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2017/18</w:t>
            </w:r>
          </w:p>
        </w:tc>
      </w:tr>
      <w:tr w:rsidR="00D941BA" w:rsidRPr="00532E83" w14:paraId="4984755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7F4C9D6" w14:textId="77777777" w:rsidR="0045150F" w:rsidRPr="00E16578" w:rsidRDefault="0045150F" w:rsidP="00AB41AF">
            <w:pPr>
              <w:rPr>
                <w:rFonts w:cstheme="minorHAnsi"/>
                <w:b w:val="0"/>
                <w:bCs w:val="0"/>
                <w:sz w:val="18"/>
                <w:szCs w:val="18"/>
              </w:rPr>
            </w:pPr>
            <w:r w:rsidRPr="00E16578">
              <w:rPr>
                <w:b w:val="0"/>
                <w:bCs w:val="0"/>
                <w:color w:val="000000"/>
                <w:sz w:val="18"/>
                <w:szCs w:val="18"/>
              </w:rPr>
              <w:t>Percentage of domestic buildings with band A (highest) energy efficiency rating</w:t>
            </w:r>
          </w:p>
        </w:tc>
        <w:tc>
          <w:tcPr>
            <w:tcW w:w="3260" w:type="dxa"/>
            <w:noWrap/>
            <w:vAlign w:val="bottom"/>
          </w:tcPr>
          <w:p w14:paraId="54EFBAC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Department for Communities and Local Government</w:t>
            </w:r>
          </w:p>
        </w:tc>
        <w:tc>
          <w:tcPr>
            <w:tcW w:w="1276" w:type="dxa"/>
            <w:noWrap/>
            <w:vAlign w:val="bottom"/>
          </w:tcPr>
          <w:p w14:paraId="0BDD72A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2009 to 2016</w:t>
            </w:r>
          </w:p>
        </w:tc>
      </w:tr>
      <w:tr w:rsidR="00D941BA" w:rsidRPr="00532E83" w14:paraId="148E5136"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CAC4FBB" w14:textId="77777777" w:rsidR="0045150F" w:rsidRPr="00E16578" w:rsidRDefault="0045150F" w:rsidP="00AB41AF">
            <w:pPr>
              <w:rPr>
                <w:rFonts w:cstheme="minorHAnsi"/>
                <w:b w:val="0"/>
                <w:bCs w:val="0"/>
                <w:sz w:val="18"/>
                <w:szCs w:val="18"/>
              </w:rPr>
            </w:pPr>
            <w:r w:rsidRPr="00E16578">
              <w:rPr>
                <w:b w:val="0"/>
                <w:bCs w:val="0"/>
                <w:color w:val="000000"/>
                <w:sz w:val="18"/>
                <w:szCs w:val="18"/>
              </w:rPr>
              <w:t>Personal debt (unsecured loans) per person aged 18+</w:t>
            </w:r>
          </w:p>
        </w:tc>
        <w:tc>
          <w:tcPr>
            <w:tcW w:w="3260" w:type="dxa"/>
            <w:noWrap/>
            <w:vAlign w:val="bottom"/>
          </w:tcPr>
          <w:p w14:paraId="297B9792"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UK Finance</w:t>
            </w:r>
          </w:p>
        </w:tc>
        <w:tc>
          <w:tcPr>
            <w:tcW w:w="1276" w:type="dxa"/>
            <w:noWrap/>
            <w:vAlign w:val="bottom"/>
          </w:tcPr>
          <w:p w14:paraId="05727F6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Jun-20</w:t>
            </w:r>
          </w:p>
        </w:tc>
      </w:tr>
      <w:tr w:rsidR="00D941BA" w:rsidRPr="00532E83" w14:paraId="36998A60"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2CE4056" w14:textId="77777777" w:rsidR="0045150F" w:rsidRPr="00E16578" w:rsidRDefault="0045150F" w:rsidP="00AB41AF">
            <w:pPr>
              <w:rPr>
                <w:rFonts w:cstheme="minorHAnsi"/>
                <w:b w:val="0"/>
                <w:bCs w:val="0"/>
                <w:sz w:val="18"/>
                <w:szCs w:val="18"/>
              </w:rPr>
            </w:pPr>
            <w:r w:rsidRPr="00E16578">
              <w:rPr>
                <w:b w:val="0"/>
                <w:bCs w:val="0"/>
                <w:color w:val="000000"/>
                <w:sz w:val="18"/>
                <w:szCs w:val="18"/>
              </w:rPr>
              <w:t>Personal Independence Payment claimants aged 16-24</w:t>
            </w:r>
          </w:p>
        </w:tc>
        <w:tc>
          <w:tcPr>
            <w:tcW w:w="3260" w:type="dxa"/>
            <w:noWrap/>
            <w:vAlign w:val="bottom"/>
          </w:tcPr>
          <w:p w14:paraId="2D86F42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Department for Work and Pensions </w:t>
            </w:r>
          </w:p>
        </w:tc>
        <w:tc>
          <w:tcPr>
            <w:tcW w:w="1276" w:type="dxa"/>
            <w:noWrap/>
            <w:vAlign w:val="bottom"/>
          </w:tcPr>
          <w:p w14:paraId="2D51CFB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Jan-21</w:t>
            </w:r>
          </w:p>
        </w:tc>
      </w:tr>
      <w:tr w:rsidR="00D941BA" w:rsidRPr="00532E83" w14:paraId="4CE67CEA"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B5E4CE2" w14:textId="77777777" w:rsidR="0045150F" w:rsidRPr="00E16578" w:rsidRDefault="0045150F" w:rsidP="00AB41AF">
            <w:pPr>
              <w:rPr>
                <w:rFonts w:cstheme="minorHAnsi"/>
                <w:b w:val="0"/>
                <w:bCs w:val="0"/>
                <w:sz w:val="18"/>
                <w:szCs w:val="18"/>
              </w:rPr>
            </w:pPr>
            <w:r w:rsidRPr="00E16578">
              <w:rPr>
                <w:b w:val="0"/>
                <w:bCs w:val="0"/>
                <w:color w:val="000000"/>
                <w:sz w:val="18"/>
                <w:szCs w:val="18"/>
              </w:rPr>
              <w:t>Population aged 0-15</w:t>
            </w:r>
          </w:p>
        </w:tc>
        <w:tc>
          <w:tcPr>
            <w:tcW w:w="3260" w:type="dxa"/>
            <w:noWrap/>
            <w:vAlign w:val="bottom"/>
          </w:tcPr>
          <w:p w14:paraId="2BB842E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56EC939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2019</w:t>
            </w:r>
          </w:p>
        </w:tc>
      </w:tr>
      <w:tr w:rsidR="00D941BA" w:rsidRPr="00532E83" w14:paraId="39D5A7B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1530948" w14:textId="77777777" w:rsidR="0045150F" w:rsidRPr="00E16578" w:rsidRDefault="0045150F" w:rsidP="00AB41AF">
            <w:pPr>
              <w:rPr>
                <w:rFonts w:cstheme="minorHAnsi"/>
                <w:b w:val="0"/>
                <w:bCs w:val="0"/>
                <w:sz w:val="18"/>
                <w:szCs w:val="18"/>
              </w:rPr>
            </w:pPr>
            <w:r w:rsidRPr="00E16578">
              <w:rPr>
                <w:b w:val="0"/>
                <w:bCs w:val="0"/>
                <w:color w:val="000000"/>
                <w:sz w:val="18"/>
                <w:szCs w:val="18"/>
              </w:rPr>
              <w:t>Population aged 65+</w:t>
            </w:r>
          </w:p>
        </w:tc>
        <w:tc>
          <w:tcPr>
            <w:tcW w:w="3260" w:type="dxa"/>
            <w:noWrap/>
            <w:vAlign w:val="bottom"/>
          </w:tcPr>
          <w:p w14:paraId="2997D4B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Office for National Statistic</w:t>
            </w:r>
            <w:r>
              <w:rPr>
                <w:color w:val="000000"/>
                <w:sz w:val="18"/>
                <w:szCs w:val="18"/>
              </w:rPr>
              <w:t>s</w:t>
            </w:r>
          </w:p>
        </w:tc>
        <w:tc>
          <w:tcPr>
            <w:tcW w:w="1276" w:type="dxa"/>
            <w:noWrap/>
            <w:vAlign w:val="bottom"/>
          </w:tcPr>
          <w:p w14:paraId="40C7535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2019</w:t>
            </w:r>
          </w:p>
        </w:tc>
      </w:tr>
      <w:tr w:rsidR="00D941BA" w:rsidRPr="00532E83" w14:paraId="1E7B8F4B"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49019A1" w14:textId="77777777" w:rsidR="0045150F" w:rsidRPr="00E16578" w:rsidRDefault="0045150F" w:rsidP="00AB41AF">
            <w:pPr>
              <w:rPr>
                <w:rFonts w:cstheme="minorHAnsi"/>
                <w:b w:val="0"/>
                <w:bCs w:val="0"/>
                <w:sz w:val="18"/>
                <w:szCs w:val="18"/>
              </w:rPr>
            </w:pPr>
            <w:r w:rsidRPr="00E16578">
              <w:rPr>
                <w:b w:val="0"/>
                <w:bCs w:val="0"/>
                <w:color w:val="000000"/>
                <w:sz w:val="18"/>
                <w:szCs w:val="18"/>
              </w:rPr>
              <w:t>Population density (persons per hectare)</w:t>
            </w:r>
          </w:p>
        </w:tc>
        <w:tc>
          <w:tcPr>
            <w:tcW w:w="3260" w:type="dxa"/>
            <w:noWrap/>
            <w:vAlign w:val="bottom"/>
          </w:tcPr>
          <w:p w14:paraId="373422E2"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662B196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2019</w:t>
            </w:r>
          </w:p>
        </w:tc>
      </w:tr>
      <w:tr w:rsidR="00D941BA" w:rsidRPr="00532E83" w14:paraId="08C40EE5"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6EBA83B" w14:textId="77777777" w:rsidR="0045150F" w:rsidRPr="00E16578" w:rsidRDefault="0045150F" w:rsidP="00AB41AF">
            <w:pPr>
              <w:rPr>
                <w:rFonts w:cstheme="minorHAnsi"/>
                <w:b w:val="0"/>
                <w:bCs w:val="0"/>
                <w:sz w:val="18"/>
                <w:szCs w:val="18"/>
              </w:rPr>
            </w:pPr>
            <w:r w:rsidRPr="00E16578">
              <w:rPr>
                <w:b w:val="0"/>
                <w:bCs w:val="0"/>
                <w:color w:val="000000"/>
                <w:sz w:val="18"/>
                <w:szCs w:val="18"/>
              </w:rPr>
              <w:t>Postcodes that are off the gas grid network</w:t>
            </w:r>
          </w:p>
        </w:tc>
        <w:tc>
          <w:tcPr>
            <w:tcW w:w="3260" w:type="dxa"/>
            <w:noWrap/>
            <w:vAlign w:val="bottom"/>
          </w:tcPr>
          <w:p w14:paraId="69A1917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Department for Energy and Climate Change</w:t>
            </w:r>
          </w:p>
        </w:tc>
        <w:tc>
          <w:tcPr>
            <w:tcW w:w="1276" w:type="dxa"/>
            <w:noWrap/>
            <w:vAlign w:val="bottom"/>
          </w:tcPr>
          <w:p w14:paraId="765728C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2013</w:t>
            </w:r>
          </w:p>
        </w:tc>
      </w:tr>
      <w:tr w:rsidR="00D941BA" w:rsidRPr="00532E83" w14:paraId="27130E79"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47C2E72" w14:textId="77777777" w:rsidR="0045150F" w:rsidRPr="00E16578" w:rsidRDefault="0045150F" w:rsidP="00AB41AF">
            <w:pPr>
              <w:rPr>
                <w:rFonts w:cstheme="minorHAnsi"/>
                <w:b w:val="0"/>
                <w:bCs w:val="0"/>
                <w:sz w:val="18"/>
                <w:szCs w:val="18"/>
              </w:rPr>
            </w:pPr>
            <w:r w:rsidRPr="00E16578">
              <w:rPr>
                <w:b w:val="0"/>
                <w:bCs w:val="0"/>
                <w:color w:val="000000"/>
                <w:sz w:val="18"/>
                <w:szCs w:val="18"/>
              </w:rPr>
              <w:t>Private rented housing</w:t>
            </w:r>
          </w:p>
        </w:tc>
        <w:tc>
          <w:tcPr>
            <w:tcW w:w="3260" w:type="dxa"/>
            <w:noWrap/>
            <w:vAlign w:val="bottom"/>
          </w:tcPr>
          <w:p w14:paraId="0B0EC1A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027EF4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5037623"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11EFAB8" w14:textId="77777777" w:rsidR="0045150F" w:rsidRPr="00E16578" w:rsidRDefault="0045150F" w:rsidP="00AB41AF">
            <w:pPr>
              <w:rPr>
                <w:rFonts w:cstheme="minorHAnsi"/>
                <w:b w:val="0"/>
                <w:bCs w:val="0"/>
                <w:sz w:val="18"/>
                <w:szCs w:val="18"/>
              </w:rPr>
            </w:pPr>
            <w:r w:rsidRPr="00E16578">
              <w:rPr>
                <w:b w:val="0"/>
                <w:bCs w:val="0"/>
                <w:color w:val="000000"/>
                <w:sz w:val="18"/>
                <w:szCs w:val="18"/>
              </w:rPr>
              <w:t>Provides 50+ hours unpaid care a week</w:t>
            </w:r>
          </w:p>
        </w:tc>
        <w:tc>
          <w:tcPr>
            <w:tcW w:w="3260" w:type="dxa"/>
            <w:noWrap/>
            <w:vAlign w:val="bottom"/>
          </w:tcPr>
          <w:p w14:paraId="3C85389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DD9BBB8"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B244A9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0D7CC97" w14:textId="77777777" w:rsidR="0045150F" w:rsidRPr="00E16578" w:rsidRDefault="0045150F" w:rsidP="00AB41AF">
            <w:pPr>
              <w:rPr>
                <w:rFonts w:cstheme="minorHAnsi"/>
                <w:b w:val="0"/>
                <w:bCs w:val="0"/>
                <w:sz w:val="18"/>
                <w:szCs w:val="18"/>
              </w:rPr>
            </w:pPr>
            <w:r w:rsidRPr="00E16578">
              <w:rPr>
                <w:b w:val="0"/>
                <w:bCs w:val="0"/>
                <w:color w:val="000000"/>
                <w:sz w:val="18"/>
                <w:szCs w:val="18"/>
              </w:rPr>
              <w:t>Provides no unpaid care</w:t>
            </w:r>
          </w:p>
        </w:tc>
        <w:tc>
          <w:tcPr>
            <w:tcW w:w="3260" w:type="dxa"/>
            <w:noWrap/>
            <w:vAlign w:val="bottom"/>
          </w:tcPr>
          <w:p w14:paraId="21D0BFA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05655B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76F974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581C575" w14:textId="77777777" w:rsidR="0045150F" w:rsidRPr="00E16578" w:rsidRDefault="0045150F" w:rsidP="00AB41AF">
            <w:pPr>
              <w:rPr>
                <w:rFonts w:cstheme="minorHAnsi"/>
                <w:b w:val="0"/>
                <w:bCs w:val="0"/>
                <w:sz w:val="18"/>
                <w:szCs w:val="18"/>
              </w:rPr>
            </w:pPr>
            <w:r w:rsidRPr="00E16578">
              <w:rPr>
                <w:b w:val="0"/>
                <w:bCs w:val="0"/>
                <w:color w:val="000000"/>
                <w:sz w:val="18"/>
                <w:szCs w:val="18"/>
              </w:rPr>
              <w:t>Public sector employee jobs</w:t>
            </w:r>
          </w:p>
        </w:tc>
        <w:tc>
          <w:tcPr>
            <w:tcW w:w="3260" w:type="dxa"/>
            <w:noWrap/>
            <w:vAlign w:val="bottom"/>
          </w:tcPr>
          <w:p w14:paraId="4E80EEF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Business Register and Employment Survey</w:t>
            </w:r>
          </w:p>
        </w:tc>
        <w:tc>
          <w:tcPr>
            <w:tcW w:w="1276" w:type="dxa"/>
            <w:noWrap/>
            <w:vAlign w:val="bottom"/>
          </w:tcPr>
          <w:p w14:paraId="435D902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2019</w:t>
            </w:r>
          </w:p>
        </w:tc>
      </w:tr>
      <w:tr w:rsidR="00D941BA" w:rsidRPr="00532E83" w14:paraId="22B396D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F0C9090" w14:textId="77777777" w:rsidR="0045150F" w:rsidRPr="00E16578" w:rsidRDefault="0045150F" w:rsidP="00AB41AF">
            <w:pPr>
              <w:rPr>
                <w:rFonts w:cstheme="minorHAnsi"/>
                <w:b w:val="0"/>
                <w:bCs w:val="0"/>
                <w:sz w:val="18"/>
                <w:szCs w:val="18"/>
              </w:rPr>
            </w:pPr>
            <w:r w:rsidRPr="00E16578">
              <w:rPr>
                <w:b w:val="0"/>
                <w:bCs w:val="0"/>
                <w:color w:val="000000"/>
                <w:sz w:val="18"/>
                <w:szCs w:val="18"/>
              </w:rPr>
              <w:t>Pupil overall absences</w:t>
            </w:r>
          </w:p>
        </w:tc>
        <w:tc>
          <w:tcPr>
            <w:tcW w:w="3260" w:type="dxa"/>
            <w:noWrap/>
            <w:vAlign w:val="bottom"/>
          </w:tcPr>
          <w:p w14:paraId="7012964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141C74A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2013/14</w:t>
            </w:r>
          </w:p>
        </w:tc>
      </w:tr>
      <w:tr w:rsidR="00D941BA" w:rsidRPr="00532E83" w14:paraId="7C8CA69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EAD7E3B" w14:textId="77777777" w:rsidR="0045150F" w:rsidRPr="00E16578" w:rsidRDefault="0045150F" w:rsidP="00AB41AF">
            <w:pPr>
              <w:rPr>
                <w:rFonts w:cstheme="minorHAnsi"/>
                <w:b w:val="0"/>
                <w:bCs w:val="0"/>
                <w:sz w:val="18"/>
                <w:szCs w:val="18"/>
              </w:rPr>
            </w:pPr>
            <w:r w:rsidRPr="00E16578">
              <w:rPr>
                <w:b w:val="0"/>
                <w:bCs w:val="0"/>
                <w:color w:val="000000"/>
                <w:sz w:val="18"/>
                <w:szCs w:val="18"/>
              </w:rPr>
              <w:t>Pupil persistent absentees</w:t>
            </w:r>
          </w:p>
        </w:tc>
        <w:tc>
          <w:tcPr>
            <w:tcW w:w="3260" w:type="dxa"/>
            <w:noWrap/>
            <w:vAlign w:val="bottom"/>
          </w:tcPr>
          <w:p w14:paraId="40D0810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19F2394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2013/14</w:t>
            </w:r>
          </w:p>
        </w:tc>
      </w:tr>
      <w:tr w:rsidR="00D941BA" w:rsidRPr="00532E83" w14:paraId="7D8BF5F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AE0FA54" w14:textId="77777777" w:rsidR="0045150F" w:rsidRPr="00E16578" w:rsidRDefault="0045150F" w:rsidP="00AB41AF">
            <w:pPr>
              <w:rPr>
                <w:rFonts w:cstheme="minorHAnsi"/>
                <w:b w:val="0"/>
                <w:bCs w:val="0"/>
                <w:sz w:val="18"/>
                <w:szCs w:val="18"/>
              </w:rPr>
            </w:pPr>
            <w:r w:rsidRPr="00E16578">
              <w:rPr>
                <w:b w:val="0"/>
                <w:bCs w:val="0"/>
                <w:color w:val="000000"/>
                <w:sz w:val="18"/>
                <w:szCs w:val="18"/>
              </w:rPr>
              <w:t>Pupil unauthorised absences</w:t>
            </w:r>
          </w:p>
        </w:tc>
        <w:tc>
          <w:tcPr>
            <w:tcW w:w="3260" w:type="dxa"/>
            <w:noWrap/>
            <w:vAlign w:val="bottom"/>
          </w:tcPr>
          <w:p w14:paraId="63F036F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1179826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2013/14</w:t>
            </w:r>
          </w:p>
        </w:tc>
      </w:tr>
      <w:tr w:rsidR="00D941BA" w:rsidRPr="00532E83" w14:paraId="0D2B3B9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D67008E" w14:textId="77777777" w:rsidR="0045150F" w:rsidRPr="00E16578" w:rsidRDefault="0045150F" w:rsidP="00AB41AF">
            <w:pPr>
              <w:rPr>
                <w:rFonts w:cstheme="minorHAnsi"/>
                <w:b w:val="0"/>
                <w:bCs w:val="0"/>
                <w:sz w:val="18"/>
                <w:szCs w:val="18"/>
              </w:rPr>
            </w:pPr>
            <w:r w:rsidRPr="00E16578">
              <w:rPr>
                <w:b w:val="0"/>
                <w:bCs w:val="0"/>
                <w:color w:val="000000"/>
                <w:sz w:val="18"/>
                <w:szCs w:val="18"/>
              </w:rPr>
              <w:t>Pupils achieving 5 or more Key Stage 4 (GCSE) passes at A*-C, including English and Maths</w:t>
            </w:r>
          </w:p>
        </w:tc>
        <w:tc>
          <w:tcPr>
            <w:tcW w:w="3260" w:type="dxa"/>
            <w:noWrap/>
            <w:vAlign w:val="bottom"/>
          </w:tcPr>
          <w:p w14:paraId="738D37E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0BA67D8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2013/14</w:t>
            </w:r>
          </w:p>
        </w:tc>
      </w:tr>
      <w:tr w:rsidR="00D941BA" w:rsidRPr="00532E83" w14:paraId="64BD248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E9A5152" w14:textId="77777777" w:rsidR="0045150F" w:rsidRPr="00E16578" w:rsidRDefault="0045150F" w:rsidP="00AB41AF">
            <w:pPr>
              <w:rPr>
                <w:rFonts w:cstheme="minorHAnsi"/>
                <w:b w:val="0"/>
                <w:bCs w:val="0"/>
                <w:sz w:val="18"/>
                <w:szCs w:val="18"/>
              </w:rPr>
            </w:pPr>
            <w:r w:rsidRPr="00E16578">
              <w:rPr>
                <w:b w:val="0"/>
                <w:bCs w:val="0"/>
                <w:color w:val="000000"/>
                <w:sz w:val="18"/>
                <w:szCs w:val="18"/>
              </w:rPr>
              <w:t>Pupils achieving a good level of development at Early Years Foundation stage</w:t>
            </w:r>
          </w:p>
        </w:tc>
        <w:tc>
          <w:tcPr>
            <w:tcW w:w="3260" w:type="dxa"/>
            <w:noWrap/>
            <w:vAlign w:val="bottom"/>
          </w:tcPr>
          <w:p w14:paraId="112E907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4269826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2013/14</w:t>
            </w:r>
          </w:p>
        </w:tc>
      </w:tr>
      <w:tr w:rsidR="00D941BA" w:rsidRPr="00532E83" w14:paraId="285D77A9"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72E3657" w14:textId="77777777" w:rsidR="0045150F" w:rsidRPr="00E16578" w:rsidRDefault="0045150F" w:rsidP="00AB41AF">
            <w:pPr>
              <w:rPr>
                <w:rFonts w:cstheme="minorHAnsi"/>
                <w:b w:val="0"/>
                <w:bCs w:val="0"/>
                <w:sz w:val="18"/>
                <w:szCs w:val="18"/>
              </w:rPr>
            </w:pPr>
            <w:r w:rsidRPr="00E16578">
              <w:rPr>
                <w:b w:val="0"/>
                <w:bCs w:val="0"/>
                <w:color w:val="000000"/>
                <w:sz w:val="18"/>
                <w:szCs w:val="18"/>
              </w:rPr>
              <w:t>Pupils achieving Key Stage 2, Level 4 in Reading, Writing and Maths</w:t>
            </w:r>
          </w:p>
        </w:tc>
        <w:tc>
          <w:tcPr>
            <w:tcW w:w="3260" w:type="dxa"/>
            <w:noWrap/>
            <w:vAlign w:val="bottom"/>
          </w:tcPr>
          <w:p w14:paraId="52E77A6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Department for Education (DfE)</w:t>
            </w:r>
          </w:p>
        </w:tc>
        <w:tc>
          <w:tcPr>
            <w:tcW w:w="1276" w:type="dxa"/>
            <w:noWrap/>
            <w:vAlign w:val="bottom"/>
          </w:tcPr>
          <w:p w14:paraId="154F903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2013/14</w:t>
            </w:r>
          </w:p>
        </w:tc>
      </w:tr>
      <w:tr w:rsidR="00D941BA" w:rsidRPr="00532E83" w14:paraId="4436BDDC"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4C45FC5" w14:textId="77777777" w:rsidR="0045150F" w:rsidRPr="00E16578" w:rsidRDefault="0045150F" w:rsidP="00AB41AF">
            <w:pPr>
              <w:rPr>
                <w:rFonts w:cstheme="minorHAnsi"/>
                <w:b w:val="0"/>
                <w:bCs w:val="0"/>
                <w:sz w:val="18"/>
                <w:szCs w:val="18"/>
              </w:rPr>
            </w:pPr>
            <w:r w:rsidRPr="00E16578">
              <w:rPr>
                <w:b w:val="0"/>
                <w:bCs w:val="0"/>
                <w:color w:val="000000"/>
                <w:sz w:val="18"/>
                <w:szCs w:val="18"/>
              </w:rPr>
              <w:t>Ratio of residential property transactions to number of private dwellings</w:t>
            </w:r>
          </w:p>
        </w:tc>
        <w:tc>
          <w:tcPr>
            <w:tcW w:w="3260" w:type="dxa"/>
            <w:noWrap/>
            <w:vAlign w:val="bottom"/>
          </w:tcPr>
          <w:p w14:paraId="1C9AC61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78ADF25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D941BA" w:rsidRPr="00532E83" w14:paraId="06C6B3B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AAB5488" w14:textId="77777777" w:rsidR="0045150F" w:rsidRPr="00E16578" w:rsidRDefault="0045150F" w:rsidP="00AB41AF">
            <w:pPr>
              <w:rPr>
                <w:rFonts w:cstheme="minorHAnsi"/>
                <w:b w:val="0"/>
                <w:bCs w:val="0"/>
                <w:sz w:val="18"/>
                <w:szCs w:val="18"/>
              </w:rPr>
            </w:pPr>
            <w:r w:rsidRPr="00E16578">
              <w:rPr>
                <w:b w:val="0"/>
                <w:bCs w:val="0"/>
                <w:color w:val="000000"/>
                <w:sz w:val="18"/>
                <w:szCs w:val="18"/>
              </w:rPr>
              <w:t>Self-employed people</w:t>
            </w:r>
          </w:p>
        </w:tc>
        <w:tc>
          <w:tcPr>
            <w:tcW w:w="3260" w:type="dxa"/>
            <w:noWrap/>
            <w:vAlign w:val="bottom"/>
          </w:tcPr>
          <w:p w14:paraId="39D6AF36"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C0C813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CDD948B"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FEA2484" w14:textId="77777777" w:rsidR="0045150F" w:rsidRPr="00E16578" w:rsidRDefault="0045150F" w:rsidP="00AB41AF">
            <w:pPr>
              <w:rPr>
                <w:rFonts w:cstheme="minorHAnsi"/>
                <w:b w:val="0"/>
                <w:bCs w:val="0"/>
                <w:sz w:val="18"/>
                <w:szCs w:val="18"/>
              </w:rPr>
            </w:pPr>
            <w:r w:rsidRPr="00E16578">
              <w:rPr>
                <w:b w:val="0"/>
                <w:bCs w:val="0"/>
                <w:color w:val="000000"/>
                <w:sz w:val="18"/>
                <w:szCs w:val="18"/>
              </w:rPr>
              <w:t>Self-employed working full-time with employees</w:t>
            </w:r>
          </w:p>
        </w:tc>
        <w:tc>
          <w:tcPr>
            <w:tcW w:w="3260" w:type="dxa"/>
            <w:noWrap/>
            <w:vAlign w:val="bottom"/>
          </w:tcPr>
          <w:p w14:paraId="2487A10A"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0239C23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483CCAB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B989866" w14:textId="77777777" w:rsidR="0045150F" w:rsidRPr="00E16578" w:rsidRDefault="0045150F" w:rsidP="00AB41AF">
            <w:pPr>
              <w:rPr>
                <w:rFonts w:cstheme="minorHAnsi"/>
                <w:b w:val="0"/>
                <w:bCs w:val="0"/>
                <w:sz w:val="18"/>
                <w:szCs w:val="18"/>
              </w:rPr>
            </w:pPr>
            <w:r w:rsidRPr="00E16578">
              <w:rPr>
                <w:b w:val="0"/>
                <w:bCs w:val="0"/>
                <w:color w:val="000000"/>
                <w:sz w:val="18"/>
                <w:szCs w:val="18"/>
              </w:rPr>
              <w:t>Self-employed working full-time without employees</w:t>
            </w:r>
          </w:p>
        </w:tc>
        <w:tc>
          <w:tcPr>
            <w:tcW w:w="3260" w:type="dxa"/>
            <w:noWrap/>
            <w:vAlign w:val="bottom"/>
          </w:tcPr>
          <w:p w14:paraId="081B743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046692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66B7ACD0"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F39CE9B" w14:textId="77777777" w:rsidR="0045150F" w:rsidRPr="00E16578" w:rsidRDefault="0045150F" w:rsidP="00AB41AF">
            <w:pPr>
              <w:rPr>
                <w:rFonts w:cstheme="minorHAnsi"/>
                <w:b w:val="0"/>
                <w:bCs w:val="0"/>
                <w:sz w:val="18"/>
                <w:szCs w:val="18"/>
              </w:rPr>
            </w:pPr>
            <w:r w:rsidRPr="00E16578">
              <w:rPr>
                <w:b w:val="0"/>
                <w:bCs w:val="0"/>
                <w:color w:val="000000"/>
                <w:sz w:val="18"/>
                <w:szCs w:val="18"/>
              </w:rPr>
              <w:t>Self-employed working part-time with employees</w:t>
            </w:r>
          </w:p>
        </w:tc>
        <w:tc>
          <w:tcPr>
            <w:tcW w:w="3260" w:type="dxa"/>
            <w:noWrap/>
            <w:vAlign w:val="bottom"/>
          </w:tcPr>
          <w:p w14:paraId="47B80160"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9199D62"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1732C60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F6D9D47" w14:textId="77777777" w:rsidR="0045150F" w:rsidRPr="00E16578" w:rsidRDefault="0045150F" w:rsidP="00AB41AF">
            <w:pPr>
              <w:rPr>
                <w:rFonts w:cstheme="minorHAnsi"/>
                <w:b w:val="0"/>
                <w:bCs w:val="0"/>
                <w:sz w:val="18"/>
                <w:szCs w:val="18"/>
              </w:rPr>
            </w:pPr>
            <w:r w:rsidRPr="00E16578">
              <w:rPr>
                <w:b w:val="0"/>
                <w:bCs w:val="0"/>
                <w:color w:val="000000"/>
                <w:sz w:val="18"/>
                <w:szCs w:val="18"/>
              </w:rPr>
              <w:t>Self-employed working part-time without employees</w:t>
            </w:r>
          </w:p>
        </w:tc>
        <w:tc>
          <w:tcPr>
            <w:tcW w:w="3260" w:type="dxa"/>
            <w:noWrap/>
            <w:vAlign w:val="bottom"/>
          </w:tcPr>
          <w:p w14:paraId="1B376DF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883111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6CD80AC1"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D9AF43B" w14:textId="77777777" w:rsidR="0045150F" w:rsidRPr="00E16578" w:rsidRDefault="0045150F" w:rsidP="00AB41AF">
            <w:pPr>
              <w:rPr>
                <w:rFonts w:cstheme="minorHAnsi"/>
                <w:b w:val="0"/>
                <w:bCs w:val="0"/>
                <w:sz w:val="18"/>
                <w:szCs w:val="18"/>
              </w:rPr>
            </w:pPr>
            <w:r w:rsidRPr="00E16578">
              <w:rPr>
                <w:b w:val="0"/>
                <w:bCs w:val="0"/>
                <w:color w:val="000000"/>
                <w:sz w:val="18"/>
                <w:szCs w:val="18"/>
              </w:rPr>
              <w:t>SME lending debt per person aged 18+</w:t>
            </w:r>
          </w:p>
        </w:tc>
        <w:tc>
          <w:tcPr>
            <w:tcW w:w="3260" w:type="dxa"/>
            <w:noWrap/>
            <w:vAlign w:val="bottom"/>
          </w:tcPr>
          <w:p w14:paraId="1C9856B3"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UK Finance</w:t>
            </w:r>
          </w:p>
        </w:tc>
        <w:tc>
          <w:tcPr>
            <w:tcW w:w="1276" w:type="dxa"/>
            <w:noWrap/>
            <w:vAlign w:val="bottom"/>
          </w:tcPr>
          <w:p w14:paraId="1B42CDA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Jun-20</w:t>
            </w:r>
          </w:p>
        </w:tc>
      </w:tr>
      <w:tr w:rsidR="00D941BA" w:rsidRPr="00532E83" w14:paraId="622AE8E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72189D2" w14:textId="77777777" w:rsidR="0045150F" w:rsidRPr="00E16578" w:rsidRDefault="0045150F" w:rsidP="00AB41AF">
            <w:pPr>
              <w:rPr>
                <w:rFonts w:cstheme="minorHAnsi"/>
                <w:b w:val="0"/>
                <w:bCs w:val="0"/>
                <w:sz w:val="18"/>
                <w:szCs w:val="18"/>
              </w:rPr>
            </w:pPr>
            <w:r w:rsidRPr="00E16578">
              <w:rPr>
                <w:b w:val="0"/>
                <w:bCs w:val="0"/>
                <w:color w:val="000000"/>
                <w:sz w:val="18"/>
                <w:szCs w:val="18"/>
              </w:rPr>
              <w:lastRenderedPageBreak/>
              <w:t>Social grade (N-SEC): 1 Higher managerial, administrative and professional occupations</w:t>
            </w:r>
          </w:p>
        </w:tc>
        <w:tc>
          <w:tcPr>
            <w:tcW w:w="3260" w:type="dxa"/>
            <w:noWrap/>
            <w:vAlign w:val="bottom"/>
          </w:tcPr>
          <w:p w14:paraId="1CB112E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03025E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3F8411D2"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335EBE4"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1.1 Large employers and higher managerial and administrative occupations</w:t>
            </w:r>
          </w:p>
        </w:tc>
        <w:tc>
          <w:tcPr>
            <w:tcW w:w="3260" w:type="dxa"/>
            <w:noWrap/>
            <w:vAlign w:val="bottom"/>
          </w:tcPr>
          <w:p w14:paraId="66A75AF9"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3D59F7CC"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7996A206"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8AC6E6B"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1.2 Higher professional occupations</w:t>
            </w:r>
          </w:p>
        </w:tc>
        <w:tc>
          <w:tcPr>
            <w:tcW w:w="3260" w:type="dxa"/>
            <w:noWrap/>
            <w:vAlign w:val="bottom"/>
          </w:tcPr>
          <w:p w14:paraId="1A14E38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E687D2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022A2844"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2D2C45B"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2. Lower managerial, administrative and professional occupations</w:t>
            </w:r>
          </w:p>
        </w:tc>
        <w:tc>
          <w:tcPr>
            <w:tcW w:w="3260" w:type="dxa"/>
            <w:noWrap/>
            <w:vAlign w:val="bottom"/>
          </w:tcPr>
          <w:p w14:paraId="0AC39A6C"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0D07E00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2F4978A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6576344"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3. Intermediate occupations</w:t>
            </w:r>
          </w:p>
        </w:tc>
        <w:tc>
          <w:tcPr>
            <w:tcW w:w="3260" w:type="dxa"/>
            <w:noWrap/>
            <w:vAlign w:val="bottom"/>
          </w:tcPr>
          <w:p w14:paraId="0187E1C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4ED510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557308A1"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0A70D3E"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4. Small employers and own account workers</w:t>
            </w:r>
          </w:p>
        </w:tc>
        <w:tc>
          <w:tcPr>
            <w:tcW w:w="3260" w:type="dxa"/>
            <w:noWrap/>
            <w:vAlign w:val="bottom"/>
          </w:tcPr>
          <w:p w14:paraId="13B3C431"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27A35E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51A052B5"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91EF25D"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5. Lower supervisory and technical occupations</w:t>
            </w:r>
          </w:p>
        </w:tc>
        <w:tc>
          <w:tcPr>
            <w:tcW w:w="3260" w:type="dxa"/>
            <w:noWrap/>
            <w:vAlign w:val="bottom"/>
          </w:tcPr>
          <w:p w14:paraId="7344A682"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2BB4C96E"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750C0F35"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E91CA1D"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6. Semi-routine occupations</w:t>
            </w:r>
          </w:p>
        </w:tc>
        <w:tc>
          <w:tcPr>
            <w:tcW w:w="3260" w:type="dxa"/>
            <w:noWrap/>
            <w:vAlign w:val="bottom"/>
          </w:tcPr>
          <w:p w14:paraId="0A0384A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40453B5"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0A21B8F8"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AB056E4"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7. Routine occupations</w:t>
            </w:r>
          </w:p>
        </w:tc>
        <w:tc>
          <w:tcPr>
            <w:tcW w:w="3260" w:type="dxa"/>
            <w:noWrap/>
            <w:vAlign w:val="bottom"/>
          </w:tcPr>
          <w:p w14:paraId="0A0265BD"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1905AF4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64FCC33B"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AC1BFD6"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8. Never worked and long-term unemployed</w:t>
            </w:r>
          </w:p>
        </w:tc>
        <w:tc>
          <w:tcPr>
            <w:tcW w:w="3260" w:type="dxa"/>
            <w:noWrap/>
            <w:vAlign w:val="bottom"/>
          </w:tcPr>
          <w:p w14:paraId="05E941FF"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095918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193FAADA"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FDA8A72"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L14.1 Never worked</w:t>
            </w:r>
          </w:p>
        </w:tc>
        <w:tc>
          <w:tcPr>
            <w:tcW w:w="3260" w:type="dxa"/>
            <w:noWrap/>
            <w:vAlign w:val="bottom"/>
          </w:tcPr>
          <w:p w14:paraId="0DFE135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673938A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30B18BEB"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A8A1F8C"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L14.2 Long-term unemployed</w:t>
            </w:r>
          </w:p>
        </w:tc>
        <w:tc>
          <w:tcPr>
            <w:tcW w:w="3260" w:type="dxa"/>
            <w:noWrap/>
            <w:vAlign w:val="bottom"/>
          </w:tcPr>
          <w:p w14:paraId="5FE91A1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0C9AFB90"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D941BA" w:rsidRPr="00532E83" w14:paraId="436ECDA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6519096"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grade (N-SEC): L15 Full-time students</w:t>
            </w:r>
          </w:p>
        </w:tc>
        <w:tc>
          <w:tcPr>
            <w:tcW w:w="3260" w:type="dxa"/>
            <w:noWrap/>
            <w:vAlign w:val="bottom"/>
          </w:tcPr>
          <w:p w14:paraId="222498A5"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100B6B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AC056F" w:rsidRPr="00532E83" w14:paraId="65BC5CA7"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CD4F9B5" w14:textId="77777777" w:rsidR="0045150F" w:rsidRPr="00E16578" w:rsidRDefault="0045150F" w:rsidP="00AB41AF">
            <w:pPr>
              <w:rPr>
                <w:rFonts w:cstheme="minorHAnsi"/>
                <w:b w:val="0"/>
                <w:bCs w:val="0"/>
                <w:sz w:val="18"/>
                <w:szCs w:val="18"/>
              </w:rPr>
            </w:pPr>
            <w:r w:rsidRPr="00E16578">
              <w:rPr>
                <w:b w:val="0"/>
                <w:bCs w:val="0"/>
                <w:color w:val="000000"/>
                <w:sz w:val="18"/>
                <w:szCs w:val="18"/>
              </w:rPr>
              <w:t>Social rented housing</w:t>
            </w:r>
          </w:p>
        </w:tc>
        <w:tc>
          <w:tcPr>
            <w:tcW w:w="3260" w:type="dxa"/>
            <w:noWrap/>
            <w:vAlign w:val="bottom"/>
          </w:tcPr>
          <w:p w14:paraId="617C4D6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78B2282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082B4362"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C6799AE" w14:textId="77777777" w:rsidR="0045150F" w:rsidRPr="00E16578" w:rsidRDefault="0045150F" w:rsidP="00AB41AF">
            <w:pPr>
              <w:rPr>
                <w:rFonts w:cstheme="minorHAnsi"/>
                <w:b w:val="0"/>
                <w:bCs w:val="0"/>
                <w:sz w:val="18"/>
                <w:szCs w:val="18"/>
              </w:rPr>
            </w:pPr>
            <w:r w:rsidRPr="00E16578">
              <w:rPr>
                <w:b w:val="0"/>
                <w:bCs w:val="0"/>
                <w:color w:val="000000"/>
                <w:sz w:val="18"/>
                <w:szCs w:val="18"/>
              </w:rPr>
              <w:t>Teenage mothers</w:t>
            </w:r>
          </w:p>
        </w:tc>
        <w:tc>
          <w:tcPr>
            <w:tcW w:w="3260" w:type="dxa"/>
            <w:noWrap/>
            <w:vAlign w:val="bottom"/>
          </w:tcPr>
          <w:p w14:paraId="7D7F6F64"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Hospital Episode Statistics (HES) NHS Digital</w:t>
            </w:r>
          </w:p>
        </w:tc>
        <w:tc>
          <w:tcPr>
            <w:tcW w:w="1276" w:type="dxa"/>
            <w:noWrap/>
            <w:vAlign w:val="bottom"/>
          </w:tcPr>
          <w:p w14:paraId="1CE13E9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2011/12-2015/16</w:t>
            </w:r>
          </w:p>
        </w:tc>
      </w:tr>
      <w:tr w:rsidR="00D941BA" w:rsidRPr="00532E83" w14:paraId="43271C4C"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EC4CB3B" w14:textId="77777777" w:rsidR="0045150F" w:rsidRPr="00E16578" w:rsidRDefault="0045150F" w:rsidP="00AB41AF">
            <w:pPr>
              <w:rPr>
                <w:rFonts w:cstheme="minorHAnsi"/>
                <w:b w:val="0"/>
                <w:bCs w:val="0"/>
                <w:sz w:val="18"/>
                <w:szCs w:val="18"/>
              </w:rPr>
            </w:pPr>
            <w:r w:rsidRPr="00E16578">
              <w:rPr>
                <w:b w:val="0"/>
                <w:bCs w:val="0"/>
                <w:color w:val="000000"/>
                <w:sz w:val="18"/>
                <w:szCs w:val="18"/>
              </w:rPr>
              <w:t>Ten year percentage change in total prices paid for all properties (rolling 12 months total)</w:t>
            </w:r>
          </w:p>
        </w:tc>
        <w:tc>
          <w:tcPr>
            <w:tcW w:w="3260" w:type="dxa"/>
            <w:noWrap/>
            <w:vAlign w:val="bottom"/>
          </w:tcPr>
          <w:p w14:paraId="5EB5A552"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7994239C"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2006/2007 to 2016/2017</w:t>
            </w:r>
          </w:p>
        </w:tc>
      </w:tr>
      <w:tr w:rsidR="009E3D36" w:rsidRPr="00532E83" w14:paraId="27842FC0"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4E755691" w14:textId="77777777" w:rsidR="0045150F" w:rsidRPr="00E16578" w:rsidRDefault="0045150F" w:rsidP="00AB41AF">
            <w:pPr>
              <w:rPr>
                <w:rFonts w:cstheme="minorHAnsi"/>
                <w:b w:val="0"/>
                <w:bCs w:val="0"/>
                <w:sz w:val="18"/>
                <w:szCs w:val="18"/>
              </w:rPr>
            </w:pPr>
            <w:r w:rsidRPr="00E16578">
              <w:rPr>
                <w:b w:val="0"/>
                <w:bCs w:val="0"/>
                <w:color w:val="000000"/>
                <w:sz w:val="18"/>
                <w:szCs w:val="18"/>
              </w:rPr>
              <w:t>Ten year percentage change in total prices paid for detached houses (rolling 12 months total)</w:t>
            </w:r>
          </w:p>
        </w:tc>
        <w:tc>
          <w:tcPr>
            <w:tcW w:w="3260" w:type="dxa"/>
            <w:noWrap/>
            <w:vAlign w:val="bottom"/>
          </w:tcPr>
          <w:p w14:paraId="0686D30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7D5B02B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2006/2007 to 2016/2017</w:t>
            </w:r>
          </w:p>
        </w:tc>
      </w:tr>
      <w:tr w:rsidR="00D941BA" w:rsidRPr="00532E83" w14:paraId="462E1838"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528A99A" w14:textId="77777777" w:rsidR="0045150F" w:rsidRPr="00E16578" w:rsidRDefault="0045150F" w:rsidP="00AB41AF">
            <w:pPr>
              <w:rPr>
                <w:rFonts w:cstheme="minorHAnsi"/>
                <w:b w:val="0"/>
                <w:bCs w:val="0"/>
                <w:sz w:val="18"/>
                <w:szCs w:val="18"/>
              </w:rPr>
            </w:pPr>
            <w:r w:rsidRPr="00E16578">
              <w:rPr>
                <w:b w:val="0"/>
                <w:bCs w:val="0"/>
                <w:color w:val="000000"/>
                <w:sz w:val="18"/>
                <w:szCs w:val="18"/>
              </w:rPr>
              <w:t>Ten year percentage change in total prices paid for flats (rolling 12 months total)</w:t>
            </w:r>
          </w:p>
        </w:tc>
        <w:tc>
          <w:tcPr>
            <w:tcW w:w="3260" w:type="dxa"/>
            <w:noWrap/>
            <w:vAlign w:val="bottom"/>
          </w:tcPr>
          <w:p w14:paraId="53FF2C0C"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7F499D8D"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2006/2007 to 2016/2017</w:t>
            </w:r>
          </w:p>
        </w:tc>
      </w:tr>
      <w:tr w:rsidR="009E3D36" w:rsidRPr="00532E83" w14:paraId="70901DC2"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163E8B1" w14:textId="77777777" w:rsidR="0045150F" w:rsidRPr="00E16578" w:rsidRDefault="0045150F" w:rsidP="00AB41AF">
            <w:pPr>
              <w:rPr>
                <w:rFonts w:cstheme="minorHAnsi"/>
                <w:b w:val="0"/>
                <w:bCs w:val="0"/>
                <w:sz w:val="18"/>
                <w:szCs w:val="18"/>
              </w:rPr>
            </w:pPr>
            <w:r w:rsidRPr="00E16578">
              <w:rPr>
                <w:b w:val="0"/>
                <w:bCs w:val="0"/>
                <w:color w:val="000000"/>
                <w:sz w:val="18"/>
                <w:szCs w:val="18"/>
              </w:rPr>
              <w:t>Ten year percentage change in total prices paid for semi-detached houses (rolling 12 months total)</w:t>
            </w:r>
          </w:p>
        </w:tc>
        <w:tc>
          <w:tcPr>
            <w:tcW w:w="3260" w:type="dxa"/>
            <w:noWrap/>
            <w:vAlign w:val="bottom"/>
          </w:tcPr>
          <w:p w14:paraId="20E2D207"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38A0169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2006/2007 to 2016/2017</w:t>
            </w:r>
          </w:p>
        </w:tc>
      </w:tr>
      <w:tr w:rsidR="00D941BA" w:rsidRPr="00532E83" w14:paraId="56A939CE"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3D2996E" w14:textId="77777777" w:rsidR="0045150F" w:rsidRPr="00E16578" w:rsidRDefault="0045150F" w:rsidP="00AB41AF">
            <w:pPr>
              <w:rPr>
                <w:rFonts w:cstheme="minorHAnsi"/>
                <w:b w:val="0"/>
                <w:bCs w:val="0"/>
                <w:sz w:val="18"/>
                <w:szCs w:val="18"/>
              </w:rPr>
            </w:pPr>
            <w:r w:rsidRPr="00E16578">
              <w:rPr>
                <w:b w:val="0"/>
                <w:bCs w:val="0"/>
                <w:color w:val="000000"/>
                <w:sz w:val="18"/>
                <w:szCs w:val="18"/>
              </w:rPr>
              <w:t>Ten year percentage change in total prices paid for terraced houses (rolling 12 months total)</w:t>
            </w:r>
          </w:p>
        </w:tc>
        <w:tc>
          <w:tcPr>
            <w:tcW w:w="3260" w:type="dxa"/>
            <w:noWrap/>
            <w:vAlign w:val="bottom"/>
          </w:tcPr>
          <w:p w14:paraId="2154F7D7"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Land Registry</w:t>
            </w:r>
          </w:p>
        </w:tc>
        <w:tc>
          <w:tcPr>
            <w:tcW w:w="1276" w:type="dxa"/>
            <w:noWrap/>
            <w:vAlign w:val="bottom"/>
          </w:tcPr>
          <w:p w14:paraId="53B4B5A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2006/2007 to 2016/2017</w:t>
            </w:r>
          </w:p>
        </w:tc>
      </w:tr>
      <w:tr w:rsidR="009E3D36" w:rsidRPr="00532E83" w14:paraId="2E896915"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0A843BEC" w14:textId="77777777" w:rsidR="0045150F" w:rsidRPr="00E16578" w:rsidRDefault="0045150F" w:rsidP="00AB41AF">
            <w:pPr>
              <w:rPr>
                <w:rFonts w:cstheme="minorHAnsi"/>
                <w:b w:val="0"/>
                <w:bCs w:val="0"/>
                <w:sz w:val="18"/>
                <w:szCs w:val="18"/>
              </w:rPr>
            </w:pPr>
            <w:r w:rsidRPr="00E16578">
              <w:rPr>
                <w:b w:val="0"/>
                <w:bCs w:val="0"/>
                <w:color w:val="000000"/>
                <w:sz w:val="18"/>
                <w:szCs w:val="18"/>
              </w:rPr>
              <w:t>Total vacancies notified to Job Centre Plus</w:t>
            </w:r>
          </w:p>
        </w:tc>
        <w:tc>
          <w:tcPr>
            <w:tcW w:w="3260" w:type="dxa"/>
            <w:noWrap/>
            <w:vAlign w:val="bottom"/>
          </w:tcPr>
          <w:p w14:paraId="0DFB781F"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Job Centre Plus</w:t>
            </w:r>
          </w:p>
        </w:tc>
        <w:tc>
          <w:tcPr>
            <w:tcW w:w="1276" w:type="dxa"/>
            <w:noWrap/>
            <w:vAlign w:val="bottom"/>
          </w:tcPr>
          <w:p w14:paraId="033BF74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Nov-12</w:t>
            </w:r>
          </w:p>
        </w:tc>
      </w:tr>
      <w:tr w:rsidR="009E3D36" w:rsidRPr="00532E83" w14:paraId="574C5945"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689116C2" w14:textId="77777777" w:rsidR="0045150F" w:rsidRPr="00E16578" w:rsidRDefault="0045150F" w:rsidP="00AB41AF">
            <w:pPr>
              <w:rPr>
                <w:rFonts w:cstheme="minorHAnsi"/>
                <w:b w:val="0"/>
                <w:bCs w:val="0"/>
                <w:sz w:val="18"/>
                <w:szCs w:val="18"/>
              </w:rPr>
            </w:pPr>
            <w:r w:rsidRPr="00E16578">
              <w:rPr>
                <w:b w:val="0"/>
                <w:bCs w:val="0"/>
                <w:color w:val="000000"/>
                <w:sz w:val="18"/>
                <w:szCs w:val="18"/>
              </w:rPr>
              <w:t>Vacant Dwellings</w:t>
            </w:r>
          </w:p>
        </w:tc>
        <w:tc>
          <w:tcPr>
            <w:tcW w:w="3260" w:type="dxa"/>
            <w:noWrap/>
            <w:vAlign w:val="bottom"/>
          </w:tcPr>
          <w:p w14:paraId="2122EFF0"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545B8D66"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1DC705BE"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27099664" w14:textId="77777777" w:rsidR="0045150F" w:rsidRPr="00E16578" w:rsidRDefault="0045150F" w:rsidP="00AB41AF">
            <w:pPr>
              <w:rPr>
                <w:rFonts w:cstheme="minorHAnsi"/>
                <w:b w:val="0"/>
                <w:bCs w:val="0"/>
                <w:sz w:val="18"/>
                <w:szCs w:val="18"/>
              </w:rPr>
            </w:pPr>
            <w:r w:rsidRPr="00E16578">
              <w:rPr>
                <w:b w:val="0"/>
                <w:bCs w:val="0"/>
                <w:color w:val="000000"/>
                <w:sz w:val="18"/>
                <w:szCs w:val="18"/>
              </w:rPr>
              <w:t>VAT based local units employing 0 to 4 people</w:t>
            </w:r>
          </w:p>
        </w:tc>
        <w:tc>
          <w:tcPr>
            <w:tcW w:w="3260" w:type="dxa"/>
            <w:noWrap/>
            <w:vAlign w:val="bottom"/>
          </w:tcPr>
          <w:p w14:paraId="35DB4A8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38C5F7FA"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2020</w:t>
            </w:r>
          </w:p>
        </w:tc>
      </w:tr>
      <w:tr w:rsidR="009E3D36" w:rsidRPr="00532E83" w14:paraId="1B891C44"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7340E48" w14:textId="77777777" w:rsidR="0045150F" w:rsidRPr="00E16578" w:rsidRDefault="0045150F" w:rsidP="00AB41AF">
            <w:pPr>
              <w:rPr>
                <w:rFonts w:cstheme="minorHAnsi"/>
                <w:b w:val="0"/>
                <w:bCs w:val="0"/>
                <w:sz w:val="18"/>
                <w:szCs w:val="18"/>
              </w:rPr>
            </w:pPr>
            <w:r w:rsidRPr="00E16578">
              <w:rPr>
                <w:b w:val="0"/>
                <w:bCs w:val="0"/>
                <w:color w:val="000000"/>
                <w:sz w:val="18"/>
                <w:szCs w:val="18"/>
              </w:rPr>
              <w:t>VAT based local units employing 20 or more people</w:t>
            </w:r>
          </w:p>
        </w:tc>
        <w:tc>
          <w:tcPr>
            <w:tcW w:w="3260" w:type="dxa"/>
            <w:noWrap/>
            <w:vAlign w:val="bottom"/>
          </w:tcPr>
          <w:p w14:paraId="2314CC34"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 xml:space="preserve">Office for National Statistics </w:t>
            </w:r>
          </w:p>
        </w:tc>
        <w:tc>
          <w:tcPr>
            <w:tcW w:w="1276" w:type="dxa"/>
            <w:noWrap/>
            <w:vAlign w:val="bottom"/>
          </w:tcPr>
          <w:p w14:paraId="6FEABE0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2020</w:t>
            </w:r>
          </w:p>
        </w:tc>
      </w:tr>
      <w:tr w:rsidR="009E3D36" w:rsidRPr="00532E83" w14:paraId="3190ADA4"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60E0AC8" w14:textId="77777777" w:rsidR="0045150F" w:rsidRPr="00E16578" w:rsidRDefault="0045150F" w:rsidP="00AB41AF">
            <w:pPr>
              <w:rPr>
                <w:rFonts w:cstheme="minorHAnsi"/>
                <w:b w:val="0"/>
                <w:bCs w:val="0"/>
                <w:sz w:val="18"/>
                <w:szCs w:val="18"/>
              </w:rPr>
            </w:pPr>
            <w:r w:rsidRPr="00E16578">
              <w:rPr>
                <w:b w:val="0"/>
                <w:bCs w:val="0"/>
                <w:color w:val="000000"/>
                <w:sz w:val="18"/>
                <w:szCs w:val="18"/>
              </w:rPr>
              <w:t>Vehicle crime</w:t>
            </w:r>
          </w:p>
        </w:tc>
        <w:tc>
          <w:tcPr>
            <w:tcW w:w="3260" w:type="dxa"/>
            <w:noWrap/>
            <w:vAlign w:val="bottom"/>
          </w:tcPr>
          <w:p w14:paraId="13C08FB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Police UK</w:t>
            </w:r>
          </w:p>
        </w:tc>
        <w:tc>
          <w:tcPr>
            <w:tcW w:w="1276" w:type="dxa"/>
            <w:noWrap/>
            <w:vAlign w:val="bottom"/>
          </w:tcPr>
          <w:p w14:paraId="5D556F03"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Mar-20 to Feb-21</w:t>
            </w:r>
          </w:p>
        </w:tc>
      </w:tr>
      <w:tr w:rsidR="009E3D36" w:rsidRPr="00532E83" w14:paraId="49799687"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16624778" w14:textId="77777777" w:rsidR="0045150F" w:rsidRPr="00E16578" w:rsidRDefault="0045150F" w:rsidP="00AB41AF">
            <w:pPr>
              <w:rPr>
                <w:rFonts w:cstheme="minorHAnsi"/>
                <w:b w:val="0"/>
                <w:bCs w:val="0"/>
                <w:sz w:val="18"/>
                <w:szCs w:val="18"/>
              </w:rPr>
            </w:pPr>
            <w:r w:rsidRPr="00E16578">
              <w:rPr>
                <w:b w:val="0"/>
                <w:bCs w:val="0"/>
                <w:color w:val="000000"/>
                <w:sz w:val="18"/>
                <w:szCs w:val="18"/>
              </w:rPr>
              <w:t>Very bad health</w:t>
            </w:r>
          </w:p>
        </w:tc>
        <w:tc>
          <w:tcPr>
            <w:tcW w:w="3260" w:type="dxa"/>
            <w:noWrap/>
            <w:vAlign w:val="bottom"/>
          </w:tcPr>
          <w:p w14:paraId="535C86B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1FA9A05B"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77166E1B"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5890A038" w14:textId="77777777" w:rsidR="0045150F" w:rsidRPr="00E16578" w:rsidRDefault="0045150F" w:rsidP="00AB41AF">
            <w:pPr>
              <w:rPr>
                <w:rFonts w:cstheme="minorHAnsi"/>
                <w:b w:val="0"/>
                <w:bCs w:val="0"/>
                <w:sz w:val="18"/>
                <w:szCs w:val="18"/>
              </w:rPr>
            </w:pPr>
            <w:r w:rsidRPr="00E16578">
              <w:rPr>
                <w:b w:val="0"/>
                <w:bCs w:val="0"/>
                <w:color w:val="000000"/>
                <w:sz w:val="18"/>
                <w:szCs w:val="18"/>
              </w:rPr>
              <w:t>Very good health</w:t>
            </w:r>
          </w:p>
        </w:tc>
        <w:tc>
          <w:tcPr>
            <w:tcW w:w="3260" w:type="dxa"/>
            <w:noWrap/>
            <w:vAlign w:val="bottom"/>
          </w:tcPr>
          <w:p w14:paraId="3F5F62C1"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95C5ADB"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7D4C9E25" w14:textId="77777777" w:rsidTr="00AB41AF">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328AE6E3" w14:textId="77777777" w:rsidR="0045150F" w:rsidRPr="00E16578" w:rsidRDefault="0045150F" w:rsidP="00AB41AF">
            <w:pPr>
              <w:rPr>
                <w:rFonts w:cstheme="minorHAnsi"/>
                <w:b w:val="0"/>
                <w:bCs w:val="0"/>
                <w:sz w:val="18"/>
                <w:szCs w:val="18"/>
              </w:rPr>
            </w:pPr>
            <w:r w:rsidRPr="00E16578">
              <w:rPr>
                <w:b w:val="0"/>
                <w:bCs w:val="0"/>
                <w:color w:val="000000"/>
                <w:sz w:val="18"/>
                <w:szCs w:val="18"/>
              </w:rPr>
              <w:t>Work mainly at or from home</w:t>
            </w:r>
          </w:p>
        </w:tc>
        <w:tc>
          <w:tcPr>
            <w:tcW w:w="3260" w:type="dxa"/>
            <w:noWrap/>
            <w:vAlign w:val="bottom"/>
          </w:tcPr>
          <w:p w14:paraId="15C86DA8"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Census 2011</w:t>
            </w:r>
          </w:p>
        </w:tc>
        <w:tc>
          <w:tcPr>
            <w:tcW w:w="1276" w:type="dxa"/>
            <w:noWrap/>
            <w:vAlign w:val="bottom"/>
          </w:tcPr>
          <w:p w14:paraId="45237BAE" w14:textId="77777777" w:rsidR="0045150F" w:rsidRPr="00E16578" w:rsidRDefault="0045150F" w:rsidP="00AB4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16578">
              <w:rPr>
                <w:color w:val="000000"/>
                <w:sz w:val="18"/>
                <w:szCs w:val="18"/>
              </w:rPr>
              <w:t>2011</w:t>
            </w:r>
          </w:p>
        </w:tc>
      </w:tr>
      <w:tr w:rsidR="009E3D36" w:rsidRPr="00532E83" w14:paraId="14F0324C" w14:textId="77777777" w:rsidTr="00AB41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bottom"/>
          </w:tcPr>
          <w:p w14:paraId="7F5BECC5" w14:textId="77777777" w:rsidR="0045150F" w:rsidRPr="00E16578" w:rsidRDefault="0045150F" w:rsidP="00AB41AF">
            <w:pPr>
              <w:rPr>
                <w:rFonts w:cstheme="minorHAnsi"/>
                <w:b w:val="0"/>
                <w:bCs w:val="0"/>
                <w:sz w:val="18"/>
                <w:szCs w:val="18"/>
              </w:rPr>
            </w:pPr>
            <w:r w:rsidRPr="00E16578">
              <w:rPr>
                <w:b w:val="0"/>
                <w:bCs w:val="0"/>
                <w:color w:val="000000"/>
                <w:sz w:val="18"/>
                <w:szCs w:val="18"/>
              </w:rPr>
              <w:t>Working age Benefit claimants (aged 16-24)</w:t>
            </w:r>
          </w:p>
        </w:tc>
        <w:tc>
          <w:tcPr>
            <w:tcW w:w="3260" w:type="dxa"/>
            <w:noWrap/>
            <w:vAlign w:val="bottom"/>
          </w:tcPr>
          <w:p w14:paraId="0497412C"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 xml:space="preserve">Department for Work and Pensions </w:t>
            </w:r>
          </w:p>
        </w:tc>
        <w:tc>
          <w:tcPr>
            <w:tcW w:w="1276" w:type="dxa"/>
            <w:noWrap/>
            <w:vAlign w:val="bottom"/>
          </w:tcPr>
          <w:p w14:paraId="39ABF559" w14:textId="77777777" w:rsidR="0045150F" w:rsidRPr="00E16578" w:rsidRDefault="0045150F" w:rsidP="00AB4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16578">
              <w:rPr>
                <w:color w:val="000000"/>
                <w:sz w:val="18"/>
                <w:szCs w:val="18"/>
              </w:rPr>
              <w:t>Aug-20</w:t>
            </w:r>
          </w:p>
        </w:tc>
      </w:tr>
    </w:tbl>
    <w:p w14:paraId="65E29BBF" w14:textId="17EFE2AF" w:rsidR="0045150F" w:rsidRDefault="0045150F" w:rsidP="0045150F"/>
    <w:p w14:paraId="68D81F2D" w14:textId="0017C0B5" w:rsidR="00A34A55" w:rsidRDefault="00A34A55" w:rsidP="0045150F">
      <w:r>
        <w:t>Correlation analysis was run on the initial long-list of indicators to exclude highly correlated variables as multi-correlations can weaken the estimated impact of different factors. The following variables were excluded in this stage:</w:t>
      </w:r>
    </w:p>
    <w:p w14:paraId="2A489AF3" w14:textId="3E6D22C9" w:rsidR="00A34A55" w:rsidRDefault="00A34A55" w:rsidP="0045150F"/>
    <w:p w14:paraId="37A51547" w14:textId="77777777" w:rsidR="00815610" w:rsidRDefault="00815610" w:rsidP="00815610">
      <w:pPr>
        <w:pStyle w:val="ListParagraph"/>
        <w:numPr>
          <w:ilvl w:val="0"/>
          <w:numId w:val="28"/>
        </w:numPr>
      </w:pPr>
      <w:bookmarkStart w:id="27" w:name="_Hlk71128535"/>
      <w:r>
        <w:t>No people in household have English as a main language</w:t>
      </w:r>
    </w:p>
    <w:p w14:paraId="532E21DA" w14:textId="77777777" w:rsidR="00815610" w:rsidRDefault="00815610" w:rsidP="00815610">
      <w:pPr>
        <w:pStyle w:val="ListParagraph"/>
        <w:numPr>
          <w:ilvl w:val="0"/>
          <w:numId w:val="28"/>
        </w:numPr>
      </w:pPr>
      <w:r>
        <w:t>Very bad health</w:t>
      </w:r>
    </w:p>
    <w:p w14:paraId="2BD598F7" w14:textId="77777777" w:rsidR="00815610" w:rsidRDefault="00815610" w:rsidP="00815610">
      <w:pPr>
        <w:pStyle w:val="ListParagraph"/>
        <w:numPr>
          <w:ilvl w:val="0"/>
          <w:numId w:val="28"/>
        </w:numPr>
      </w:pPr>
      <w:r>
        <w:lastRenderedPageBreak/>
        <w:t>Highest level of qualification: Level 1 qualifications</w:t>
      </w:r>
    </w:p>
    <w:p w14:paraId="72DDECB4" w14:textId="77777777" w:rsidR="00815610" w:rsidRDefault="00815610" w:rsidP="00815610">
      <w:pPr>
        <w:pStyle w:val="ListParagraph"/>
        <w:numPr>
          <w:ilvl w:val="0"/>
          <w:numId w:val="28"/>
        </w:numPr>
      </w:pPr>
      <w:r>
        <w:t>Self-employed people</w:t>
      </w:r>
    </w:p>
    <w:p w14:paraId="46CEBA63" w14:textId="77777777" w:rsidR="00815610" w:rsidRDefault="00815610" w:rsidP="00815610">
      <w:pPr>
        <w:pStyle w:val="ListParagraph"/>
        <w:numPr>
          <w:ilvl w:val="0"/>
          <w:numId w:val="28"/>
        </w:numPr>
      </w:pPr>
      <w:r>
        <w:t>Industry: Professional, scientific and technical activities</w:t>
      </w:r>
    </w:p>
    <w:p w14:paraId="03D151B1" w14:textId="77777777" w:rsidR="00815610" w:rsidRDefault="00815610" w:rsidP="00815610">
      <w:pPr>
        <w:pStyle w:val="ListParagraph"/>
        <w:numPr>
          <w:ilvl w:val="0"/>
          <w:numId w:val="28"/>
        </w:numPr>
      </w:pPr>
      <w:r>
        <w:t>Social grade (N-SEC): 1 Higher managerial, administrative and professional occupations</w:t>
      </w:r>
    </w:p>
    <w:p w14:paraId="1037B218" w14:textId="77777777" w:rsidR="00815610" w:rsidRDefault="00815610" w:rsidP="00815610">
      <w:pPr>
        <w:pStyle w:val="ListParagraph"/>
        <w:numPr>
          <w:ilvl w:val="0"/>
          <w:numId w:val="28"/>
        </w:numPr>
      </w:pPr>
      <w:r>
        <w:t>Social grade (N-SEC): 1.2 Higher professional occupations</w:t>
      </w:r>
    </w:p>
    <w:p w14:paraId="43B7FE70" w14:textId="77777777" w:rsidR="00815610" w:rsidRDefault="00815610" w:rsidP="00815610">
      <w:pPr>
        <w:pStyle w:val="ListParagraph"/>
        <w:numPr>
          <w:ilvl w:val="0"/>
          <w:numId w:val="28"/>
        </w:numPr>
      </w:pPr>
      <w:r>
        <w:t>Social grade (N-SEC): 2. Lower managerial, administrative and professional occupations</w:t>
      </w:r>
    </w:p>
    <w:p w14:paraId="04A8DF9D" w14:textId="77777777" w:rsidR="00815610" w:rsidRDefault="00815610" w:rsidP="00815610">
      <w:pPr>
        <w:pStyle w:val="ListParagraph"/>
        <w:numPr>
          <w:ilvl w:val="0"/>
          <w:numId w:val="28"/>
        </w:numPr>
      </w:pPr>
      <w:r>
        <w:t>Social grade (N-SEC): 4. Small employers and own account workers</w:t>
      </w:r>
    </w:p>
    <w:p w14:paraId="5D97441A" w14:textId="77777777" w:rsidR="00815610" w:rsidRDefault="00815610" w:rsidP="00815610">
      <w:pPr>
        <w:pStyle w:val="ListParagraph"/>
        <w:numPr>
          <w:ilvl w:val="0"/>
          <w:numId w:val="28"/>
        </w:numPr>
      </w:pPr>
      <w:r>
        <w:t>Social grade (N-SEC): 6. Semi-routine occupations</w:t>
      </w:r>
    </w:p>
    <w:p w14:paraId="0F1C90E2" w14:textId="77777777" w:rsidR="00815610" w:rsidRDefault="00815610" w:rsidP="00815610">
      <w:pPr>
        <w:pStyle w:val="ListParagraph"/>
        <w:numPr>
          <w:ilvl w:val="0"/>
          <w:numId w:val="28"/>
        </w:numPr>
      </w:pPr>
      <w:r>
        <w:t>Social grade (N-SEC): 7. Routine occupations</w:t>
      </w:r>
    </w:p>
    <w:p w14:paraId="55EEF61B" w14:textId="77777777" w:rsidR="00815610" w:rsidRDefault="00815610" w:rsidP="00815610">
      <w:pPr>
        <w:pStyle w:val="ListParagraph"/>
        <w:numPr>
          <w:ilvl w:val="0"/>
          <w:numId w:val="28"/>
        </w:numPr>
      </w:pPr>
      <w:r>
        <w:t>Social grade (N-SEC): L14.1 Never worked</w:t>
      </w:r>
    </w:p>
    <w:p w14:paraId="4B645900" w14:textId="77777777" w:rsidR="00815610" w:rsidRDefault="00815610" w:rsidP="00815610">
      <w:pPr>
        <w:pStyle w:val="ListParagraph"/>
        <w:numPr>
          <w:ilvl w:val="0"/>
          <w:numId w:val="28"/>
        </w:numPr>
      </w:pPr>
      <w:r>
        <w:t>Social grade (N-SEC): L14.2 Long-term unemployed</w:t>
      </w:r>
    </w:p>
    <w:p w14:paraId="63B7441E" w14:textId="77777777" w:rsidR="00815610" w:rsidRDefault="00815610" w:rsidP="00815610">
      <w:pPr>
        <w:pStyle w:val="ListParagraph"/>
        <w:numPr>
          <w:ilvl w:val="0"/>
          <w:numId w:val="28"/>
        </w:numPr>
      </w:pPr>
      <w:r>
        <w:t>Number of property transactions</w:t>
      </w:r>
    </w:p>
    <w:p w14:paraId="08BD1B0D" w14:textId="77777777" w:rsidR="00815610" w:rsidRDefault="00815610" w:rsidP="00815610">
      <w:pPr>
        <w:pStyle w:val="ListParagraph"/>
        <w:numPr>
          <w:ilvl w:val="0"/>
          <w:numId w:val="28"/>
        </w:numPr>
      </w:pPr>
      <w:r>
        <w:t>Average house price</w:t>
      </w:r>
    </w:p>
    <w:p w14:paraId="59C387A1" w14:textId="77777777" w:rsidR="00815610" w:rsidRDefault="00815610" w:rsidP="00815610">
      <w:pPr>
        <w:pStyle w:val="ListParagraph"/>
        <w:numPr>
          <w:ilvl w:val="0"/>
          <w:numId w:val="28"/>
        </w:numPr>
      </w:pPr>
      <w:r>
        <w:t>Number of property transactions for detached houses</w:t>
      </w:r>
    </w:p>
    <w:p w14:paraId="3D371763" w14:textId="77777777" w:rsidR="00815610" w:rsidRDefault="00815610" w:rsidP="00815610">
      <w:pPr>
        <w:pStyle w:val="ListParagraph"/>
        <w:numPr>
          <w:ilvl w:val="0"/>
          <w:numId w:val="28"/>
        </w:numPr>
      </w:pPr>
      <w:r>
        <w:t>Average house price for detached houses</w:t>
      </w:r>
    </w:p>
    <w:p w14:paraId="0588FA06" w14:textId="77777777" w:rsidR="00815610" w:rsidRDefault="00815610" w:rsidP="00815610">
      <w:pPr>
        <w:pStyle w:val="ListParagraph"/>
        <w:numPr>
          <w:ilvl w:val="0"/>
          <w:numId w:val="28"/>
        </w:numPr>
      </w:pPr>
      <w:r>
        <w:t>Ten year percentage change in total prices paid for detached houses (rolling 12 months total)</w:t>
      </w:r>
    </w:p>
    <w:p w14:paraId="72EC6F79" w14:textId="77777777" w:rsidR="00815610" w:rsidRDefault="00815610" w:rsidP="00815610">
      <w:pPr>
        <w:pStyle w:val="ListParagraph"/>
        <w:numPr>
          <w:ilvl w:val="0"/>
          <w:numId w:val="28"/>
        </w:numPr>
      </w:pPr>
      <w:r>
        <w:t>Number of property transactions for flats</w:t>
      </w:r>
    </w:p>
    <w:p w14:paraId="737D771B" w14:textId="77777777" w:rsidR="00815610" w:rsidRDefault="00815610" w:rsidP="00815610">
      <w:pPr>
        <w:pStyle w:val="ListParagraph"/>
        <w:numPr>
          <w:ilvl w:val="0"/>
          <w:numId w:val="28"/>
        </w:numPr>
      </w:pPr>
      <w:r>
        <w:t>Average house price for flats</w:t>
      </w:r>
    </w:p>
    <w:p w14:paraId="2F4F3448" w14:textId="77777777" w:rsidR="00815610" w:rsidRDefault="00815610" w:rsidP="00815610">
      <w:pPr>
        <w:pStyle w:val="ListParagraph"/>
        <w:numPr>
          <w:ilvl w:val="0"/>
          <w:numId w:val="28"/>
        </w:numPr>
      </w:pPr>
      <w:r>
        <w:t>Ten year percentage change in total prices paid for flats (rolling 12 months total)</w:t>
      </w:r>
    </w:p>
    <w:p w14:paraId="0C95702C" w14:textId="77777777" w:rsidR="00815610" w:rsidRDefault="00815610" w:rsidP="00815610">
      <w:pPr>
        <w:pStyle w:val="ListParagraph"/>
        <w:numPr>
          <w:ilvl w:val="0"/>
          <w:numId w:val="28"/>
        </w:numPr>
      </w:pPr>
      <w:r>
        <w:t>Number of property transactions for semi-detached houses</w:t>
      </w:r>
    </w:p>
    <w:p w14:paraId="5BFCFC6F" w14:textId="77777777" w:rsidR="00815610" w:rsidRDefault="00815610" w:rsidP="00815610">
      <w:pPr>
        <w:pStyle w:val="ListParagraph"/>
        <w:numPr>
          <w:ilvl w:val="0"/>
          <w:numId w:val="28"/>
        </w:numPr>
      </w:pPr>
      <w:r>
        <w:t>Average house price for semi-detached houses</w:t>
      </w:r>
    </w:p>
    <w:p w14:paraId="136D0DDC" w14:textId="77777777" w:rsidR="00815610" w:rsidRDefault="00815610" w:rsidP="00815610">
      <w:pPr>
        <w:pStyle w:val="ListParagraph"/>
        <w:numPr>
          <w:ilvl w:val="0"/>
          <w:numId w:val="28"/>
        </w:numPr>
      </w:pPr>
      <w:r>
        <w:t>Ten year percentage change in total prices paid for semi-detached houses (rolling 12 months total)</w:t>
      </w:r>
    </w:p>
    <w:p w14:paraId="59B97B1A" w14:textId="77777777" w:rsidR="00815610" w:rsidRDefault="00815610" w:rsidP="00815610">
      <w:pPr>
        <w:pStyle w:val="ListParagraph"/>
        <w:numPr>
          <w:ilvl w:val="0"/>
          <w:numId w:val="28"/>
        </w:numPr>
      </w:pPr>
      <w:r>
        <w:t>Number of property transactions for terraced houses</w:t>
      </w:r>
    </w:p>
    <w:p w14:paraId="3BB4678B" w14:textId="77777777" w:rsidR="00815610" w:rsidRDefault="00815610" w:rsidP="00815610">
      <w:pPr>
        <w:pStyle w:val="ListParagraph"/>
        <w:numPr>
          <w:ilvl w:val="0"/>
          <w:numId w:val="28"/>
        </w:numPr>
      </w:pPr>
      <w:r>
        <w:t>Ten year percentage change in total prices paid for terraced houses (rolling 12 months total)</w:t>
      </w:r>
    </w:p>
    <w:p w14:paraId="68160015" w14:textId="77777777" w:rsidR="00815610" w:rsidRDefault="00815610" w:rsidP="00815610">
      <w:pPr>
        <w:pStyle w:val="ListParagraph"/>
        <w:numPr>
          <w:ilvl w:val="0"/>
          <w:numId w:val="28"/>
        </w:numPr>
      </w:pPr>
      <w:r>
        <w:t>Pupil persistent absentees</w:t>
      </w:r>
    </w:p>
    <w:p w14:paraId="2F0E2502" w14:textId="77777777" w:rsidR="00815610" w:rsidRDefault="00815610" w:rsidP="00815610">
      <w:pPr>
        <w:pStyle w:val="ListParagraph"/>
        <w:numPr>
          <w:ilvl w:val="0"/>
          <w:numId w:val="28"/>
        </w:numPr>
      </w:pPr>
      <w:r>
        <w:t>Pupil unauthorised absences</w:t>
      </w:r>
    </w:p>
    <w:p w14:paraId="4CAE8F79" w14:textId="77777777" w:rsidR="00815610" w:rsidRDefault="00815610" w:rsidP="00815610">
      <w:pPr>
        <w:pStyle w:val="ListParagraph"/>
        <w:numPr>
          <w:ilvl w:val="0"/>
          <w:numId w:val="28"/>
        </w:numPr>
      </w:pPr>
      <w:r>
        <w:t>Main language is not English: Cannot speak English well</w:t>
      </w:r>
    </w:p>
    <w:p w14:paraId="5FC2F550" w14:textId="77777777" w:rsidR="00815610" w:rsidRDefault="00815610" w:rsidP="00815610">
      <w:pPr>
        <w:pStyle w:val="ListParagraph"/>
        <w:numPr>
          <w:ilvl w:val="0"/>
          <w:numId w:val="28"/>
        </w:numPr>
      </w:pPr>
      <w:r>
        <w:t>Main language is not English: Cannot speak English</w:t>
      </w:r>
    </w:p>
    <w:p w14:paraId="7BDC5D92" w14:textId="654AEA55" w:rsidR="00A34A55" w:rsidRDefault="00815610" w:rsidP="00815610">
      <w:pPr>
        <w:pStyle w:val="ListParagraph"/>
        <w:numPr>
          <w:ilvl w:val="0"/>
          <w:numId w:val="28"/>
        </w:numPr>
      </w:pPr>
      <w:r>
        <w:t>Self-employed working full-time without employees</w:t>
      </w:r>
    </w:p>
    <w:p w14:paraId="060C999F" w14:textId="3253B6B3" w:rsidR="00D941BA" w:rsidRPr="000C4327" w:rsidRDefault="00D941BA" w:rsidP="00815610">
      <w:pPr>
        <w:pStyle w:val="ListParagraph"/>
        <w:numPr>
          <w:ilvl w:val="0"/>
          <w:numId w:val="28"/>
        </w:numPr>
        <w:rPr>
          <w:szCs w:val="20"/>
        </w:rPr>
      </w:pPr>
      <w:r w:rsidRPr="00D941BA">
        <w:rPr>
          <w:color w:val="000000"/>
          <w:szCs w:val="20"/>
        </w:rPr>
        <w:t>Overweight or obese children in year 6</w:t>
      </w:r>
      <w:bookmarkEnd w:id="27"/>
    </w:p>
    <w:p w14:paraId="5094C3F9" w14:textId="6ABE1472" w:rsidR="000C4327" w:rsidRDefault="000C4327" w:rsidP="000C4327">
      <w:pPr>
        <w:rPr>
          <w:szCs w:val="20"/>
        </w:rPr>
      </w:pPr>
    </w:p>
    <w:p w14:paraId="7EEC205B" w14:textId="77777777" w:rsidR="000C4327" w:rsidRDefault="000C4327">
      <w:pPr>
        <w:spacing w:after="160" w:line="259" w:lineRule="auto"/>
        <w:rPr>
          <w:rFonts w:eastAsiaTheme="majorEastAsia" w:cstheme="majorBidi"/>
          <w:color w:val="2F5496" w:themeColor="accent1" w:themeShade="BF"/>
          <w:sz w:val="32"/>
          <w:szCs w:val="32"/>
        </w:rPr>
      </w:pPr>
      <w:r>
        <w:br w:type="page"/>
      </w:r>
    </w:p>
    <w:p w14:paraId="7829E27F" w14:textId="33848B98" w:rsidR="000C4327" w:rsidRPr="0019397E" w:rsidRDefault="000C4327" w:rsidP="000C4327">
      <w:pPr>
        <w:pStyle w:val="Heading1"/>
      </w:pPr>
      <w:bookmarkStart w:id="28" w:name="_Toc71790747"/>
      <w:r>
        <w:lastRenderedPageBreak/>
        <w:t>Appendix B Left-behind areas in Essex</w:t>
      </w:r>
      <w:bookmarkEnd w:id="28"/>
    </w:p>
    <w:p w14:paraId="79E3112D" w14:textId="77777777" w:rsidR="000C4327" w:rsidRDefault="000C4327" w:rsidP="000C4327"/>
    <w:tbl>
      <w:tblPr>
        <w:tblStyle w:val="TableGrid"/>
        <w:tblW w:w="0" w:type="auto"/>
        <w:tblLook w:val="04A0" w:firstRow="1" w:lastRow="0" w:firstColumn="1" w:lastColumn="0" w:noHBand="0" w:noVBand="1"/>
      </w:tblPr>
      <w:tblGrid>
        <w:gridCol w:w="3539"/>
        <w:gridCol w:w="3119"/>
        <w:gridCol w:w="2358"/>
      </w:tblGrid>
      <w:tr w:rsidR="000C4327" w:rsidRPr="00A237F8" w14:paraId="2AF2BB86" w14:textId="77777777" w:rsidTr="00AB41AF">
        <w:tc>
          <w:tcPr>
            <w:tcW w:w="3539" w:type="dxa"/>
            <w:shd w:val="clear" w:color="auto" w:fill="002060"/>
          </w:tcPr>
          <w:p w14:paraId="1716F30C" w14:textId="77777777" w:rsidR="000C4327" w:rsidRPr="00A237F8" w:rsidRDefault="000C4327" w:rsidP="00AB41AF">
            <w:pPr>
              <w:rPr>
                <w:szCs w:val="20"/>
              </w:rPr>
            </w:pPr>
            <w:r w:rsidRPr="00A237F8">
              <w:rPr>
                <w:szCs w:val="20"/>
              </w:rPr>
              <w:t>LBA</w:t>
            </w:r>
          </w:p>
        </w:tc>
        <w:tc>
          <w:tcPr>
            <w:tcW w:w="3119" w:type="dxa"/>
            <w:shd w:val="clear" w:color="auto" w:fill="002060"/>
          </w:tcPr>
          <w:p w14:paraId="6676C509" w14:textId="77777777" w:rsidR="000C4327" w:rsidRPr="00A237F8" w:rsidRDefault="000C4327" w:rsidP="00AB41AF">
            <w:pPr>
              <w:rPr>
                <w:szCs w:val="20"/>
              </w:rPr>
            </w:pPr>
            <w:r w:rsidRPr="00A237F8">
              <w:rPr>
                <w:szCs w:val="20"/>
              </w:rPr>
              <w:t>Town</w:t>
            </w:r>
          </w:p>
        </w:tc>
        <w:tc>
          <w:tcPr>
            <w:tcW w:w="2358" w:type="dxa"/>
            <w:shd w:val="clear" w:color="auto" w:fill="002060"/>
          </w:tcPr>
          <w:p w14:paraId="7571D484" w14:textId="77777777" w:rsidR="000C4327" w:rsidRPr="00A237F8" w:rsidRDefault="000C4327" w:rsidP="00AB41AF">
            <w:pPr>
              <w:rPr>
                <w:szCs w:val="20"/>
              </w:rPr>
            </w:pPr>
            <w:r w:rsidRPr="00A237F8">
              <w:rPr>
                <w:szCs w:val="20"/>
              </w:rPr>
              <w:t>Local Authority</w:t>
            </w:r>
          </w:p>
        </w:tc>
      </w:tr>
      <w:tr w:rsidR="000C4327" w:rsidRPr="00A237F8" w14:paraId="7D829FA3" w14:textId="77777777" w:rsidTr="00AB41AF">
        <w:tc>
          <w:tcPr>
            <w:tcW w:w="3539" w:type="dxa"/>
            <w:vAlign w:val="center"/>
          </w:tcPr>
          <w:p w14:paraId="3D10C8FD" w14:textId="77777777" w:rsidR="000C4327" w:rsidRPr="00A237F8" w:rsidRDefault="000C4327" w:rsidP="00AB41AF">
            <w:pPr>
              <w:rPr>
                <w:szCs w:val="20"/>
              </w:rPr>
            </w:pPr>
            <w:proofErr w:type="spellStart"/>
            <w:r w:rsidRPr="00A237F8">
              <w:rPr>
                <w:rFonts w:cs="Calibri"/>
                <w:color w:val="000000"/>
                <w:szCs w:val="20"/>
              </w:rPr>
              <w:t>Bluehouse</w:t>
            </w:r>
            <w:proofErr w:type="spellEnd"/>
            <w:r w:rsidRPr="00A237F8">
              <w:rPr>
                <w:rFonts w:cs="Calibri"/>
                <w:color w:val="000000"/>
                <w:szCs w:val="20"/>
              </w:rPr>
              <w:t xml:space="preserve"> </w:t>
            </w:r>
          </w:p>
        </w:tc>
        <w:tc>
          <w:tcPr>
            <w:tcW w:w="3119" w:type="dxa"/>
            <w:vAlign w:val="bottom"/>
          </w:tcPr>
          <w:p w14:paraId="47FB6C6C" w14:textId="77777777" w:rsidR="000C4327" w:rsidRPr="00A237F8" w:rsidRDefault="000C4327" w:rsidP="00AB41AF">
            <w:pPr>
              <w:rPr>
                <w:szCs w:val="20"/>
              </w:rPr>
            </w:pPr>
            <w:r w:rsidRPr="00A237F8">
              <w:rPr>
                <w:rFonts w:cs="Calibri"/>
                <w:color w:val="000000"/>
                <w:szCs w:val="20"/>
              </w:rPr>
              <w:t>Clacton</w:t>
            </w:r>
          </w:p>
        </w:tc>
        <w:tc>
          <w:tcPr>
            <w:tcW w:w="2358" w:type="dxa"/>
            <w:vAlign w:val="bottom"/>
          </w:tcPr>
          <w:p w14:paraId="137B5543" w14:textId="77777777" w:rsidR="000C4327" w:rsidRPr="00A237F8" w:rsidRDefault="000C4327" w:rsidP="00AB41AF">
            <w:pPr>
              <w:rPr>
                <w:szCs w:val="20"/>
              </w:rPr>
            </w:pPr>
            <w:r w:rsidRPr="00A237F8">
              <w:rPr>
                <w:rFonts w:cs="Calibri"/>
                <w:color w:val="000000"/>
                <w:szCs w:val="20"/>
              </w:rPr>
              <w:t>Tendring</w:t>
            </w:r>
          </w:p>
        </w:tc>
      </w:tr>
      <w:tr w:rsidR="000C4327" w:rsidRPr="00A237F8" w14:paraId="37ADB947" w14:textId="77777777" w:rsidTr="00AB41AF">
        <w:tc>
          <w:tcPr>
            <w:tcW w:w="3539" w:type="dxa"/>
            <w:vAlign w:val="center"/>
          </w:tcPr>
          <w:p w14:paraId="1733282E" w14:textId="77777777" w:rsidR="000C4327" w:rsidRPr="00A237F8" w:rsidRDefault="000C4327" w:rsidP="00AB41AF">
            <w:pPr>
              <w:rPr>
                <w:szCs w:val="20"/>
              </w:rPr>
            </w:pPr>
            <w:proofErr w:type="spellStart"/>
            <w:r w:rsidRPr="00A237F8">
              <w:rPr>
                <w:rFonts w:cs="Calibri"/>
                <w:color w:val="000000"/>
                <w:szCs w:val="20"/>
              </w:rPr>
              <w:t>Coppins</w:t>
            </w:r>
            <w:proofErr w:type="spellEnd"/>
            <w:r w:rsidRPr="00A237F8">
              <w:rPr>
                <w:rFonts w:cs="Calibri"/>
                <w:color w:val="000000"/>
                <w:szCs w:val="20"/>
              </w:rPr>
              <w:t xml:space="preserve"> </w:t>
            </w:r>
          </w:p>
        </w:tc>
        <w:tc>
          <w:tcPr>
            <w:tcW w:w="3119" w:type="dxa"/>
            <w:vAlign w:val="bottom"/>
          </w:tcPr>
          <w:p w14:paraId="209918D9" w14:textId="77777777" w:rsidR="000C4327" w:rsidRPr="00A237F8" w:rsidRDefault="000C4327" w:rsidP="00AB41AF">
            <w:pPr>
              <w:rPr>
                <w:szCs w:val="20"/>
              </w:rPr>
            </w:pPr>
            <w:r w:rsidRPr="00A237F8">
              <w:rPr>
                <w:rFonts w:cs="Calibri"/>
                <w:color w:val="000000"/>
                <w:szCs w:val="20"/>
              </w:rPr>
              <w:t>Clacton</w:t>
            </w:r>
          </w:p>
        </w:tc>
        <w:tc>
          <w:tcPr>
            <w:tcW w:w="2358" w:type="dxa"/>
            <w:vAlign w:val="bottom"/>
          </w:tcPr>
          <w:p w14:paraId="2C5AEFC9" w14:textId="77777777" w:rsidR="000C4327" w:rsidRPr="00A237F8" w:rsidRDefault="000C4327" w:rsidP="00AB41AF">
            <w:pPr>
              <w:rPr>
                <w:szCs w:val="20"/>
              </w:rPr>
            </w:pPr>
            <w:r w:rsidRPr="00A237F8">
              <w:rPr>
                <w:rFonts w:cs="Calibri"/>
                <w:color w:val="000000"/>
                <w:szCs w:val="20"/>
              </w:rPr>
              <w:t>Tendring</w:t>
            </w:r>
          </w:p>
        </w:tc>
      </w:tr>
      <w:tr w:rsidR="000C4327" w:rsidRPr="00A237F8" w14:paraId="1FEC9DCC" w14:textId="77777777" w:rsidTr="00AB41AF">
        <w:tc>
          <w:tcPr>
            <w:tcW w:w="3539" w:type="dxa"/>
            <w:vAlign w:val="center"/>
          </w:tcPr>
          <w:p w14:paraId="1EA9A8AB" w14:textId="77777777" w:rsidR="000C4327" w:rsidRPr="00A237F8" w:rsidRDefault="000C4327" w:rsidP="00AB41AF">
            <w:pPr>
              <w:rPr>
                <w:szCs w:val="20"/>
              </w:rPr>
            </w:pPr>
            <w:r w:rsidRPr="00A237F8">
              <w:rPr>
                <w:rFonts w:cs="Calibri"/>
                <w:color w:val="000000"/>
                <w:szCs w:val="20"/>
              </w:rPr>
              <w:t xml:space="preserve">Harwich &amp; Kingsway </w:t>
            </w:r>
          </w:p>
        </w:tc>
        <w:tc>
          <w:tcPr>
            <w:tcW w:w="3119" w:type="dxa"/>
            <w:vAlign w:val="bottom"/>
          </w:tcPr>
          <w:p w14:paraId="6DB873B9" w14:textId="77777777" w:rsidR="000C4327" w:rsidRPr="00A237F8" w:rsidRDefault="000C4327" w:rsidP="00AB41AF">
            <w:pPr>
              <w:rPr>
                <w:szCs w:val="20"/>
              </w:rPr>
            </w:pPr>
            <w:r w:rsidRPr="00A237F8">
              <w:rPr>
                <w:rFonts w:cs="Calibri"/>
                <w:color w:val="000000"/>
                <w:szCs w:val="20"/>
              </w:rPr>
              <w:t>Harwich</w:t>
            </w:r>
          </w:p>
        </w:tc>
        <w:tc>
          <w:tcPr>
            <w:tcW w:w="2358" w:type="dxa"/>
            <w:vAlign w:val="bottom"/>
          </w:tcPr>
          <w:p w14:paraId="583C649C" w14:textId="77777777" w:rsidR="000C4327" w:rsidRPr="00A237F8" w:rsidRDefault="000C4327" w:rsidP="00AB41AF">
            <w:pPr>
              <w:rPr>
                <w:szCs w:val="20"/>
              </w:rPr>
            </w:pPr>
            <w:r w:rsidRPr="00A237F8">
              <w:rPr>
                <w:rFonts w:cs="Calibri"/>
                <w:color w:val="000000"/>
                <w:szCs w:val="20"/>
              </w:rPr>
              <w:t>Tendring</w:t>
            </w:r>
          </w:p>
        </w:tc>
      </w:tr>
      <w:tr w:rsidR="000C4327" w:rsidRPr="00A237F8" w14:paraId="7FD6FBEB" w14:textId="77777777" w:rsidTr="00AB41AF">
        <w:tc>
          <w:tcPr>
            <w:tcW w:w="3539" w:type="dxa"/>
            <w:vAlign w:val="center"/>
          </w:tcPr>
          <w:p w14:paraId="536E6EE1" w14:textId="77777777" w:rsidR="000C4327" w:rsidRPr="00A237F8" w:rsidRDefault="000C4327" w:rsidP="00AB41AF">
            <w:pPr>
              <w:rPr>
                <w:szCs w:val="20"/>
              </w:rPr>
            </w:pPr>
            <w:r w:rsidRPr="00A237F8">
              <w:rPr>
                <w:rFonts w:cs="Calibri"/>
                <w:color w:val="000000"/>
                <w:szCs w:val="20"/>
              </w:rPr>
              <w:t xml:space="preserve">Lee Chapel North </w:t>
            </w:r>
          </w:p>
        </w:tc>
        <w:tc>
          <w:tcPr>
            <w:tcW w:w="3119" w:type="dxa"/>
            <w:vAlign w:val="bottom"/>
          </w:tcPr>
          <w:p w14:paraId="4EA08A6D" w14:textId="77777777" w:rsidR="000C4327" w:rsidRPr="00A237F8" w:rsidRDefault="000C4327" w:rsidP="00AB41AF">
            <w:pPr>
              <w:rPr>
                <w:szCs w:val="20"/>
              </w:rPr>
            </w:pPr>
            <w:r w:rsidRPr="00A237F8">
              <w:rPr>
                <w:rFonts w:cs="Calibri"/>
                <w:color w:val="000000"/>
                <w:szCs w:val="20"/>
              </w:rPr>
              <w:t>Basildon</w:t>
            </w:r>
          </w:p>
        </w:tc>
        <w:tc>
          <w:tcPr>
            <w:tcW w:w="2358" w:type="dxa"/>
            <w:vAlign w:val="bottom"/>
          </w:tcPr>
          <w:p w14:paraId="7FEB4585" w14:textId="77777777" w:rsidR="000C4327" w:rsidRPr="00A237F8" w:rsidRDefault="000C4327" w:rsidP="00AB41AF">
            <w:pPr>
              <w:rPr>
                <w:szCs w:val="20"/>
              </w:rPr>
            </w:pPr>
            <w:r w:rsidRPr="00A237F8">
              <w:rPr>
                <w:rFonts w:cs="Calibri"/>
                <w:color w:val="000000"/>
                <w:szCs w:val="20"/>
              </w:rPr>
              <w:t>Basildon</w:t>
            </w:r>
          </w:p>
        </w:tc>
      </w:tr>
      <w:tr w:rsidR="000C4327" w:rsidRPr="00A237F8" w14:paraId="5E36A588" w14:textId="77777777" w:rsidTr="00AB41AF">
        <w:tc>
          <w:tcPr>
            <w:tcW w:w="3539" w:type="dxa"/>
            <w:vAlign w:val="center"/>
          </w:tcPr>
          <w:p w14:paraId="758B6945" w14:textId="77777777" w:rsidR="000C4327" w:rsidRPr="00A237F8" w:rsidRDefault="000C4327" w:rsidP="00AB41AF">
            <w:pPr>
              <w:rPr>
                <w:szCs w:val="20"/>
              </w:rPr>
            </w:pPr>
            <w:r w:rsidRPr="00A237F8">
              <w:rPr>
                <w:rFonts w:cs="Calibri"/>
                <w:color w:val="000000"/>
                <w:szCs w:val="20"/>
              </w:rPr>
              <w:t xml:space="preserve">Pitsea North West </w:t>
            </w:r>
          </w:p>
        </w:tc>
        <w:tc>
          <w:tcPr>
            <w:tcW w:w="3119" w:type="dxa"/>
            <w:vAlign w:val="bottom"/>
          </w:tcPr>
          <w:p w14:paraId="0052627F" w14:textId="77777777" w:rsidR="000C4327" w:rsidRPr="00A237F8" w:rsidRDefault="000C4327" w:rsidP="00AB41AF">
            <w:pPr>
              <w:rPr>
                <w:szCs w:val="20"/>
              </w:rPr>
            </w:pPr>
            <w:r w:rsidRPr="00A237F8">
              <w:rPr>
                <w:rFonts w:cs="Calibri"/>
                <w:color w:val="000000"/>
                <w:szCs w:val="20"/>
              </w:rPr>
              <w:t>Basildon</w:t>
            </w:r>
          </w:p>
        </w:tc>
        <w:tc>
          <w:tcPr>
            <w:tcW w:w="2358" w:type="dxa"/>
            <w:vAlign w:val="bottom"/>
          </w:tcPr>
          <w:p w14:paraId="7399614C" w14:textId="77777777" w:rsidR="000C4327" w:rsidRPr="00A237F8" w:rsidRDefault="000C4327" w:rsidP="00AB41AF">
            <w:pPr>
              <w:rPr>
                <w:szCs w:val="20"/>
              </w:rPr>
            </w:pPr>
            <w:r w:rsidRPr="00A237F8">
              <w:rPr>
                <w:rFonts w:cs="Calibri"/>
                <w:color w:val="000000"/>
                <w:szCs w:val="20"/>
              </w:rPr>
              <w:t>Basildon</w:t>
            </w:r>
          </w:p>
        </w:tc>
      </w:tr>
      <w:tr w:rsidR="000C4327" w:rsidRPr="00A237F8" w14:paraId="22726FB1" w14:textId="77777777" w:rsidTr="00AB41AF">
        <w:tc>
          <w:tcPr>
            <w:tcW w:w="3539" w:type="dxa"/>
            <w:vAlign w:val="center"/>
          </w:tcPr>
          <w:p w14:paraId="71794378" w14:textId="77777777" w:rsidR="000C4327" w:rsidRPr="00A237F8" w:rsidRDefault="000C4327" w:rsidP="00AB41AF">
            <w:pPr>
              <w:rPr>
                <w:szCs w:val="20"/>
              </w:rPr>
            </w:pPr>
            <w:r w:rsidRPr="00A237F8">
              <w:rPr>
                <w:rFonts w:cs="Calibri"/>
                <w:color w:val="000000"/>
                <w:szCs w:val="20"/>
              </w:rPr>
              <w:t xml:space="preserve">Pitsea South East </w:t>
            </w:r>
          </w:p>
        </w:tc>
        <w:tc>
          <w:tcPr>
            <w:tcW w:w="3119" w:type="dxa"/>
            <w:vAlign w:val="bottom"/>
          </w:tcPr>
          <w:p w14:paraId="541E5677" w14:textId="77777777" w:rsidR="000C4327" w:rsidRPr="00A237F8" w:rsidRDefault="000C4327" w:rsidP="00AB41AF">
            <w:pPr>
              <w:rPr>
                <w:szCs w:val="20"/>
              </w:rPr>
            </w:pPr>
            <w:r w:rsidRPr="00A237F8">
              <w:rPr>
                <w:rFonts w:cs="Calibri"/>
                <w:color w:val="000000"/>
                <w:szCs w:val="20"/>
              </w:rPr>
              <w:t>Basildon</w:t>
            </w:r>
          </w:p>
        </w:tc>
        <w:tc>
          <w:tcPr>
            <w:tcW w:w="2358" w:type="dxa"/>
            <w:vAlign w:val="bottom"/>
          </w:tcPr>
          <w:p w14:paraId="2AE80772" w14:textId="77777777" w:rsidR="000C4327" w:rsidRPr="00A237F8" w:rsidRDefault="000C4327" w:rsidP="00AB41AF">
            <w:pPr>
              <w:rPr>
                <w:szCs w:val="20"/>
              </w:rPr>
            </w:pPr>
            <w:r w:rsidRPr="00A237F8">
              <w:rPr>
                <w:rFonts w:cs="Calibri"/>
                <w:color w:val="000000"/>
                <w:szCs w:val="20"/>
              </w:rPr>
              <w:t>Basildon</w:t>
            </w:r>
          </w:p>
        </w:tc>
      </w:tr>
      <w:tr w:rsidR="000C4327" w:rsidRPr="00A237F8" w14:paraId="2903A5BD" w14:textId="77777777" w:rsidTr="00AB41AF">
        <w:tc>
          <w:tcPr>
            <w:tcW w:w="3539" w:type="dxa"/>
            <w:vAlign w:val="center"/>
          </w:tcPr>
          <w:p w14:paraId="1B339386" w14:textId="77777777" w:rsidR="000C4327" w:rsidRPr="00A237F8" w:rsidRDefault="000C4327" w:rsidP="00AB41AF">
            <w:pPr>
              <w:rPr>
                <w:szCs w:val="20"/>
              </w:rPr>
            </w:pPr>
            <w:r w:rsidRPr="00A237F8">
              <w:rPr>
                <w:rFonts w:cs="Calibri"/>
                <w:color w:val="000000"/>
                <w:szCs w:val="20"/>
              </w:rPr>
              <w:t xml:space="preserve">St James </w:t>
            </w:r>
          </w:p>
        </w:tc>
        <w:tc>
          <w:tcPr>
            <w:tcW w:w="3119" w:type="dxa"/>
            <w:vAlign w:val="bottom"/>
          </w:tcPr>
          <w:p w14:paraId="24AF3454" w14:textId="77777777" w:rsidR="000C4327" w:rsidRPr="00A237F8" w:rsidRDefault="000C4327" w:rsidP="00AB41AF">
            <w:pPr>
              <w:rPr>
                <w:szCs w:val="20"/>
              </w:rPr>
            </w:pPr>
            <w:r w:rsidRPr="00A237F8">
              <w:rPr>
                <w:rFonts w:cs="Calibri"/>
                <w:color w:val="000000"/>
                <w:szCs w:val="20"/>
              </w:rPr>
              <w:t>Clacton</w:t>
            </w:r>
          </w:p>
        </w:tc>
        <w:tc>
          <w:tcPr>
            <w:tcW w:w="2358" w:type="dxa"/>
            <w:vAlign w:val="bottom"/>
          </w:tcPr>
          <w:p w14:paraId="70773A47" w14:textId="77777777" w:rsidR="000C4327" w:rsidRPr="00A237F8" w:rsidRDefault="000C4327" w:rsidP="00AB41AF">
            <w:pPr>
              <w:rPr>
                <w:szCs w:val="20"/>
              </w:rPr>
            </w:pPr>
            <w:r w:rsidRPr="00A237F8">
              <w:rPr>
                <w:rFonts w:cs="Calibri"/>
                <w:color w:val="000000"/>
                <w:szCs w:val="20"/>
              </w:rPr>
              <w:t>Tendring</w:t>
            </w:r>
          </w:p>
        </w:tc>
      </w:tr>
      <w:tr w:rsidR="000C4327" w:rsidRPr="00A237F8" w14:paraId="2A378E37" w14:textId="77777777" w:rsidTr="00AB41AF">
        <w:tc>
          <w:tcPr>
            <w:tcW w:w="3539" w:type="dxa"/>
            <w:vAlign w:val="center"/>
          </w:tcPr>
          <w:p w14:paraId="0BFA0587" w14:textId="77777777" w:rsidR="000C4327" w:rsidRPr="00A237F8" w:rsidRDefault="000C4327" w:rsidP="00AB41AF">
            <w:pPr>
              <w:rPr>
                <w:szCs w:val="20"/>
              </w:rPr>
            </w:pPr>
            <w:r w:rsidRPr="00A237F8">
              <w:rPr>
                <w:rFonts w:cs="Calibri"/>
                <w:color w:val="000000"/>
                <w:szCs w:val="20"/>
              </w:rPr>
              <w:t xml:space="preserve">St John's </w:t>
            </w:r>
          </w:p>
        </w:tc>
        <w:tc>
          <w:tcPr>
            <w:tcW w:w="3119" w:type="dxa"/>
            <w:vAlign w:val="bottom"/>
          </w:tcPr>
          <w:p w14:paraId="11B2B28F" w14:textId="77777777" w:rsidR="000C4327" w:rsidRPr="00A237F8" w:rsidRDefault="000C4327" w:rsidP="00AB41AF">
            <w:pPr>
              <w:rPr>
                <w:szCs w:val="20"/>
              </w:rPr>
            </w:pPr>
            <w:r w:rsidRPr="00A237F8">
              <w:rPr>
                <w:rFonts w:cs="Calibri"/>
                <w:color w:val="000000"/>
                <w:szCs w:val="20"/>
              </w:rPr>
              <w:t>Clacton</w:t>
            </w:r>
          </w:p>
        </w:tc>
        <w:tc>
          <w:tcPr>
            <w:tcW w:w="2358" w:type="dxa"/>
            <w:vAlign w:val="bottom"/>
          </w:tcPr>
          <w:p w14:paraId="0F78D95D" w14:textId="77777777" w:rsidR="000C4327" w:rsidRPr="00A237F8" w:rsidRDefault="000C4327" w:rsidP="00AB41AF">
            <w:pPr>
              <w:rPr>
                <w:szCs w:val="20"/>
              </w:rPr>
            </w:pPr>
            <w:r w:rsidRPr="00A237F8">
              <w:rPr>
                <w:rFonts w:cs="Calibri"/>
                <w:color w:val="000000"/>
                <w:szCs w:val="20"/>
              </w:rPr>
              <w:t>Tendring</w:t>
            </w:r>
          </w:p>
        </w:tc>
      </w:tr>
      <w:tr w:rsidR="000C4327" w:rsidRPr="00A237F8" w14:paraId="70F6F183" w14:textId="77777777" w:rsidTr="00AB41AF">
        <w:tc>
          <w:tcPr>
            <w:tcW w:w="3539" w:type="dxa"/>
            <w:vAlign w:val="center"/>
          </w:tcPr>
          <w:p w14:paraId="3057AE1F" w14:textId="77777777" w:rsidR="000C4327" w:rsidRPr="00A237F8" w:rsidRDefault="000C4327" w:rsidP="00AB41AF">
            <w:pPr>
              <w:rPr>
                <w:szCs w:val="20"/>
              </w:rPr>
            </w:pPr>
            <w:r w:rsidRPr="00A237F8">
              <w:rPr>
                <w:rFonts w:cs="Calibri"/>
                <w:color w:val="000000"/>
                <w:szCs w:val="20"/>
              </w:rPr>
              <w:t xml:space="preserve">St </w:t>
            </w:r>
            <w:proofErr w:type="spellStart"/>
            <w:r w:rsidRPr="00A237F8">
              <w:rPr>
                <w:rFonts w:cs="Calibri"/>
                <w:color w:val="000000"/>
                <w:szCs w:val="20"/>
              </w:rPr>
              <w:t>Osyth</w:t>
            </w:r>
            <w:proofErr w:type="spellEnd"/>
            <w:r w:rsidRPr="00A237F8">
              <w:rPr>
                <w:rFonts w:cs="Calibri"/>
                <w:color w:val="000000"/>
                <w:szCs w:val="20"/>
              </w:rPr>
              <w:t xml:space="preserve"> </w:t>
            </w:r>
          </w:p>
        </w:tc>
        <w:tc>
          <w:tcPr>
            <w:tcW w:w="3119" w:type="dxa"/>
            <w:vAlign w:val="bottom"/>
          </w:tcPr>
          <w:p w14:paraId="2EBFA272" w14:textId="77777777" w:rsidR="000C4327" w:rsidRPr="00A237F8" w:rsidRDefault="000C4327" w:rsidP="00AB41AF">
            <w:pPr>
              <w:rPr>
                <w:szCs w:val="20"/>
              </w:rPr>
            </w:pPr>
            <w:r w:rsidRPr="00A237F8">
              <w:rPr>
                <w:rFonts w:cs="Calibri"/>
                <w:color w:val="000000"/>
                <w:szCs w:val="20"/>
              </w:rPr>
              <w:t xml:space="preserve">St </w:t>
            </w:r>
            <w:proofErr w:type="spellStart"/>
            <w:r w:rsidRPr="00A237F8">
              <w:rPr>
                <w:rFonts w:cs="Calibri"/>
                <w:color w:val="000000"/>
                <w:szCs w:val="20"/>
              </w:rPr>
              <w:t>Osyth</w:t>
            </w:r>
            <w:proofErr w:type="spellEnd"/>
            <w:r w:rsidRPr="00A237F8">
              <w:rPr>
                <w:rFonts w:cs="Calibri"/>
                <w:color w:val="000000"/>
                <w:szCs w:val="20"/>
              </w:rPr>
              <w:t>/</w:t>
            </w:r>
            <w:proofErr w:type="spellStart"/>
            <w:r w:rsidRPr="00A237F8">
              <w:rPr>
                <w:rFonts w:cs="Calibri"/>
                <w:color w:val="000000"/>
                <w:szCs w:val="20"/>
              </w:rPr>
              <w:t>Seawick</w:t>
            </w:r>
            <w:proofErr w:type="spellEnd"/>
            <w:r w:rsidRPr="00A237F8">
              <w:rPr>
                <w:rFonts w:cs="Calibri"/>
                <w:color w:val="000000"/>
                <w:szCs w:val="20"/>
              </w:rPr>
              <w:t>/Point Clear</w:t>
            </w:r>
          </w:p>
        </w:tc>
        <w:tc>
          <w:tcPr>
            <w:tcW w:w="2358" w:type="dxa"/>
            <w:vAlign w:val="bottom"/>
          </w:tcPr>
          <w:p w14:paraId="08C7B853" w14:textId="77777777" w:rsidR="000C4327" w:rsidRPr="00A237F8" w:rsidRDefault="000C4327" w:rsidP="00AB41AF">
            <w:pPr>
              <w:rPr>
                <w:szCs w:val="20"/>
              </w:rPr>
            </w:pPr>
            <w:r w:rsidRPr="00A237F8">
              <w:rPr>
                <w:rFonts w:cs="Calibri"/>
                <w:color w:val="000000"/>
                <w:szCs w:val="20"/>
              </w:rPr>
              <w:t>Tendring</w:t>
            </w:r>
          </w:p>
        </w:tc>
      </w:tr>
      <w:tr w:rsidR="000C4327" w:rsidRPr="00A237F8" w14:paraId="054A5B38" w14:textId="77777777" w:rsidTr="00AB41AF">
        <w:tc>
          <w:tcPr>
            <w:tcW w:w="3539" w:type="dxa"/>
            <w:vAlign w:val="center"/>
          </w:tcPr>
          <w:p w14:paraId="4C9C129E" w14:textId="77777777" w:rsidR="000C4327" w:rsidRPr="00A237F8" w:rsidRDefault="000C4327" w:rsidP="00AB41AF">
            <w:pPr>
              <w:rPr>
                <w:szCs w:val="20"/>
              </w:rPr>
            </w:pPr>
            <w:proofErr w:type="spellStart"/>
            <w:r w:rsidRPr="00A237F8">
              <w:rPr>
                <w:rFonts w:cs="Calibri"/>
                <w:color w:val="000000"/>
                <w:szCs w:val="20"/>
              </w:rPr>
              <w:t>Vange</w:t>
            </w:r>
            <w:proofErr w:type="spellEnd"/>
            <w:r w:rsidRPr="00A237F8">
              <w:rPr>
                <w:rFonts w:cs="Calibri"/>
                <w:color w:val="000000"/>
                <w:szCs w:val="20"/>
              </w:rPr>
              <w:t xml:space="preserve"> </w:t>
            </w:r>
          </w:p>
        </w:tc>
        <w:tc>
          <w:tcPr>
            <w:tcW w:w="3119" w:type="dxa"/>
            <w:vAlign w:val="bottom"/>
          </w:tcPr>
          <w:p w14:paraId="1A83241F" w14:textId="77777777" w:rsidR="000C4327" w:rsidRPr="00A237F8" w:rsidRDefault="000C4327" w:rsidP="00AB41AF">
            <w:pPr>
              <w:rPr>
                <w:szCs w:val="20"/>
              </w:rPr>
            </w:pPr>
            <w:r w:rsidRPr="00A237F8">
              <w:rPr>
                <w:rFonts w:cs="Calibri"/>
                <w:color w:val="000000"/>
                <w:szCs w:val="20"/>
              </w:rPr>
              <w:t>Basildon</w:t>
            </w:r>
          </w:p>
        </w:tc>
        <w:tc>
          <w:tcPr>
            <w:tcW w:w="2358" w:type="dxa"/>
            <w:vAlign w:val="bottom"/>
          </w:tcPr>
          <w:p w14:paraId="340D823E" w14:textId="77777777" w:rsidR="000C4327" w:rsidRPr="00A237F8" w:rsidRDefault="000C4327" w:rsidP="00AB41AF">
            <w:pPr>
              <w:rPr>
                <w:szCs w:val="20"/>
              </w:rPr>
            </w:pPr>
            <w:r w:rsidRPr="00A237F8">
              <w:rPr>
                <w:rFonts w:cs="Calibri"/>
                <w:color w:val="000000"/>
                <w:szCs w:val="20"/>
              </w:rPr>
              <w:t>Basildon</w:t>
            </w:r>
          </w:p>
        </w:tc>
      </w:tr>
      <w:tr w:rsidR="000C4327" w:rsidRPr="00A237F8" w14:paraId="79BF6E1F" w14:textId="77777777" w:rsidTr="00AB41AF">
        <w:tc>
          <w:tcPr>
            <w:tcW w:w="3539" w:type="dxa"/>
            <w:vAlign w:val="center"/>
          </w:tcPr>
          <w:p w14:paraId="109A2CE4" w14:textId="77777777" w:rsidR="000C4327" w:rsidRPr="00A237F8" w:rsidRDefault="000C4327" w:rsidP="00AB41AF">
            <w:pPr>
              <w:rPr>
                <w:szCs w:val="20"/>
              </w:rPr>
            </w:pPr>
            <w:r w:rsidRPr="00A237F8">
              <w:rPr>
                <w:rFonts w:cs="Calibri"/>
                <w:color w:val="000000"/>
                <w:szCs w:val="20"/>
              </w:rPr>
              <w:t xml:space="preserve">Walton </w:t>
            </w:r>
          </w:p>
        </w:tc>
        <w:tc>
          <w:tcPr>
            <w:tcW w:w="3119" w:type="dxa"/>
            <w:vAlign w:val="bottom"/>
          </w:tcPr>
          <w:p w14:paraId="05B8ED7D" w14:textId="77777777" w:rsidR="000C4327" w:rsidRPr="00A237F8" w:rsidRDefault="000C4327" w:rsidP="00AB41AF">
            <w:pPr>
              <w:rPr>
                <w:szCs w:val="20"/>
              </w:rPr>
            </w:pPr>
            <w:r w:rsidRPr="00A237F8">
              <w:rPr>
                <w:rFonts w:cs="Calibri"/>
                <w:color w:val="000000"/>
                <w:szCs w:val="20"/>
              </w:rPr>
              <w:t>Walton</w:t>
            </w:r>
          </w:p>
        </w:tc>
        <w:tc>
          <w:tcPr>
            <w:tcW w:w="2358" w:type="dxa"/>
            <w:vAlign w:val="bottom"/>
          </w:tcPr>
          <w:p w14:paraId="227B92E7" w14:textId="77777777" w:rsidR="000C4327" w:rsidRPr="00A237F8" w:rsidRDefault="000C4327" w:rsidP="00AB41AF">
            <w:pPr>
              <w:rPr>
                <w:szCs w:val="20"/>
              </w:rPr>
            </w:pPr>
            <w:r w:rsidRPr="00A237F8">
              <w:rPr>
                <w:rFonts w:cs="Calibri"/>
                <w:color w:val="000000"/>
                <w:szCs w:val="20"/>
              </w:rPr>
              <w:t>Tendring</w:t>
            </w:r>
          </w:p>
        </w:tc>
      </w:tr>
      <w:tr w:rsidR="000C4327" w:rsidRPr="00A237F8" w14:paraId="1385E168" w14:textId="77777777" w:rsidTr="00AB41AF">
        <w:tc>
          <w:tcPr>
            <w:tcW w:w="3539" w:type="dxa"/>
            <w:vAlign w:val="center"/>
          </w:tcPr>
          <w:p w14:paraId="3FF0A308" w14:textId="77777777" w:rsidR="000C4327" w:rsidRPr="00A237F8" w:rsidRDefault="000C4327" w:rsidP="00AB41AF">
            <w:pPr>
              <w:rPr>
                <w:szCs w:val="20"/>
              </w:rPr>
            </w:pPr>
            <w:r w:rsidRPr="00A237F8">
              <w:rPr>
                <w:rFonts w:cs="Calibri"/>
                <w:color w:val="000000"/>
                <w:szCs w:val="20"/>
              </w:rPr>
              <w:t xml:space="preserve">West Clacton &amp; Jaywick Sands </w:t>
            </w:r>
          </w:p>
        </w:tc>
        <w:tc>
          <w:tcPr>
            <w:tcW w:w="3119" w:type="dxa"/>
            <w:vAlign w:val="bottom"/>
          </w:tcPr>
          <w:p w14:paraId="0DAB48D8" w14:textId="77777777" w:rsidR="000C4327" w:rsidRPr="00A237F8" w:rsidRDefault="000C4327" w:rsidP="00AB41AF">
            <w:pPr>
              <w:rPr>
                <w:szCs w:val="20"/>
              </w:rPr>
            </w:pPr>
            <w:r w:rsidRPr="00A237F8">
              <w:rPr>
                <w:rFonts w:cs="Calibri"/>
                <w:color w:val="000000"/>
                <w:szCs w:val="20"/>
              </w:rPr>
              <w:t>Jaywick</w:t>
            </w:r>
          </w:p>
        </w:tc>
        <w:tc>
          <w:tcPr>
            <w:tcW w:w="2358" w:type="dxa"/>
            <w:vAlign w:val="bottom"/>
          </w:tcPr>
          <w:p w14:paraId="7F163F43" w14:textId="77777777" w:rsidR="000C4327" w:rsidRPr="00A237F8" w:rsidRDefault="000C4327" w:rsidP="00AB41AF">
            <w:pPr>
              <w:rPr>
                <w:szCs w:val="20"/>
              </w:rPr>
            </w:pPr>
            <w:r w:rsidRPr="00A237F8">
              <w:rPr>
                <w:rFonts w:cs="Calibri"/>
                <w:color w:val="000000"/>
                <w:szCs w:val="20"/>
              </w:rPr>
              <w:t>Tendring</w:t>
            </w:r>
          </w:p>
        </w:tc>
      </w:tr>
    </w:tbl>
    <w:p w14:paraId="12251432" w14:textId="77777777" w:rsidR="000C4327" w:rsidRDefault="000C4327" w:rsidP="000C4327"/>
    <w:p w14:paraId="19233EB8" w14:textId="77777777" w:rsidR="000C4327" w:rsidRPr="000C4327" w:rsidRDefault="000C4327" w:rsidP="000C4327">
      <w:pPr>
        <w:rPr>
          <w:szCs w:val="20"/>
        </w:rPr>
      </w:pPr>
    </w:p>
    <w:sectPr w:rsidR="000C4327" w:rsidRPr="000C4327" w:rsidSect="00532E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F553" w14:textId="77777777" w:rsidR="00AB41AF" w:rsidRDefault="00AB41AF" w:rsidP="00AE7855">
      <w:r>
        <w:separator/>
      </w:r>
    </w:p>
  </w:endnote>
  <w:endnote w:type="continuationSeparator" w:id="0">
    <w:p w14:paraId="178E65B0" w14:textId="77777777" w:rsidR="00AB41AF" w:rsidRDefault="00AB41AF" w:rsidP="00AE7855">
      <w:r>
        <w:continuationSeparator/>
      </w:r>
    </w:p>
  </w:endnote>
  <w:endnote w:type="continuationNotice" w:id="1">
    <w:p w14:paraId="748960AB" w14:textId="77777777" w:rsidR="00AB41AF" w:rsidRDefault="00AB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tc-avant-garde-gothic-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1907" w14:textId="77777777" w:rsidR="00AB41AF" w:rsidRDefault="00AB41AF" w:rsidP="00AE7855">
      <w:r>
        <w:separator/>
      </w:r>
    </w:p>
  </w:footnote>
  <w:footnote w:type="continuationSeparator" w:id="0">
    <w:p w14:paraId="6B81D89F" w14:textId="77777777" w:rsidR="00AB41AF" w:rsidRDefault="00AB41AF" w:rsidP="00AE7855">
      <w:r>
        <w:continuationSeparator/>
      </w:r>
    </w:p>
  </w:footnote>
  <w:footnote w:type="continuationNotice" w:id="1">
    <w:p w14:paraId="0AF27D9E" w14:textId="77777777" w:rsidR="00AB41AF" w:rsidRDefault="00AB41AF"/>
  </w:footnote>
  <w:footnote w:id="2">
    <w:p w14:paraId="255FAC1B" w14:textId="77777777" w:rsidR="00AB41AF" w:rsidRDefault="00AB41AF" w:rsidP="008609C7">
      <w:pPr>
        <w:pStyle w:val="FootnoteText"/>
      </w:pPr>
      <w:r>
        <w:rPr>
          <w:rStyle w:val="FootnoteReference"/>
        </w:rPr>
        <w:footnoteRef/>
      </w:r>
      <w:r>
        <w:t xml:space="preserve"> </w:t>
      </w:r>
      <w:r w:rsidRPr="008609C7">
        <w:rPr>
          <w:sz w:val="16"/>
          <w:szCs w:val="16"/>
        </w:rPr>
        <w:t xml:space="preserve">OCSI/Local Trust </w:t>
      </w:r>
      <w:r w:rsidRPr="008609C7">
        <w:rPr>
          <w:color w:val="212529"/>
          <w:sz w:val="16"/>
          <w:szCs w:val="16"/>
        </w:rPr>
        <w:t>Left behind? Understanding communities on the edge</w:t>
      </w:r>
      <w:r w:rsidRPr="008609C7">
        <w:rPr>
          <w:rFonts w:ascii="itc-avant-garde-gothic-pro" w:hAnsi="itc-avant-garde-gothic-pro"/>
          <w:i/>
          <w:iCs/>
          <w:color w:val="212529"/>
          <w:sz w:val="16"/>
          <w:szCs w:val="16"/>
        </w:rPr>
        <w:t xml:space="preserve"> </w:t>
      </w:r>
      <w:r w:rsidRPr="008609C7">
        <w:rPr>
          <w:i/>
          <w:iCs/>
          <w:color w:val="212529"/>
          <w:sz w:val="16"/>
          <w:szCs w:val="16"/>
        </w:rPr>
        <w:t>https://localtrust.org.uk/insights/research/left-behind-understanding-communities-on-the-edge/</w:t>
      </w:r>
    </w:p>
  </w:footnote>
  <w:footnote w:id="3">
    <w:p w14:paraId="625A3D15" w14:textId="77777777" w:rsidR="00AB41AF" w:rsidRDefault="00AB41AF" w:rsidP="00C90E42">
      <w:pPr>
        <w:pStyle w:val="FootnoteText"/>
      </w:pPr>
      <w:r>
        <w:rPr>
          <w:rStyle w:val="FootnoteReference"/>
        </w:rPr>
        <w:footnoteRef/>
      </w:r>
      <w:r>
        <w:t xml:space="preserve"> </w:t>
      </w:r>
      <w:r>
        <w:rPr>
          <w:sz w:val="16"/>
          <w:szCs w:val="16"/>
        </w:rPr>
        <w:t>ibid</w:t>
      </w:r>
    </w:p>
  </w:footnote>
  <w:footnote w:id="4">
    <w:p w14:paraId="1C5B06D1" w14:textId="77777777" w:rsidR="00AB41AF" w:rsidRDefault="00AB41AF" w:rsidP="005D6ADE">
      <w:pPr>
        <w:pStyle w:val="FootnoteText"/>
      </w:pPr>
      <w:r w:rsidRPr="00542400">
        <w:rPr>
          <w:rStyle w:val="FootnoteReference"/>
          <w:rFonts w:ascii="Calibri" w:hAnsi="Calibri" w:cs="Calibri"/>
        </w:rPr>
        <w:footnoteRef/>
      </w:r>
      <w:r w:rsidRPr="00542400">
        <w:rPr>
          <w:rFonts w:ascii="Calibri" w:hAnsi="Calibri" w:cs="Calibri"/>
        </w:rPr>
        <w:t xml:space="preserve"> </w:t>
      </w:r>
      <w:r w:rsidRPr="003E13B2">
        <w:rPr>
          <w:rFonts w:cs="Calibri"/>
          <w:sz w:val="16"/>
          <w:szCs w:val="16"/>
        </w:rPr>
        <w:t>Note, we will be limited by the availability of sufficient evidence at neighbourhood level and there may be significant factors which we will not be able to incorporate in the model due to lack of data availability</w:t>
      </w:r>
    </w:p>
  </w:footnote>
  <w:footnote w:id="5">
    <w:p w14:paraId="58E51E3F" w14:textId="09535E57" w:rsidR="00AB41AF" w:rsidRDefault="00AB41AF">
      <w:pPr>
        <w:pStyle w:val="FootnoteText"/>
      </w:pPr>
      <w:r>
        <w:rPr>
          <w:rStyle w:val="FootnoteReference"/>
        </w:rPr>
        <w:footnoteRef/>
      </w:r>
      <w:r>
        <w:t xml:space="preserve"> </w:t>
      </w:r>
      <w:r w:rsidRPr="00E4602E">
        <w:rPr>
          <w:sz w:val="16"/>
          <w:szCs w:val="16"/>
        </w:rPr>
        <w:t>Standard errors estimate the uncertainty in the data, with wide standard errors identifying that an indicator is not a significant predictor of an outcome</w:t>
      </w:r>
      <w:r>
        <w:rPr>
          <w:sz w:val="16"/>
          <w:szCs w:val="16"/>
        </w:rPr>
        <w:t>.</w:t>
      </w:r>
    </w:p>
  </w:footnote>
  <w:footnote w:id="6">
    <w:p w14:paraId="65A75770" w14:textId="738B1D45" w:rsidR="00AB41AF" w:rsidRDefault="00AB41AF" w:rsidP="00E25EB0">
      <w:pPr>
        <w:pStyle w:val="FootnoteText"/>
      </w:pPr>
      <w:r>
        <w:rPr>
          <w:rStyle w:val="FootnoteReference"/>
          <w:rFonts w:cs="Arial Unicode MS"/>
        </w:rPr>
        <w:footnoteRef/>
      </w:r>
      <w:r>
        <w:t xml:space="preserve"> </w:t>
      </w:r>
      <w:r w:rsidRPr="004D353A">
        <w:rPr>
          <w:sz w:val="16"/>
          <w:szCs w:val="16"/>
        </w:rPr>
        <w:t xml:space="preserve">Odds Ratios are </w:t>
      </w:r>
      <w:r w:rsidRPr="004D353A">
        <w:rPr>
          <w:sz w:val="16"/>
          <w:szCs w:val="16"/>
          <w:lang w:val="en-US"/>
        </w:rPr>
        <w:t xml:space="preserve">obtained in Stata using </w:t>
      </w:r>
      <w:r w:rsidRPr="004D353A">
        <w:rPr>
          <w:rFonts w:hint="eastAsia"/>
          <w:sz w:val="16"/>
          <w:szCs w:val="16"/>
          <w:lang w:val="en-US"/>
        </w:rPr>
        <w:t>“</w:t>
      </w:r>
      <w:r w:rsidRPr="004D353A">
        <w:rPr>
          <w:sz w:val="16"/>
          <w:szCs w:val="16"/>
          <w:lang w:val="en-US"/>
        </w:rPr>
        <w:t>logit, or</w:t>
      </w:r>
      <w:r w:rsidRPr="004D353A">
        <w:rPr>
          <w:rFonts w:hint="eastAsia"/>
          <w:sz w:val="16"/>
          <w:szCs w:val="16"/>
          <w:lang w:val="en-US"/>
        </w:rPr>
        <w:t>”</w:t>
      </w:r>
      <w:r w:rsidRPr="004D353A">
        <w:rPr>
          <w:sz w:val="16"/>
          <w:szCs w:val="16"/>
          <w:lang w:val="en-US"/>
        </w:rPr>
        <w:t xml:space="preserve"> syntax. </w:t>
      </w:r>
    </w:p>
  </w:footnote>
  <w:footnote w:id="7">
    <w:p w14:paraId="7E9C7C6B" w14:textId="22E86E6B" w:rsidR="00AB41AF" w:rsidRDefault="00AB41AF" w:rsidP="00E272FE">
      <w:r>
        <w:rPr>
          <w:rStyle w:val="FootnoteReference"/>
        </w:rPr>
        <w:footnoteRef/>
      </w:r>
      <w:r>
        <w:t xml:space="preserve"> </w:t>
      </w:r>
      <w:r w:rsidRPr="000C17E1">
        <w:rPr>
          <w:sz w:val="16"/>
          <w:szCs w:val="16"/>
          <w:lang w:val="en-US"/>
        </w:rPr>
        <w:t xml:space="preserve">Nine of the 12 left-behind areas perform less well than the national average on the four risk factor measures: </w:t>
      </w:r>
      <w:proofErr w:type="spellStart"/>
      <w:r w:rsidRPr="000C17E1">
        <w:rPr>
          <w:sz w:val="16"/>
          <w:szCs w:val="16"/>
        </w:rPr>
        <w:t>Bluehouse</w:t>
      </w:r>
      <w:proofErr w:type="spellEnd"/>
      <w:r w:rsidRPr="000C17E1">
        <w:rPr>
          <w:sz w:val="16"/>
          <w:szCs w:val="16"/>
        </w:rPr>
        <w:t xml:space="preserve">, </w:t>
      </w:r>
      <w:proofErr w:type="spellStart"/>
      <w:r w:rsidRPr="000C17E1">
        <w:rPr>
          <w:sz w:val="16"/>
          <w:szCs w:val="16"/>
        </w:rPr>
        <w:t>Coppins</w:t>
      </w:r>
      <w:proofErr w:type="spellEnd"/>
      <w:r w:rsidRPr="000C17E1">
        <w:rPr>
          <w:sz w:val="16"/>
          <w:szCs w:val="16"/>
        </w:rPr>
        <w:t xml:space="preserve">, Lee Chapel North, Pitsea South East, St John's, St </w:t>
      </w:r>
      <w:proofErr w:type="spellStart"/>
      <w:r w:rsidRPr="000C17E1">
        <w:rPr>
          <w:sz w:val="16"/>
          <w:szCs w:val="16"/>
        </w:rPr>
        <w:t>Osyth</w:t>
      </w:r>
      <w:proofErr w:type="spellEnd"/>
      <w:r w:rsidRPr="000C17E1">
        <w:rPr>
          <w:sz w:val="16"/>
          <w:szCs w:val="16"/>
        </w:rPr>
        <w:t xml:space="preserve">, </w:t>
      </w:r>
      <w:proofErr w:type="spellStart"/>
      <w:r w:rsidRPr="000C17E1">
        <w:rPr>
          <w:sz w:val="16"/>
          <w:szCs w:val="16"/>
        </w:rPr>
        <w:t>Vange</w:t>
      </w:r>
      <w:proofErr w:type="spellEnd"/>
      <w:r w:rsidRPr="000C17E1">
        <w:rPr>
          <w:sz w:val="16"/>
          <w:szCs w:val="16"/>
        </w:rPr>
        <w:t>, Walton, West Clacton &amp; Jaywick Sands</w:t>
      </w:r>
    </w:p>
  </w:footnote>
  <w:footnote w:id="8">
    <w:p w14:paraId="30F800B4" w14:textId="690B9F40" w:rsidR="00AB41AF" w:rsidRDefault="00AB41AF">
      <w:pPr>
        <w:pStyle w:val="FootnoteText"/>
      </w:pPr>
      <w:r>
        <w:rPr>
          <w:rStyle w:val="FootnoteReference"/>
        </w:rPr>
        <w:footnoteRef/>
      </w:r>
      <w:r>
        <w:t xml:space="preserve"> </w:t>
      </w:r>
      <w:r w:rsidRPr="000C17E1">
        <w:rPr>
          <w:sz w:val="16"/>
          <w:szCs w:val="16"/>
        </w:rPr>
        <w:t>This is calculated by summing the ranks across each of the four factors (where a low rank indicates higher unemployment, higher limiting-long-term illness, lower degree qualifications and lower in-commuting) and dividing the result by four.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E57"/>
    <w:multiLevelType w:val="hybridMultilevel"/>
    <w:tmpl w:val="39C2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25851"/>
    <w:multiLevelType w:val="hybridMultilevel"/>
    <w:tmpl w:val="B030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693E"/>
    <w:multiLevelType w:val="hybridMultilevel"/>
    <w:tmpl w:val="67D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B76C9"/>
    <w:multiLevelType w:val="hybridMultilevel"/>
    <w:tmpl w:val="5BCC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B1D47"/>
    <w:multiLevelType w:val="hybridMultilevel"/>
    <w:tmpl w:val="BA2A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F6231"/>
    <w:multiLevelType w:val="hybridMultilevel"/>
    <w:tmpl w:val="6BFE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630ED"/>
    <w:multiLevelType w:val="hybridMultilevel"/>
    <w:tmpl w:val="3CB6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FF0B86"/>
    <w:multiLevelType w:val="hybridMultilevel"/>
    <w:tmpl w:val="99F4D0DA"/>
    <w:lvl w:ilvl="0" w:tplc="BBD671A0">
      <w:start w:val="1"/>
      <w:numFmt w:val="lowerLetter"/>
      <w:lvlText w:val="%1)"/>
      <w:lvlJc w:val="left"/>
      <w:pPr>
        <w:tabs>
          <w:tab w:val="num" w:pos="720"/>
        </w:tabs>
        <w:ind w:left="720" w:hanging="360"/>
      </w:pPr>
    </w:lvl>
    <w:lvl w:ilvl="1" w:tplc="727A4A52" w:tentative="1">
      <w:start w:val="1"/>
      <w:numFmt w:val="lowerLetter"/>
      <w:lvlText w:val="%2)"/>
      <w:lvlJc w:val="left"/>
      <w:pPr>
        <w:tabs>
          <w:tab w:val="num" w:pos="1440"/>
        </w:tabs>
        <w:ind w:left="1440" w:hanging="360"/>
      </w:pPr>
    </w:lvl>
    <w:lvl w:ilvl="2" w:tplc="A70ADC3C" w:tentative="1">
      <w:start w:val="1"/>
      <w:numFmt w:val="lowerLetter"/>
      <w:lvlText w:val="%3)"/>
      <w:lvlJc w:val="left"/>
      <w:pPr>
        <w:tabs>
          <w:tab w:val="num" w:pos="2160"/>
        </w:tabs>
        <w:ind w:left="2160" w:hanging="360"/>
      </w:pPr>
    </w:lvl>
    <w:lvl w:ilvl="3" w:tplc="A066E720" w:tentative="1">
      <w:start w:val="1"/>
      <w:numFmt w:val="lowerLetter"/>
      <w:lvlText w:val="%4)"/>
      <w:lvlJc w:val="left"/>
      <w:pPr>
        <w:tabs>
          <w:tab w:val="num" w:pos="2880"/>
        </w:tabs>
        <w:ind w:left="2880" w:hanging="360"/>
      </w:pPr>
    </w:lvl>
    <w:lvl w:ilvl="4" w:tplc="489E65C8" w:tentative="1">
      <w:start w:val="1"/>
      <w:numFmt w:val="lowerLetter"/>
      <w:lvlText w:val="%5)"/>
      <w:lvlJc w:val="left"/>
      <w:pPr>
        <w:tabs>
          <w:tab w:val="num" w:pos="3600"/>
        </w:tabs>
        <w:ind w:left="3600" w:hanging="360"/>
      </w:pPr>
    </w:lvl>
    <w:lvl w:ilvl="5" w:tplc="0A00DCC0" w:tentative="1">
      <w:start w:val="1"/>
      <w:numFmt w:val="lowerLetter"/>
      <w:lvlText w:val="%6)"/>
      <w:lvlJc w:val="left"/>
      <w:pPr>
        <w:tabs>
          <w:tab w:val="num" w:pos="4320"/>
        </w:tabs>
        <w:ind w:left="4320" w:hanging="360"/>
      </w:pPr>
    </w:lvl>
    <w:lvl w:ilvl="6" w:tplc="6878203A" w:tentative="1">
      <w:start w:val="1"/>
      <w:numFmt w:val="lowerLetter"/>
      <w:lvlText w:val="%7)"/>
      <w:lvlJc w:val="left"/>
      <w:pPr>
        <w:tabs>
          <w:tab w:val="num" w:pos="5040"/>
        </w:tabs>
        <w:ind w:left="5040" w:hanging="360"/>
      </w:pPr>
    </w:lvl>
    <w:lvl w:ilvl="7" w:tplc="D87E1056" w:tentative="1">
      <w:start w:val="1"/>
      <w:numFmt w:val="lowerLetter"/>
      <w:lvlText w:val="%8)"/>
      <w:lvlJc w:val="left"/>
      <w:pPr>
        <w:tabs>
          <w:tab w:val="num" w:pos="5760"/>
        </w:tabs>
        <w:ind w:left="5760" w:hanging="360"/>
      </w:pPr>
    </w:lvl>
    <w:lvl w:ilvl="8" w:tplc="3334BAAA" w:tentative="1">
      <w:start w:val="1"/>
      <w:numFmt w:val="lowerLetter"/>
      <w:lvlText w:val="%9)"/>
      <w:lvlJc w:val="left"/>
      <w:pPr>
        <w:tabs>
          <w:tab w:val="num" w:pos="6480"/>
        </w:tabs>
        <w:ind w:left="6480" w:hanging="360"/>
      </w:pPr>
    </w:lvl>
  </w:abstractNum>
  <w:abstractNum w:abstractNumId="8" w15:restartNumberingAfterBreak="0">
    <w:nsid w:val="231E7EA5"/>
    <w:multiLevelType w:val="hybridMultilevel"/>
    <w:tmpl w:val="DF345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B30EA"/>
    <w:multiLevelType w:val="hybridMultilevel"/>
    <w:tmpl w:val="8F26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1DA3"/>
    <w:multiLevelType w:val="hybridMultilevel"/>
    <w:tmpl w:val="6BD4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D36AA"/>
    <w:multiLevelType w:val="hybridMultilevel"/>
    <w:tmpl w:val="DAD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90DEC"/>
    <w:multiLevelType w:val="hybridMultilevel"/>
    <w:tmpl w:val="AD88A6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F1F94"/>
    <w:multiLevelType w:val="hybridMultilevel"/>
    <w:tmpl w:val="6F7E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B7A69"/>
    <w:multiLevelType w:val="hybridMultilevel"/>
    <w:tmpl w:val="98A6A632"/>
    <w:lvl w:ilvl="0" w:tplc="78087092">
      <w:start w:val="1"/>
      <w:numFmt w:val="bullet"/>
      <w:pStyle w:val="ocsilist"/>
      <w:lvlText w:val=""/>
      <w:lvlJc w:val="left"/>
      <w:pPr>
        <w:tabs>
          <w:tab w:val="num" w:pos="1145"/>
        </w:tabs>
        <w:ind w:left="1145" w:hanging="360"/>
      </w:pPr>
      <w:rPr>
        <w:rFonts w:ascii="Symbol" w:hAnsi="Symbol" w:hint="default"/>
      </w:rPr>
    </w:lvl>
    <w:lvl w:ilvl="1" w:tplc="04090003">
      <w:start w:val="1"/>
      <w:numFmt w:val="bullet"/>
      <w:lvlText w:val="o"/>
      <w:lvlJc w:val="left"/>
      <w:pPr>
        <w:tabs>
          <w:tab w:val="num" w:pos="1865"/>
        </w:tabs>
        <w:ind w:left="1865" w:hanging="360"/>
      </w:pPr>
      <w:rPr>
        <w:rFonts w:ascii="Courier New" w:hAnsi="Courier New" w:hint="default"/>
      </w:rPr>
    </w:lvl>
    <w:lvl w:ilvl="2" w:tplc="04090005">
      <w:start w:val="1"/>
      <w:numFmt w:val="bullet"/>
      <w:lvlText w:val=""/>
      <w:lvlJc w:val="left"/>
      <w:pPr>
        <w:tabs>
          <w:tab w:val="num" w:pos="2585"/>
        </w:tabs>
        <w:ind w:left="2585" w:hanging="360"/>
      </w:pPr>
      <w:rPr>
        <w:rFonts w:ascii="Wingdings" w:hAnsi="Wingdings" w:hint="default"/>
      </w:rPr>
    </w:lvl>
    <w:lvl w:ilvl="3" w:tplc="8B023880">
      <w:numFmt w:val="bullet"/>
      <w:lvlText w:val="-"/>
      <w:lvlJc w:val="left"/>
      <w:pPr>
        <w:tabs>
          <w:tab w:val="num" w:pos="3305"/>
        </w:tabs>
        <w:ind w:left="3305" w:hanging="360"/>
      </w:pPr>
      <w:rPr>
        <w:rFonts w:ascii="Times New Roman" w:eastAsia="Arial Unicode MS" w:hAnsi="Times New Roman"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4860B7B"/>
    <w:multiLevelType w:val="hybridMultilevel"/>
    <w:tmpl w:val="3EC6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5296D"/>
    <w:multiLevelType w:val="hybridMultilevel"/>
    <w:tmpl w:val="FF7C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02ADF"/>
    <w:multiLevelType w:val="hybridMultilevel"/>
    <w:tmpl w:val="E52435C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78B3476"/>
    <w:multiLevelType w:val="hybridMultilevel"/>
    <w:tmpl w:val="9ADC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50794"/>
    <w:multiLevelType w:val="hybridMultilevel"/>
    <w:tmpl w:val="F0B2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65FFF"/>
    <w:multiLevelType w:val="hybridMultilevel"/>
    <w:tmpl w:val="18CE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074595"/>
    <w:multiLevelType w:val="hybridMultilevel"/>
    <w:tmpl w:val="60B0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07452"/>
    <w:multiLevelType w:val="hybridMultilevel"/>
    <w:tmpl w:val="6DC2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F2EC6"/>
    <w:multiLevelType w:val="multilevel"/>
    <w:tmpl w:val="43BC0304"/>
    <w:lvl w:ilvl="0">
      <w:start w:val="1"/>
      <w:numFmt w:val="upperLetter"/>
      <w:lvlText w:val="Appendix %1"/>
      <w:lvlJc w:val="left"/>
      <w:pPr>
        <w:tabs>
          <w:tab w:val="num" w:pos="360"/>
        </w:tabs>
        <w:ind w:left="360" w:hanging="360"/>
      </w:pPr>
      <w:rPr>
        <w:rFonts w:cs="Times New Roman"/>
        <w:i w:val="0"/>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794"/>
        </w:tabs>
        <w:ind w:left="794" w:hanging="794"/>
      </w:pPr>
      <w:rPr>
        <w:rFonts w:ascii="Arial Unicode MS" w:eastAsia="PMingLiU" w:hAnsi="Arial Unicode MS" w:cs="Times New Roman" w:hint="eastAsia"/>
        <w:sz w:val="20"/>
        <w:szCs w:val="20"/>
      </w:rPr>
    </w:lvl>
    <w:lvl w:ilvl="3">
      <w:start w:val="1"/>
      <w:numFmt w:val="decimal"/>
      <w:lvlText w:val="%1.%2.%3.%4"/>
      <w:lvlJc w:val="left"/>
      <w:pPr>
        <w:tabs>
          <w:tab w:val="num" w:pos="794"/>
        </w:tabs>
        <w:ind w:left="794"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D371507"/>
    <w:multiLevelType w:val="hybridMultilevel"/>
    <w:tmpl w:val="81E2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BA3144"/>
    <w:multiLevelType w:val="hybridMultilevel"/>
    <w:tmpl w:val="7AD0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B75E5"/>
    <w:multiLevelType w:val="hybridMultilevel"/>
    <w:tmpl w:val="6CF0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14F1A"/>
    <w:multiLevelType w:val="hybridMultilevel"/>
    <w:tmpl w:val="C618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243BC"/>
    <w:multiLevelType w:val="hybridMultilevel"/>
    <w:tmpl w:val="E4B2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55CD0"/>
    <w:multiLevelType w:val="hybridMultilevel"/>
    <w:tmpl w:val="6B3E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3745D"/>
    <w:multiLevelType w:val="hybridMultilevel"/>
    <w:tmpl w:val="EC4CCFA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0"/>
  </w:num>
  <w:num w:numId="2">
    <w:abstractNumId w:val="13"/>
  </w:num>
  <w:num w:numId="3">
    <w:abstractNumId w:val="24"/>
  </w:num>
  <w:num w:numId="4">
    <w:abstractNumId w:val="15"/>
  </w:num>
  <w:num w:numId="5">
    <w:abstractNumId w:val="3"/>
  </w:num>
  <w:num w:numId="6">
    <w:abstractNumId w:val="19"/>
  </w:num>
  <w:num w:numId="7">
    <w:abstractNumId w:val="7"/>
  </w:num>
  <w:num w:numId="8">
    <w:abstractNumId w:val="21"/>
  </w:num>
  <w:num w:numId="9">
    <w:abstractNumId w:val="2"/>
  </w:num>
  <w:num w:numId="10">
    <w:abstractNumId w:val="6"/>
  </w:num>
  <w:num w:numId="11">
    <w:abstractNumId w:val="17"/>
  </w:num>
  <w:num w:numId="12">
    <w:abstractNumId w:val="5"/>
  </w:num>
  <w:num w:numId="13">
    <w:abstractNumId w:val="30"/>
  </w:num>
  <w:num w:numId="14">
    <w:abstractNumId w:val="18"/>
  </w:num>
  <w:num w:numId="15">
    <w:abstractNumId w:val="12"/>
  </w:num>
  <w:num w:numId="16">
    <w:abstractNumId w:val="14"/>
  </w:num>
  <w:num w:numId="17">
    <w:abstractNumId w:val="27"/>
  </w:num>
  <w:num w:numId="18">
    <w:abstractNumId w:val="11"/>
  </w:num>
  <w:num w:numId="19">
    <w:abstractNumId w:val="26"/>
  </w:num>
  <w:num w:numId="20">
    <w:abstractNumId w:val="1"/>
  </w:num>
  <w:num w:numId="21">
    <w:abstractNumId w:val="22"/>
  </w:num>
  <w:num w:numId="22">
    <w:abstractNumId w:val="4"/>
  </w:num>
  <w:num w:numId="23">
    <w:abstractNumId w:val="28"/>
  </w:num>
  <w:num w:numId="24">
    <w:abstractNumId w:val="8"/>
  </w:num>
  <w:num w:numId="25">
    <w:abstractNumId w:val="2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9"/>
  </w:num>
  <w:num w:numId="30">
    <w:abstractNumId w:val="25"/>
  </w:num>
  <w:num w:numId="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55"/>
    <w:rsid w:val="00000C75"/>
    <w:rsid w:val="00017BA2"/>
    <w:rsid w:val="00022C20"/>
    <w:rsid w:val="000254E9"/>
    <w:rsid w:val="000356D1"/>
    <w:rsid w:val="00036D5F"/>
    <w:rsid w:val="00037848"/>
    <w:rsid w:val="00042EEE"/>
    <w:rsid w:val="0005285B"/>
    <w:rsid w:val="00055703"/>
    <w:rsid w:val="000611E9"/>
    <w:rsid w:val="000665BE"/>
    <w:rsid w:val="00067C2B"/>
    <w:rsid w:val="000774E6"/>
    <w:rsid w:val="00091833"/>
    <w:rsid w:val="00094B04"/>
    <w:rsid w:val="000A4621"/>
    <w:rsid w:val="000A79D8"/>
    <w:rsid w:val="000B4412"/>
    <w:rsid w:val="000B7ED6"/>
    <w:rsid w:val="000C17E1"/>
    <w:rsid w:val="000C4327"/>
    <w:rsid w:val="000D0DE0"/>
    <w:rsid w:val="000D6056"/>
    <w:rsid w:val="000E00AE"/>
    <w:rsid w:val="000E50BA"/>
    <w:rsid w:val="000F5E49"/>
    <w:rsid w:val="00112873"/>
    <w:rsid w:val="001325E8"/>
    <w:rsid w:val="001362A2"/>
    <w:rsid w:val="00144781"/>
    <w:rsid w:val="001576EA"/>
    <w:rsid w:val="0017077C"/>
    <w:rsid w:val="001754EF"/>
    <w:rsid w:val="001817A1"/>
    <w:rsid w:val="0019397E"/>
    <w:rsid w:val="001979CC"/>
    <w:rsid w:val="001A0266"/>
    <w:rsid w:val="001B0896"/>
    <w:rsid w:val="001B1471"/>
    <w:rsid w:val="001B220C"/>
    <w:rsid w:val="001C0BF9"/>
    <w:rsid w:val="001D43A7"/>
    <w:rsid w:val="001D6527"/>
    <w:rsid w:val="001E15CC"/>
    <w:rsid w:val="001E51B1"/>
    <w:rsid w:val="001E6ECD"/>
    <w:rsid w:val="001E6F21"/>
    <w:rsid w:val="001F0416"/>
    <w:rsid w:val="001F5DE6"/>
    <w:rsid w:val="002009BB"/>
    <w:rsid w:val="00216A92"/>
    <w:rsid w:val="00216BE9"/>
    <w:rsid w:val="00224FC9"/>
    <w:rsid w:val="00236CF2"/>
    <w:rsid w:val="002460F5"/>
    <w:rsid w:val="00254F6D"/>
    <w:rsid w:val="002623A6"/>
    <w:rsid w:val="002651E4"/>
    <w:rsid w:val="00273E8D"/>
    <w:rsid w:val="002833E3"/>
    <w:rsid w:val="002958C3"/>
    <w:rsid w:val="002A5C3F"/>
    <w:rsid w:val="002B1C40"/>
    <w:rsid w:val="002B5F3B"/>
    <w:rsid w:val="002E0640"/>
    <w:rsid w:val="00327020"/>
    <w:rsid w:val="003573C8"/>
    <w:rsid w:val="0036211E"/>
    <w:rsid w:val="003979AF"/>
    <w:rsid w:val="003A5B0A"/>
    <w:rsid w:val="003B48C9"/>
    <w:rsid w:val="003C07F2"/>
    <w:rsid w:val="003C6BDC"/>
    <w:rsid w:val="003D1E08"/>
    <w:rsid w:val="003D3762"/>
    <w:rsid w:val="003D71C6"/>
    <w:rsid w:val="003E13B2"/>
    <w:rsid w:val="003E4448"/>
    <w:rsid w:val="003F7231"/>
    <w:rsid w:val="0040195E"/>
    <w:rsid w:val="00401F1C"/>
    <w:rsid w:val="00403CBA"/>
    <w:rsid w:val="00420822"/>
    <w:rsid w:val="004301A5"/>
    <w:rsid w:val="0045150F"/>
    <w:rsid w:val="00455AA9"/>
    <w:rsid w:val="004567F6"/>
    <w:rsid w:val="0045788D"/>
    <w:rsid w:val="004634DA"/>
    <w:rsid w:val="00465B9F"/>
    <w:rsid w:val="00475B8D"/>
    <w:rsid w:val="00477056"/>
    <w:rsid w:val="004801B0"/>
    <w:rsid w:val="00483749"/>
    <w:rsid w:val="00484792"/>
    <w:rsid w:val="00491839"/>
    <w:rsid w:val="00497D58"/>
    <w:rsid w:val="004A133B"/>
    <w:rsid w:val="004A48EB"/>
    <w:rsid w:val="004A662E"/>
    <w:rsid w:val="004A6A7A"/>
    <w:rsid w:val="004B0D67"/>
    <w:rsid w:val="004D353A"/>
    <w:rsid w:val="004E75E3"/>
    <w:rsid w:val="005072BC"/>
    <w:rsid w:val="005126E3"/>
    <w:rsid w:val="005143FE"/>
    <w:rsid w:val="0051613C"/>
    <w:rsid w:val="005165B5"/>
    <w:rsid w:val="00523E6D"/>
    <w:rsid w:val="005325E8"/>
    <w:rsid w:val="00532E83"/>
    <w:rsid w:val="00536EF2"/>
    <w:rsid w:val="00544B71"/>
    <w:rsid w:val="005462B3"/>
    <w:rsid w:val="00557529"/>
    <w:rsid w:val="005757E2"/>
    <w:rsid w:val="00577F60"/>
    <w:rsid w:val="005952C3"/>
    <w:rsid w:val="005B4DBB"/>
    <w:rsid w:val="005D6ADE"/>
    <w:rsid w:val="005E276D"/>
    <w:rsid w:val="005E4B4D"/>
    <w:rsid w:val="005F070B"/>
    <w:rsid w:val="005F31AD"/>
    <w:rsid w:val="006019D9"/>
    <w:rsid w:val="00601FBE"/>
    <w:rsid w:val="00602741"/>
    <w:rsid w:val="00606264"/>
    <w:rsid w:val="006079BC"/>
    <w:rsid w:val="006103E3"/>
    <w:rsid w:val="006114FF"/>
    <w:rsid w:val="00611F1E"/>
    <w:rsid w:val="00620B03"/>
    <w:rsid w:val="0063306A"/>
    <w:rsid w:val="00660B3E"/>
    <w:rsid w:val="00665D6C"/>
    <w:rsid w:val="00672EC1"/>
    <w:rsid w:val="0068588E"/>
    <w:rsid w:val="00686F5C"/>
    <w:rsid w:val="0068796A"/>
    <w:rsid w:val="006A0B42"/>
    <w:rsid w:val="006A3453"/>
    <w:rsid w:val="006E566D"/>
    <w:rsid w:val="00700193"/>
    <w:rsid w:val="00720FC6"/>
    <w:rsid w:val="00723348"/>
    <w:rsid w:val="00723C0B"/>
    <w:rsid w:val="0072734D"/>
    <w:rsid w:val="0073287D"/>
    <w:rsid w:val="007603CE"/>
    <w:rsid w:val="0076109A"/>
    <w:rsid w:val="007747C7"/>
    <w:rsid w:val="0078640A"/>
    <w:rsid w:val="00787999"/>
    <w:rsid w:val="007A0D61"/>
    <w:rsid w:val="007B70B0"/>
    <w:rsid w:val="007C0550"/>
    <w:rsid w:val="007D2BD2"/>
    <w:rsid w:val="007D4D78"/>
    <w:rsid w:val="007E4ECB"/>
    <w:rsid w:val="007F6C1B"/>
    <w:rsid w:val="008112AD"/>
    <w:rsid w:val="00814441"/>
    <w:rsid w:val="00815610"/>
    <w:rsid w:val="0083005F"/>
    <w:rsid w:val="008327F1"/>
    <w:rsid w:val="00834678"/>
    <w:rsid w:val="00855671"/>
    <w:rsid w:val="008609C7"/>
    <w:rsid w:val="00860A83"/>
    <w:rsid w:val="00860FEA"/>
    <w:rsid w:val="00865A50"/>
    <w:rsid w:val="00866CDA"/>
    <w:rsid w:val="008703F5"/>
    <w:rsid w:val="00874B7C"/>
    <w:rsid w:val="008820F3"/>
    <w:rsid w:val="008857F6"/>
    <w:rsid w:val="00886853"/>
    <w:rsid w:val="008873C1"/>
    <w:rsid w:val="00892278"/>
    <w:rsid w:val="008922CF"/>
    <w:rsid w:val="00897211"/>
    <w:rsid w:val="008B5745"/>
    <w:rsid w:val="008E25DB"/>
    <w:rsid w:val="00904162"/>
    <w:rsid w:val="00907BAE"/>
    <w:rsid w:val="00913820"/>
    <w:rsid w:val="00923D62"/>
    <w:rsid w:val="0092405F"/>
    <w:rsid w:val="00943607"/>
    <w:rsid w:val="0094451C"/>
    <w:rsid w:val="009509F9"/>
    <w:rsid w:val="009545D6"/>
    <w:rsid w:val="00954D02"/>
    <w:rsid w:val="009604A7"/>
    <w:rsid w:val="00973FD9"/>
    <w:rsid w:val="00977531"/>
    <w:rsid w:val="00985C41"/>
    <w:rsid w:val="00987EA8"/>
    <w:rsid w:val="00990FB4"/>
    <w:rsid w:val="009A52E1"/>
    <w:rsid w:val="009B6AEB"/>
    <w:rsid w:val="009C14BB"/>
    <w:rsid w:val="009D1589"/>
    <w:rsid w:val="009D69E3"/>
    <w:rsid w:val="009E3D36"/>
    <w:rsid w:val="00A237F8"/>
    <w:rsid w:val="00A26606"/>
    <w:rsid w:val="00A34A55"/>
    <w:rsid w:val="00A35F64"/>
    <w:rsid w:val="00A37D40"/>
    <w:rsid w:val="00A57089"/>
    <w:rsid w:val="00A60B48"/>
    <w:rsid w:val="00A65871"/>
    <w:rsid w:val="00A75A5A"/>
    <w:rsid w:val="00A811E4"/>
    <w:rsid w:val="00A82837"/>
    <w:rsid w:val="00A85C50"/>
    <w:rsid w:val="00A96186"/>
    <w:rsid w:val="00AA0137"/>
    <w:rsid w:val="00AA0A71"/>
    <w:rsid w:val="00AA354C"/>
    <w:rsid w:val="00AB1DDF"/>
    <w:rsid w:val="00AB41AF"/>
    <w:rsid w:val="00AC056F"/>
    <w:rsid w:val="00AC0E77"/>
    <w:rsid w:val="00AE7855"/>
    <w:rsid w:val="00AF74FE"/>
    <w:rsid w:val="00B30480"/>
    <w:rsid w:val="00B34A08"/>
    <w:rsid w:val="00B44B9B"/>
    <w:rsid w:val="00B450C3"/>
    <w:rsid w:val="00B51E4F"/>
    <w:rsid w:val="00B52912"/>
    <w:rsid w:val="00B545E8"/>
    <w:rsid w:val="00B56198"/>
    <w:rsid w:val="00B65FDE"/>
    <w:rsid w:val="00B6614D"/>
    <w:rsid w:val="00B672A3"/>
    <w:rsid w:val="00B7166C"/>
    <w:rsid w:val="00B73958"/>
    <w:rsid w:val="00B84A93"/>
    <w:rsid w:val="00B8788F"/>
    <w:rsid w:val="00BA393D"/>
    <w:rsid w:val="00BA5060"/>
    <w:rsid w:val="00BB4C43"/>
    <w:rsid w:val="00BC621E"/>
    <w:rsid w:val="00BC6B0C"/>
    <w:rsid w:val="00BD07F2"/>
    <w:rsid w:val="00BE3DEF"/>
    <w:rsid w:val="00BE5117"/>
    <w:rsid w:val="00BF0792"/>
    <w:rsid w:val="00BF383E"/>
    <w:rsid w:val="00C12258"/>
    <w:rsid w:val="00C16722"/>
    <w:rsid w:val="00C16CC9"/>
    <w:rsid w:val="00C53CE3"/>
    <w:rsid w:val="00C54D1B"/>
    <w:rsid w:val="00C56961"/>
    <w:rsid w:val="00C60254"/>
    <w:rsid w:val="00C72A07"/>
    <w:rsid w:val="00C740B1"/>
    <w:rsid w:val="00C778F2"/>
    <w:rsid w:val="00C84BAB"/>
    <w:rsid w:val="00C86E2C"/>
    <w:rsid w:val="00C90E42"/>
    <w:rsid w:val="00C90ED1"/>
    <w:rsid w:val="00C95B20"/>
    <w:rsid w:val="00CA3696"/>
    <w:rsid w:val="00CA41EA"/>
    <w:rsid w:val="00CA6D4D"/>
    <w:rsid w:val="00CE1D15"/>
    <w:rsid w:val="00CE488C"/>
    <w:rsid w:val="00CE7389"/>
    <w:rsid w:val="00CF16A3"/>
    <w:rsid w:val="00CF1BB0"/>
    <w:rsid w:val="00CF7ED4"/>
    <w:rsid w:val="00CF7FD8"/>
    <w:rsid w:val="00D0157E"/>
    <w:rsid w:val="00D21D75"/>
    <w:rsid w:val="00D245AF"/>
    <w:rsid w:val="00D25FB0"/>
    <w:rsid w:val="00D64872"/>
    <w:rsid w:val="00D7173F"/>
    <w:rsid w:val="00D71C2A"/>
    <w:rsid w:val="00D7653E"/>
    <w:rsid w:val="00D941BA"/>
    <w:rsid w:val="00D97DD2"/>
    <w:rsid w:val="00DA2FE9"/>
    <w:rsid w:val="00DC4C97"/>
    <w:rsid w:val="00DD4438"/>
    <w:rsid w:val="00DD7120"/>
    <w:rsid w:val="00DE571F"/>
    <w:rsid w:val="00DF7AA2"/>
    <w:rsid w:val="00E042EB"/>
    <w:rsid w:val="00E04B76"/>
    <w:rsid w:val="00E06F93"/>
    <w:rsid w:val="00E16578"/>
    <w:rsid w:val="00E25EB0"/>
    <w:rsid w:val="00E272FE"/>
    <w:rsid w:val="00E4602E"/>
    <w:rsid w:val="00E460C9"/>
    <w:rsid w:val="00E53E10"/>
    <w:rsid w:val="00E57683"/>
    <w:rsid w:val="00E8658A"/>
    <w:rsid w:val="00E96673"/>
    <w:rsid w:val="00EB7210"/>
    <w:rsid w:val="00EB7C4A"/>
    <w:rsid w:val="00EC1B49"/>
    <w:rsid w:val="00EC24EA"/>
    <w:rsid w:val="00EC5113"/>
    <w:rsid w:val="00ED5C2C"/>
    <w:rsid w:val="00EE0D2A"/>
    <w:rsid w:val="00EE4FCB"/>
    <w:rsid w:val="00EF7027"/>
    <w:rsid w:val="00F00854"/>
    <w:rsid w:val="00F03749"/>
    <w:rsid w:val="00F05E9C"/>
    <w:rsid w:val="00F06D1D"/>
    <w:rsid w:val="00F0762A"/>
    <w:rsid w:val="00F226F6"/>
    <w:rsid w:val="00F3782C"/>
    <w:rsid w:val="00F43051"/>
    <w:rsid w:val="00F55D31"/>
    <w:rsid w:val="00F567DD"/>
    <w:rsid w:val="00F62363"/>
    <w:rsid w:val="00F6508A"/>
    <w:rsid w:val="00F73CB3"/>
    <w:rsid w:val="00F74BC6"/>
    <w:rsid w:val="00F85821"/>
    <w:rsid w:val="00FA600A"/>
    <w:rsid w:val="00FA772C"/>
    <w:rsid w:val="00FB15FC"/>
    <w:rsid w:val="00FB224B"/>
    <w:rsid w:val="00FE5D3A"/>
    <w:rsid w:val="00FF4893"/>
    <w:rsid w:val="00FF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12E2"/>
  <w15:chartTrackingRefBased/>
  <w15:docId w15:val="{03A58931-9AF9-4C76-AEE5-15AA7734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55"/>
    <w:pPr>
      <w:spacing w:after="0" w:line="240" w:lineRule="auto"/>
    </w:pPr>
    <w:rPr>
      <w:rFonts w:ascii="Century Gothic" w:hAnsi="Century Gothic"/>
      <w:sz w:val="20"/>
    </w:rPr>
  </w:style>
  <w:style w:type="paragraph" w:styleId="Heading1">
    <w:name w:val="heading 1"/>
    <w:aliases w:val="Oscar Faber 1,Section Heading,Section,Section 1,Oscar Faber 1 Char,Section Heading Char,Section Char,Section 1 Char,Tomhead 1,Outline1,a,Title Name Char Char Char Char,Title Name Char Char Char Char Char,1 ghost,g,Chapter Hdg"/>
    <w:basedOn w:val="Normal"/>
    <w:next w:val="Normal"/>
    <w:link w:val="Heading1Char"/>
    <w:uiPriority w:val="9"/>
    <w:qFormat/>
    <w:rsid w:val="00AE785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AE785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Heading4"/>
    <w:next w:val="Normal"/>
    <w:link w:val="Heading3Char"/>
    <w:uiPriority w:val="9"/>
    <w:unhideWhenUsed/>
    <w:qFormat/>
    <w:rsid w:val="00AE7855"/>
    <w:pPr>
      <w:outlineLvl w:val="2"/>
    </w:pPr>
    <w:rPr>
      <w:szCs w:val="18"/>
    </w:rPr>
  </w:style>
  <w:style w:type="paragraph" w:styleId="Heading4">
    <w:name w:val="heading 4"/>
    <w:basedOn w:val="Normal"/>
    <w:next w:val="Normal"/>
    <w:link w:val="Heading4Char"/>
    <w:uiPriority w:val="9"/>
    <w:unhideWhenUsed/>
    <w:qFormat/>
    <w:rsid w:val="00AE7855"/>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E785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semiHidden/>
    <w:unhideWhenUsed/>
    <w:qFormat/>
    <w:rsid w:val="00AE7855"/>
    <w:pPr>
      <w:keepNext/>
      <w:keepLines/>
      <w:spacing w:before="40"/>
      <w:outlineLvl w:val="7"/>
    </w:pPr>
    <w:rPr>
      <w:rFonts w:asciiTheme="minorHAnsi" w:hAnsiTheme="minorHAns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scar Faber 1 Char1,Section Heading Char1,Section Char1,Section 1 Char1,Oscar Faber 1 Char Char,Section Heading Char Char,Section Char Char,Section 1 Char Char,Tomhead 1 Char,Outline1 Char,a Char,Title Name Char Char Char Char Char1"/>
    <w:basedOn w:val="DefaultParagraphFont"/>
    <w:link w:val="Heading1"/>
    <w:uiPriority w:val="9"/>
    <w:rsid w:val="00AE7855"/>
    <w:rPr>
      <w:rFonts w:ascii="Century Gothic" w:eastAsiaTheme="majorEastAsia" w:hAnsi="Century Gothic" w:cstheme="majorBidi"/>
      <w:color w:val="2F5496" w:themeColor="accent1" w:themeShade="BF"/>
      <w:sz w:val="32"/>
      <w:szCs w:val="32"/>
    </w:rPr>
  </w:style>
  <w:style w:type="character" w:customStyle="1" w:styleId="Heading2Char">
    <w:name w:val="Heading 2 Char"/>
    <w:basedOn w:val="DefaultParagraphFont"/>
    <w:link w:val="Heading2"/>
    <w:rsid w:val="00AE7855"/>
    <w:rPr>
      <w:rFonts w:ascii="Century Gothic" w:eastAsiaTheme="majorEastAsia" w:hAnsi="Century Gothic" w:cstheme="majorBidi"/>
      <w:color w:val="2F5496" w:themeColor="accent1" w:themeShade="BF"/>
      <w:sz w:val="26"/>
      <w:szCs w:val="26"/>
    </w:rPr>
  </w:style>
  <w:style w:type="character" w:customStyle="1" w:styleId="Heading3Char">
    <w:name w:val="Heading 3 Char"/>
    <w:basedOn w:val="DefaultParagraphFont"/>
    <w:link w:val="Heading3"/>
    <w:uiPriority w:val="9"/>
    <w:rsid w:val="00AE7855"/>
    <w:rPr>
      <w:rFonts w:ascii="Century Gothic" w:eastAsiaTheme="majorEastAsia" w:hAnsi="Century Gothic" w:cstheme="majorBidi"/>
      <w:i/>
      <w:iCs/>
      <w:color w:val="2F5496" w:themeColor="accent1" w:themeShade="BF"/>
      <w:sz w:val="20"/>
      <w:szCs w:val="18"/>
    </w:rPr>
  </w:style>
  <w:style w:type="character" w:customStyle="1" w:styleId="Heading4Char">
    <w:name w:val="Heading 4 Char"/>
    <w:basedOn w:val="DefaultParagraphFont"/>
    <w:link w:val="Heading4"/>
    <w:uiPriority w:val="9"/>
    <w:rsid w:val="00AE7855"/>
    <w:rPr>
      <w:rFonts w:ascii="Century Gothic" w:eastAsiaTheme="majorEastAsia" w:hAnsi="Century Gothic" w:cstheme="majorBidi"/>
      <w:i/>
      <w:iCs/>
      <w:color w:val="2F5496" w:themeColor="accent1" w:themeShade="BF"/>
      <w:sz w:val="20"/>
    </w:rPr>
  </w:style>
  <w:style w:type="character" w:customStyle="1" w:styleId="Heading5Char">
    <w:name w:val="Heading 5 Char"/>
    <w:basedOn w:val="DefaultParagraphFont"/>
    <w:link w:val="Heading5"/>
    <w:uiPriority w:val="9"/>
    <w:rsid w:val="00AE7855"/>
    <w:rPr>
      <w:rFonts w:asciiTheme="majorHAnsi" w:eastAsiaTheme="majorEastAsia" w:hAnsiTheme="majorHAnsi" w:cstheme="majorBidi"/>
      <w:color w:val="2F5496" w:themeColor="accent1" w:themeShade="BF"/>
      <w:sz w:val="20"/>
    </w:rPr>
  </w:style>
  <w:style w:type="character" w:customStyle="1" w:styleId="Heading8Char">
    <w:name w:val="Heading 8 Char"/>
    <w:basedOn w:val="DefaultParagraphFont"/>
    <w:link w:val="Heading8"/>
    <w:semiHidden/>
    <w:rsid w:val="00AE7855"/>
    <w:rPr>
      <w:i/>
      <w:iCs/>
      <w:sz w:val="24"/>
      <w:szCs w:val="24"/>
    </w:rPr>
  </w:style>
  <w:style w:type="paragraph" w:styleId="Title">
    <w:name w:val="Title"/>
    <w:basedOn w:val="Normal"/>
    <w:next w:val="Normal"/>
    <w:link w:val="TitleChar"/>
    <w:uiPriority w:val="10"/>
    <w:qFormat/>
    <w:rsid w:val="00AE78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85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E7855"/>
    <w:pPr>
      <w:ind w:left="720"/>
      <w:contextualSpacing/>
    </w:pPr>
  </w:style>
  <w:style w:type="table" w:styleId="TableGrid">
    <w:name w:val="Table Grid"/>
    <w:basedOn w:val="TableNormal"/>
    <w:uiPriority w:val="39"/>
    <w:rsid w:val="00AE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7855"/>
    <w:rPr>
      <w:sz w:val="16"/>
      <w:szCs w:val="16"/>
    </w:rPr>
  </w:style>
  <w:style w:type="paragraph" w:styleId="CommentText">
    <w:name w:val="annotation text"/>
    <w:basedOn w:val="Normal"/>
    <w:link w:val="CommentTextChar"/>
    <w:uiPriority w:val="99"/>
    <w:semiHidden/>
    <w:unhideWhenUsed/>
    <w:rsid w:val="00AE7855"/>
    <w:rPr>
      <w:szCs w:val="20"/>
    </w:rPr>
  </w:style>
  <w:style w:type="character" w:customStyle="1" w:styleId="CommentTextChar">
    <w:name w:val="Comment Text Char"/>
    <w:basedOn w:val="DefaultParagraphFont"/>
    <w:link w:val="CommentText"/>
    <w:uiPriority w:val="99"/>
    <w:semiHidden/>
    <w:rsid w:val="00AE7855"/>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AE7855"/>
    <w:rPr>
      <w:b/>
      <w:bCs/>
    </w:rPr>
  </w:style>
  <w:style w:type="character" w:customStyle="1" w:styleId="CommentSubjectChar">
    <w:name w:val="Comment Subject Char"/>
    <w:basedOn w:val="CommentTextChar"/>
    <w:link w:val="CommentSubject"/>
    <w:uiPriority w:val="99"/>
    <w:semiHidden/>
    <w:rsid w:val="00AE7855"/>
    <w:rPr>
      <w:rFonts w:ascii="Century Gothic" w:hAnsi="Century Gothic"/>
      <w:b/>
      <w:bCs/>
      <w:sz w:val="20"/>
      <w:szCs w:val="20"/>
    </w:rPr>
  </w:style>
  <w:style w:type="paragraph" w:styleId="BalloonText">
    <w:name w:val="Balloon Text"/>
    <w:basedOn w:val="Normal"/>
    <w:link w:val="BalloonTextChar"/>
    <w:uiPriority w:val="99"/>
    <w:semiHidden/>
    <w:unhideWhenUsed/>
    <w:rsid w:val="00AE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855"/>
    <w:rPr>
      <w:rFonts w:ascii="Segoe UI" w:hAnsi="Segoe UI" w:cs="Segoe UI"/>
      <w:sz w:val="18"/>
      <w:szCs w:val="18"/>
    </w:rPr>
  </w:style>
  <w:style w:type="paragraph" w:styleId="FootnoteText">
    <w:name w:val="footnote text"/>
    <w:aliases w:val="Footnote Text Char Char Char Char,Footnote Text Char Char Char Char Char Char Char,Footnote Text Char Char,Footnote Text Char Char Char Char Char Char,Footnote Text Char Char Char Char Char Char Char Char Char Char Char,ft"/>
    <w:basedOn w:val="Normal"/>
    <w:link w:val="FootnoteTextChar"/>
    <w:uiPriority w:val="99"/>
    <w:unhideWhenUsed/>
    <w:qFormat/>
    <w:rsid w:val="00AE7855"/>
    <w:rPr>
      <w:szCs w:val="20"/>
    </w:rPr>
  </w:style>
  <w:style w:type="character" w:customStyle="1" w:styleId="FootnoteTextChar">
    <w:name w:val="Footnote Text Char"/>
    <w:aliases w:val="Footnote Text Char Char Char Char Char,Footnote Text Char Char Char Char Char Char Char Char,Footnote Text Char Char Char,Footnote Text Char Char Char Char Char Char Char1,ft Char"/>
    <w:basedOn w:val="DefaultParagraphFont"/>
    <w:link w:val="FootnoteText"/>
    <w:uiPriority w:val="99"/>
    <w:rsid w:val="00AE7855"/>
    <w:rPr>
      <w:rFonts w:ascii="Century Gothic" w:hAnsi="Century Gothic"/>
      <w:sz w:val="20"/>
      <w:szCs w:val="20"/>
    </w:rPr>
  </w:style>
  <w:style w:type="character" w:styleId="FootnoteReference">
    <w:name w:val="footnote reference"/>
    <w:basedOn w:val="DefaultParagraphFont"/>
    <w:uiPriority w:val="99"/>
    <w:unhideWhenUsed/>
    <w:rsid w:val="00AE7855"/>
    <w:rPr>
      <w:vertAlign w:val="superscript"/>
    </w:rPr>
  </w:style>
  <w:style w:type="character" w:styleId="IntenseEmphasis">
    <w:name w:val="Intense Emphasis"/>
    <w:basedOn w:val="DefaultParagraphFont"/>
    <w:uiPriority w:val="21"/>
    <w:qFormat/>
    <w:rsid w:val="00AE7855"/>
    <w:rPr>
      <w:i/>
      <w:iCs/>
      <w:color w:val="4472C4" w:themeColor="accent1"/>
    </w:rPr>
  </w:style>
  <w:style w:type="table" w:styleId="GridTable4-Accent1">
    <w:name w:val="Grid Table 4 Accent 1"/>
    <w:basedOn w:val="TableNormal"/>
    <w:uiPriority w:val="49"/>
    <w:rsid w:val="00AE785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AE7855"/>
    <w:pPr>
      <w:tabs>
        <w:tab w:val="center" w:pos="4513"/>
        <w:tab w:val="right" w:pos="9026"/>
      </w:tabs>
    </w:pPr>
  </w:style>
  <w:style w:type="character" w:customStyle="1" w:styleId="HeaderChar">
    <w:name w:val="Header Char"/>
    <w:basedOn w:val="DefaultParagraphFont"/>
    <w:link w:val="Header"/>
    <w:uiPriority w:val="99"/>
    <w:rsid w:val="00AE7855"/>
    <w:rPr>
      <w:rFonts w:ascii="Century Gothic" w:hAnsi="Century Gothic"/>
      <w:sz w:val="20"/>
    </w:rPr>
  </w:style>
  <w:style w:type="paragraph" w:styleId="Footer">
    <w:name w:val="footer"/>
    <w:basedOn w:val="Normal"/>
    <w:link w:val="FooterChar"/>
    <w:uiPriority w:val="99"/>
    <w:unhideWhenUsed/>
    <w:rsid w:val="00AE7855"/>
    <w:pPr>
      <w:tabs>
        <w:tab w:val="center" w:pos="4513"/>
        <w:tab w:val="right" w:pos="9026"/>
      </w:tabs>
    </w:pPr>
  </w:style>
  <w:style w:type="character" w:customStyle="1" w:styleId="FooterChar">
    <w:name w:val="Footer Char"/>
    <w:basedOn w:val="DefaultParagraphFont"/>
    <w:link w:val="Footer"/>
    <w:uiPriority w:val="99"/>
    <w:rsid w:val="00AE7855"/>
    <w:rPr>
      <w:rFonts w:ascii="Century Gothic" w:hAnsi="Century Gothic"/>
      <w:sz w:val="20"/>
    </w:rPr>
  </w:style>
  <w:style w:type="paragraph" w:styleId="TOCHeading">
    <w:name w:val="TOC Heading"/>
    <w:basedOn w:val="Heading1"/>
    <w:next w:val="Normal"/>
    <w:uiPriority w:val="39"/>
    <w:unhideWhenUsed/>
    <w:qFormat/>
    <w:rsid w:val="00AE7855"/>
    <w:pPr>
      <w:outlineLvl w:val="9"/>
    </w:pPr>
    <w:rPr>
      <w:lang w:val="en-US"/>
    </w:rPr>
  </w:style>
  <w:style w:type="paragraph" w:styleId="TOC1">
    <w:name w:val="toc 1"/>
    <w:basedOn w:val="Normal"/>
    <w:next w:val="Normal"/>
    <w:autoRedefine/>
    <w:uiPriority w:val="39"/>
    <w:unhideWhenUsed/>
    <w:rsid w:val="00AE7855"/>
    <w:pPr>
      <w:spacing w:after="100"/>
    </w:pPr>
  </w:style>
  <w:style w:type="paragraph" w:styleId="TOC2">
    <w:name w:val="toc 2"/>
    <w:basedOn w:val="Normal"/>
    <w:next w:val="Normal"/>
    <w:autoRedefine/>
    <w:uiPriority w:val="39"/>
    <w:unhideWhenUsed/>
    <w:rsid w:val="00AE7855"/>
    <w:pPr>
      <w:spacing w:after="100"/>
      <w:ind w:left="220"/>
    </w:pPr>
  </w:style>
  <w:style w:type="character" w:styleId="Hyperlink">
    <w:name w:val="Hyperlink"/>
    <w:basedOn w:val="DefaultParagraphFont"/>
    <w:uiPriority w:val="99"/>
    <w:unhideWhenUsed/>
    <w:rsid w:val="00AE7855"/>
    <w:rPr>
      <w:color w:val="0563C1" w:themeColor="hyperlink"/>
      <w:u w:val="single"/>
    </w:rPr>
  </w:style>
  <w:style w:type="character" w:customStyle="1" w:styleId="ocsiCharChar">
    <w:name w:val="ocsi Char Char"/>
    <w:basedOn w:val="DefaultParagraphFont"/>
    <w:link w:val="ocsiChar"/>
    <w:rsid w:val="00AE7855"/>
    <w:rPr>
      <w:rFonts w:ascii="Frutiger 45 Light" w:eastAsia="PMingLiU" w:hAnsi="Frutiger 45 Light"/>
      <w:sz w:val="24"/>
      <w:lang w:eastAsia="zh-TW"/>
    </w:rPr>
  </w:style>
  <w:style w:type="paragraph" w:customStyle="1" w:styleId="ocsiChar">
    <w:name w:val="ocsi Char"/>
    <w:link w:val="ocsiCharChar"/>
    <w:rsid w:val="00AE7855"/>
    <w:pPr>
      <w:spacing w:after="240" w:line="240" w:lineRule="auto"/>
    </w:pPr>
    <w:rPr>
      <w:rFonts w:ascii="Frutiger 45 Light" w:eastAsia="PMingLiU" w:hAnsi="Frutiger 45 Light"/>
      <w:sz w:val="24"/>
      <w:lang w:eastAsia="zh-TW"/>
    </w:rPr>
  </w:style>
  <w:style w:type="paragraph" w:styleId="NoSpacing">
    <w:name w:val="No Spacing"/>
    <w:uiPriority w:val="1"/>
    <w:qFormat/>
    <w:rsid w:val="00AE7855"/>
    <w:pPr>
      <w:spacing w:after="0" w:line="240" w:lineRule="auto"/>
    </w:pPr>
  </w:style>
  <w:style w:type="character" w:customStyle="1" w:styleId="UnresolvedMention1">
    <w:name w:val="Unresolved Mention1"/>
    <w:basedOn w:val="DefaultParagraphFont"/>
    <w:uiPriority w:val="99"/>
    <w:semiHidden/>
    <w:unhideWhenUsed/>
    <w:rsid w:val="00AE7855"/>
    <w:rPr>
      <w:color w:val="605E5C"/>
      <w:shd w:val="clear" w:color="auto" w:fill="E1DFDD"/>
    </w:rPr>
  </w:style>
  <w:style w:type="table" w:customStyle="1" w:styleId="GridTable4-Accent51">
    <w:name w:val="Grid Table 4 - Accent 51"/>
    <w:basedOn w:val="TableNormal"/>
    <w:uiPriority w:val="49"/>
    <w:rsid w:val="00AE785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ocsinumberedappdxparagraph">
    <w:name w:val="ocsi_numbered_appdx_paragraph"/>
    <w:basedOn w:val="Normal"/>
    <w:link w:val="ocsinumberedappdxparagraphChar"/>
    <w:rsid w:val="00AE7855"/>
    <w:pPr>
      <w:tabs>
        <w:tab w:val="left" w:pos="794"/>
        <w:tab w:val="num" w:pos="2160"/>
      </w:tabs>
      <w:spacing w:before="120" w:after="120"/>
      <w:ind w:left="2160" w:hanging="360"/>
    </w:pPr>
    <w:rPr>
      <w:rFonts w:ascii="Gill Sans MT" w:eastAsia="PMingLiU" w:hAnsi="Gill Sans MT" w:cs="Times New Roman"/>
      <w:sz w:val="24"/>
      <w:szCs w:val="24"/>
      <w:lang w:eastAsia="zh-TW"/>
    </w:rPr>
  </w:style>
  <w:style w:type="character" w:customStyle="1" w:styleId="ocsinumberedappdxparagraphChar">
    <w:name w:val="ocsi_numbered_appdx_paragraph Char"/>
    <w:link w:val="ocsinumberedappdxparagraph"/>
    <w:rsid w:val="00AE7855"/>
    <w:rPr>
      <w:rFonts w:ascii="Gill Sans MT" w:eastAsia="PMingLiU" w:hAnsi="Gill Sans MT" w:cs="Times New Roman"/>
      <w:sz w:val="24"/>
      <w:szCs w:val="24"/>
      <w:lang w:eastAsia="zh-TW"/>
    </w:rPr>
  </w:style>
  <w:style w:type="character" w:customStyle="1" w:styleId="Heading8Char1">
    <w:name w:val="Heading 8 Char1"/>
    <w:basedOn w:val="DefaultParagraphFont"/>
    <w:uiPriority w:val="9"/>
    <w:semiHidden/>
    <w:rsid w:val="00AE7855"/>
    <w:rPr>
      <w:rFonts w:asciiTheme="majorHAnsi" w:eastAsiaTheme="majorEastAsia" w:hAnsiTheme="majorHAnsi" w:cstheme="majorBidi"/>
      <w:color w:val="272727" w:themeColor="text1" w:themeTint="D8"/>
      <w:sz w:val="21"/>
      <w:szCs w:val="21"/>
    </w:rPr>
  </w:style>
  <w:style w:type="paragraph" w:customStyle="1" w:styleId="Appendix4">
    <w:name w:val="Appendix 4"/>
    <w:basedOn w:val="Heading4"/>
    <w:next w:val="Normal"/>
    <w:link w:val="Appendix4Char"/>
    <w:rsid w:val="00AE7855"/>
    <w:pPr>
      <w:keepLines w:val="0"/>
      <w:tabs>
        <w:tab w:val="num" w:pos="360"/>
        <w:tab w:val="left" w:pos="1985"/>
      </w:tabs>
      <w:spacing w:before="240" w:after="60"/>
      <w:ind w:left="794"/>
    </w:pPr>
    <w:rPr>
      <w:rFonts w:ascii="Gill Sans MT" w:eastAsia="Times New Roman" w:hAnsi="Gill Sans MT" w:cs="Arial"/>
      <w:color w:val="auto"/>
      <w:kern w:val="32"/>
      <w:sz w:val="24"/>
      <w:szCs w:val="28"/>
      <w:lang w:eastAsia="zh-TW"/>
    </w:rPr>
  </w:style>
  <w:style w:type="character" w:customStyle="1" w:styleId="Appendix4Char">
    <w:name w:val="Appendix 4 Char"/>
    <w:link w:val="Appendix4"/>
    <w:rsid w:val="00AE7855"/>
    <w:rPr>
      <w:rFonts w:ascii="Gill Sans MT" w:eastAsia="Times New Roman" w:hAnsi="Gill Sans MT" w:cs="Arial"/>
      <w:i/>
      <w:iCs/>
      <w:kern w:val="32"/>
      <w:sz w:val="24"/>
      <w:szCs w:val="28"/>
      <w:lang w:eastAsia="zh-TW"/>
    </w:rPr>
  </w:style>
  <w:style w:type="paragraph" w:styleId="TOC3">
    <w:name w:val="toc 3"/>
    <w:basedOn w:val="Normal"/>
    <w:next w:val="Normal"/>
    <w:autoRedefine/>
    <w:uiPriority w:val="39"/>
    <w:unhideWhenUsed/>
    <w:rsid w:val="00AE7855"/>
    <w:pPr>
      <w:spacing w:after="100"/>
      <w:ind w:left="400"/>
    </w:pPr>
  </w:style>
  <w:style w:type="character" w:customStyle="1" w:styleId="UnresolvedMention2">
    <w:name w:val="Unresolved Mention2"/>
    <w:basedOn w:val="DefaultParagraphFont"/>
    <w:uiPriority w:val="99"/>
    <w:semiHidden/>
    <w:unhideWhenUsed/>
    <w:rsid w:val="00AE7855"/>
    <w:rPr>
      <w:color w:val="605E5C"/>
      <w:shd w:val="clear" w:color="auto" w:fill="E1DFDD"/>
    </w:rPr>
  </w:style>
  <w:style w:type="paragraph" w:customStyle="1" w:styleId="ocsinumberingparagraphs">
    <w:name w:val="ocsi_numbering_paragraphs"/>
    <w:basedOn w:val="Normal"/>
    <w:link w:val="ocsinumberingparagraphsChar"/>
    <w:qFormat/>
    <w:rsid w:val="00AE7855"/>
    <w:pPr>
      <w:tabs>
        <w:tab w:val="left" w:pos="794"/>
        <w:tab w:val="num" w:pos="1646"/>
      </w:tabs>
      <w:spacing w:before="120" w:after="120"/>
      <w:ind w:left="794" w:hanging="794"/>
    </w:pPr>
    <w:rPr>
      <w:rFonts w:ascii="Frutiger 45 Light" w:eastAsia="Arial Unicode MS" w:hAnsi="Frutiger 45 Light" w:cs="Times New Roman"/>
      <w:sz w:val="24"/>
      <w:szCs w:val="20"/>
      <w:lang w:eastAsia="zh-TW"/>
    </w:rPr>
  </w:style>
  <w:style w:type="paragraph" w:customStyle="1" w:styleId="ocsi">
    <w:name w:val="ocsi"/>
    <w:rsid w:val="00B65FDE"/>
    <w:pPr>
      <w:spacing w:after="240" w:line="360" w:lineRule="auto"/>
    </w:pPr>
    <w:rPr>
      <w:rFonts w:ascii="Frutiger 45 Light" w:eastAsia="PMingLiU" w:hAnsi="Frutiger 45 Light" w:cs="Times New Roman"/>
      <w:sz w:val="20"/>
      <w:szCs w:val="20"/>
      <w:lang w:eastAsia="zh-TW"/>
    </w:rPr>
  </w:style>
  <w:style w:type="paragraph" w:customStyle="1" w:styleId="ocsilist">
    <w:name w:val="ocsi_list"/>
    <w:basedOn w:val="Normal"/>
    <w:link w:val="ocsilistChar"/>
    <w:qFormat/>
    <w:rsid w:val="00F73CB3"/>
    <w:pPr>
      <w:numPr>
        <w:numId w:val="16"/>
      </w:numPr>
      <w:spacing w:line="300" w:lineRule="exact"/>
      <w:ind w:left="1139" w:hanging="357"/>
    </w:pPr>
    <w:rPr>
      <w:rFonts w:ascii="Arial Unicode MS" w:eastAsia="Arial Unicode MS" w:hAnsi="Times New Roman" w:cs="Times New Roman"/>
      <w:sz w:val="22"/>
      <w:szCs w:val="20"/>
    </w:rPr>
  </w:style>
  <w:style w:type="character" w:customStyle="1" w:styleId="ocsinumberingparagraphsChar">
    <w:name w:val="ocsi_numbering_paragraphs Char"/>
    <w:link w:val="ocsinumberingparagraphs"/>
    <w:rsid w:val="00F73CB3"/>
    <w:rPr>
      <w:rFonts w:ascii="Frutiger 45 Light" w:eastAsia="Arial Unicode MS" w:hAnsi="Frutiger 45 Light" w:cs="Times New Roman"/>
      <w:sz w:val="24"/>
      <w:szCs w:val="20"/>
      <w:lang w:eastAsia="zh-TW"/>
    </w:rPr>
  </w:style>
  <w:style w:type="character" w:customStyle="1" w:styleId="ocsilistChar">
    <w:name w:val="ocsi_list Char"/>
    <w:link w:val="ocsilist"/>
    <w:rsid w:val="00F73CB3"/>
    <w:rPr>
      <w:rFonts w:ascii="Arial Unicode MS" w:eastAsia="Arial Unicode MS" w:hAnsi="Times New Roman" w:cs="Times New Roman"/>
      <w:szCs w:val="20"/>
    </w:rPr>
  </w:style>
  <w:style w:type="paragraph" w:styleId="NormalWeb">
    <w:name w:val="Normal (Web)"/>
    <w:basedOn w:val="Normal"/>
    <w:uiPriority w:val="99"/>
    <w:unhideWhenUsed/>
    <w:rsid w:val="005072BC"/>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0137"/>
    <w:rPr>
      <w:i/>
      <w:iCs/>
    </w:rPr>
  </w:style>
  <w:style w:type="paragraph" w:customStyle="1" w:styleId="Appendix1">
    <w:name w:val="Appendix 1"/>
    <w:basedOn w:val="Heading1"/>
    <w:next w:val="ocsinumberedappdxparagraph"/>
    <w:rsid w:val="00BB4C43"/>
    <w:pPr>
      <w:keepLines w:val="0"/>
      <w:pageBreakBefore/>
      <w:pBdr>
        <w:bottom w:val="single" w:sz="4" w:space="1" w:color="auto"/>
      </w:pBdr>
      <w:tabs>
        <w:tab w:val="num" w:pos="360"/>
        <w:tab w:val="left" w:pos="794"/>
      </w:tabs>
      <w:spacing w:before="0" w:after="360"/>
      <w:ind w:left="794" w:hanging="1928"/>
    </w:pPr>
    <w:rPr>
      <w:rFonts w:ascii="Arial Unicode MS" w:eastAsia="Arial Unicode MS" w:hAnsi="Arial Unicode MS" w:cs="Arial"/>
      <w:b/>
      <w:bCs/>
      <w:color w:val="auto"/>
      <w:kern w:val="32"/>
      <w:lang w:val="en-US" w:eastAsia="zh-TW"/>
    </w:rPr>
  </w:style>
  <w:style w:type="paragraph" w:customStyle="1" w:styleId="Appendix2">
    <w:name w:val="Appendix 2"/>
    <w:basedOn w:val="Heading2"/>
    <w:next w:val="ocsinumberedappdxparagraph"/>
    <w:rsid w:val="00BB4C43"/>
    <w:pPr>
      <w:keepLines w:val="0"/>
      <w:tabs>
        <w:tab w:val="num" w:pos="360"/>
        <w:tab w:val="left" w:pos="794"/>
      </w:tabs>
      <w:spacing w:before="240" w:after="60"/>
      <w:ind w:left="794" w:hanging="794"/>
    </w:pPr>
    <w:rPr>
      <w:rFonts w:ascii="Arial Unicode MS" w:eastAsia="Arial Unicode MS" w:hAnsi="Arial Unicode MS" w:cs="Arial"/>
      <w:b/>
      <w:iCs/>
      <w:color w:val="1F497D"/>
      <w:kern w:val="32"/>
      <w:sz w:val="24"/>
      <w:szCs w:val="28"/>
      <w:lang w:val="en-US" w:eastAsia="zh-TW"/>
    </w:rPr>
  </w:style>
  <w:style w:type="table" w:styleId="GridTable4-Accent5">
    <w:name w:val="Grid Table 4 Accent 5"/>
    <w:basedOn w:val="TableNormal"/>
    <w:uiPriority w:val="49"/>
    <w:rsid w:val="00BB4C4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ghtList-Accent11">
    <w:name w:val="Light List - Accent 11"/>
    <w:basedOn w:val="TableNormal"/>
    <w:uiPriority w:val="61"/>
    <w:rsid w:val="00E25EB0"/>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cs="Times New Roman"/>
        <w:b/>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
    <w:name w:val="p"/>
    <w:basedOn w:val="Normal"/>
    <w:rsid w:val="00973FD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985">
      <w:bodyDiv w:val="1"/>
      <w:marLeft w:val="0"/>
      <w:marRight w:val="0"/>
      <w:marTop w:val="0"/>
      <w:marBottom w:val="0"/>
      <w:divBdr>
        <w:top w:val="none" w:sz="0" w:space="0" w:color="auto"/>
        <w:left w:val="none" w:sz="0" w:space="0" w:color="auto"/>
        <w:bottom w:val="none" w:sz="0" w:space="0" w:color="auto"/>
        <w:right w:val="none" w:sz="0" w:space="0" w:color="auto"/>
      </w:divBdr>
    </w:div>
    <w:div w:id="267124900">
      <w:bodyDiv w:val="1"/>
      <w:marLeft w:val="0"/>
      <w:marRight w:val="0"/>
      <w:marTop w:val="0"/>
      <w:marBottom w:val="0"/>
      <w:divBdr>
        <w:top w:val="none" w:sz="0" w:space="0" w:color="auto"/>
        <w:left w:val="none" w:sz="0" w:space="0" w:color="auto"/>
        <w:bottom w:val="none" w:sz="0" w:space="0" w:color="auto"/>
        <w:right w:val="none" w:sz="0" w:space="0" w:color="auto"/>
      </w:divBdr>
    </w:div>
    <w:div w:id="317999265">
      <w:bodyDiv w:val="1"/>
      <w:marLeft w:val="0"/>
      <w:marRight w:val="0"/>
      <w:marTop w:val="0"/>
      <w:marBottom w:val="0"/>
      <w:divBdr>
        <w:top w:val="none" w:sz="0" w:space="0" w:color="auto"/>
        <w:left w:val="none" w:sz="0" w:space="0" w:color="auto"/>
        <w:bottom w:val="none" w:sz="0" w:space="0" w:color="auto"/>
        <w:right w:val="none" w:sz="0" w:space="0" w:color="auto"/>
      </w:divBdr>
    </w:div>
    <w:div w:id="324479506">
      <w:bodyDiv w:val="1"/>
      <w:marLeft w:val="0"/>
      <w:marRight w:val="0"/>
      <w:marTop w:val="0"/>
      <w:marBottom w:val="0"/>
      <w:divBdr>
        <w:top w:val="none" w:sz="0" w:space="0" w:color="auto"/>
        <w:left w:val="none" w:sz="0" w:space="0" w:color="auto"/>
        <w:bottom w:val="none" w:sz="0" w:space="0" w:color="auto"/>
        <w:right w:val="none" w:sz="0" w:space="0" w:color="auto"/>
      </w:divBdr>
    </w:div>
    <w:div w:id="464547164">
      <w:bodyDiv w:val="1"/>
      <w:marLeft w:val="0"/>
      <w:marRight w:val="0"/>
      <w:marTop w:val="0"/>
      <w:marBottom w:val="0"/>
      <w:divBdr>
        <w:top w:val="none" w:sz="0" w:space="0" w:color="auto"/>
        <w:left w:val="none" w:sz="0" w:space="0" w:color="auto"/>
        <w:bottom w:val="none" w:sz="0" w:space="0" w:color="auto"/>
        <w:right w:val="none" w:sz="0" w:space="0" w:color="auto"/>
      </w:divBdr>
    </w:div>
    <w:div w:id="521169660">
      <w:bodyDiv w:val="1"/>
      <w:marLeft w:val="0"/>
      <w:marRight w:val="0"/>
      <w:marTop w:val="0"/>
      <w:marBottom w:val="0"/>
      <w:divBdr>
        <w:top w:val="none" w:sz="0" w:space="0" w:color="auto"/>
        <w:left w:val="none" w:sz="0" w:space="0" w:color="auto"/>
        <w:bottom w:val="none" w:sz="0" w:space="0" w:color="auto"/>
        <w:right w:val="none" w:sz="0" w:space="0" w:color="auto"/>
      </w:divBdr>
    </w:div>
    <w:div w:id="524756547">
      <w:bodyDiv w:val="1"/>
      <w:marLeft w:val="0"/>
      <w:marRight w:val="0"/>
      <w:marTop w:val="0"/>
      <w:marBottom w:val="0"/>
      <w:divBdr>
        <w:top w:val="none" w:sz="0" w:space="0" w:color="auto"/>
        <w:left w:val="none" w:sz="0" w:space="0" w:color="auto"/>
        <w:bottom w:val="none" w:sz="0" w:space="0" w:color="auto"/>
        <w:right w:val="none" w:sz="0" w:space="0" w:color="auto"/>
      </w:divBdr>
    </w:div>
    <w:div w:id="625161641">
      <w:bodyDiv w:val="1"/>
      <w:marLeft w:val="0"/>
      <w:marRight w:val="0"/>
      <w:marTop w:val="0"/>
      <w:marBottom w:val="0"/>
      <w:divBdr>
        <w:top w:val="none" w:sz="0" w:space="0" w:color="auto"/>
        <w:left w:val="none" w:sz="0" w:space="0" w:color="auto"/>
        <w:bottom w:val="none" w:sz="0" w:space="0" w:color="auto"/>
        <w:right w:val="none" w:sz="0" w:space="0" w:color="auto"/>
      </w:divBdr>
    </w:div>
    <w:div w:id="665132954">
      <w:bodyDiv w:val="1"/>
      <w:marLeft w:val="0"/>
      <w:marRight w:val="0"/>
      <w:marTop w:val="0"/>
      <w:marBottom w:val="0"/>
      <w:divBdr>
        <w:top w:val="none" w:sz="0" w:space="0" w:color="auto"/>
        <w:left w:val="none" w:sz="0" w:space="0" w:color="auto"/>
        <w:bottom w:val="none" w:sz="0" w:space="0" w:color="auto"/>
        <w:right w:val="none" w:sz="0" w:space="0" w:color="auto"/>
      </w:divBdr>
    </w:div>
    <w:div w:id="706368850">
      <w:bodyDiv w:val="1"/>
      <w:marLeft w:val="0"/>
      <w:marRight w:val="0"/>
      <w:marTop w:val="0"/>
      <w:marBottom w:val="0"/>
      <w:divBdr>
        <w:top w:val="none" w:sz="0" w:space="0" w:color="auto"/>
        <w:left w:val="none" w:sz="0" w:space="0" w:color="auto"/>
        <w:bottom w:val="none" w:sz="0" w:space="0" w:color="auto"/>
        <w:right w:val="none" w:sz="0" w:space="0" w:color="auto"/>
      </w:divBdr>
    </w:div>
    <w:div w:id="754864635">
      <w:bodyDiv w:val="1"/>
      <w:marLeft w:val="0"/>
      <w:marRight w:val="0"/>
      <w:marTop w:val="0"/>
      <w:marBottom w:val="0"/>
      <w:divBdr>
        <w:top w:val="none" w:sz="0" w:space="0" w:color="auto"/>
        <w:left w:val="none" w:sz="0" w:space="0" w:color="auto"/>
        <w:bottom w:val="none" w:sz="0" w:space="0" w:color="auto"/>
        <w:right w:val="none" w:sz="0" w:space="0" w:color="auto"/>
      </w:divBdr>
    </w:div>
    <w:div w:id="843014320">
      <w:bodyDiv w:val="1"/>
      <w:marLeft w:val="0"/>
      <w:marRight w:val="0"/>
      <w:marTop w:val="0"/>
      <w:marBottom w:val="0"/>
      <w:divBdr>
        <w:top w:val="none" w:sz="0" w:space="0" w:color="auto"/>
        <w:left w:val="none" w:sz="0" w:space="0" w:color="auto"/>
        <w:bottom w:val="none" w:sz="0" w:space="0" w:color="auto"/>
        <w:right w:val="none" w:sz="0" w:space="0" w:color="auto"/>
      </w:divBdr>
      <w:divsChild>
        <w:div w:id="1376733594">
          <w:marLeft w:val="0"/>
          <w:marRight w:val="0"/>
          <w:marTop w:val="0"/>
          <w:marBottom w:val="0"/>
          <w:divBdr>
            <w:top w:val="none" w:sz="0" w:space="0" w:color="auto"/>
            <w:left w:val="none" w:sz="0" w:space="0" w:color="auto"/>
            <w:bottom w:val="none" w:sz="0" w:space="0" w:color="auto"/>
            <w:right w:val="none" w:sz="0" w:space="0" w:color="auto"/>
          </w:divBdr>
        </w:div>
        <w:div w:id="1115056303">
          <w:marLeft w:val="0"/>
          <w:marRight w:val="0"/>
          <w:marTop w:val="0"/>
          <w:marBottom w:val="0"/>
          <w:divBdr>
            <w:top w:val="none" w:sz="0" w:space="0" w:color="auto"/>
            <w:left w:val="none" w:sz="0" w:space="0" w:color="auto"/>
            <w:bottom w:val="none" w:sz="0" w:space="0" w:color="auto"/>
            <w:right w:val="none" w:sz="0" w:space="0" w:color="auto"/>
          </w:divBdr>
        </w:div>
        <w:div w:id="945574262">
          <w:marLeft w:val="0"/>
          <w:marRight w:val="0"/>
          <w:marTop w:val="0"/>
          <w:marBottom w:val="0"/>
          <w:divBdr>
            <w:top w:val="none" w:sz="0" w:space="0" w:color="auto"/>
            <w:left w:val="none" w:sz="0" w:space="0" w:color="auto"/>
            <w:bottom w:val="none" w:sz="0" w:space="0" w:color="auto"/>
            <w:right w:val="none" w:sz="0" w:space="0" w:color="auto"/>
          </w:divBdr>
        </w:div>
        <w:div w:id="906454874">
          <w:marLeft w:val="0"/>
          <w:marRight w:val="0"/>
          <w:marTop w:val="0"/>
          <w:marBottom w:val="0"/>
          <w:divBdr>
            <w:top w:val="none" w:sz="0" w:space="0" w:color="auto"/>
            <w:left w:val="none" w:sz="0" w:space="0" w:color="auto"/>
            <w:bottom w:val="none" w:sz="0" w:space="0" w:color="auto"/>
            <w:right w:val="none" w:sz="0" w:space="0" w:color="auto"/>
          </w:divBdr>
        </w:div>
        <w:div w:id="204373448">
          <w:marLeft w:val="0"/>
          <w:marRight w:val="0"/>
          <w:marTop w:val="0"/>
          <w:marBottom w:val="0"/>
          <w:divBdr>
            <w:top w:val="none" w:sz="0" w:space="0" w:color="auto"/>
            <w:left w:val="none" w:sz="0" w:space="0" w:color="auto"/>
            <w:bottom w:val="none" w:sz="0" w:space="0" w:color="auto"/>
            <w:right w:val="none" w:sz="0" w:space="0" w:color="auto"/>
          </w:divBdr>
        </w:div>
        <w:div w:id="59712582">
          <w:marLeft w:val="0"/>
          <w:marRight w:val="0"/>
          <w:marTop w:val="0"/>
          <w:marBottom w:val="0"/>
          <w:divBdr>
            <w:top w:val="none" w:sz="0" w:space="0" w:color="auto"/>
            <w:left w:val="none" w:sz="0" w:space="0" w:color="auto"/>
            <w:bottom w:val="none" w:sz="0" w:space="0" w:color="auto"/>
            <w:right w:val="none" w:sz="0" w:space="0" w:color="auto"/>
          </w:divBdr>
        </w:div>
      </w:divsChild>
    </w:div>
    <w:div w:id="879433761">
      <w:bodyDiv w:val="1"/>
      <w:marLeft w:val="0"/>
      <w:marRight w:val="0"/>
      <w:marTop w:val="0"/>
      <w:marBottom w:val="0"/>
      <w:divBdr>
        <w:top w:val="none" w:sz="0" w:space="0" w:color="auto"/>
        <w:left w:val="none" w:sz="0" w:space="0" w:color="auto"/>
        <w:bottom w:val="none" w:sz="0" w:space="0" w:color="auto"/>
        <w:right w:val="none" w:sz="0" w:space="0" w:color="auto"/>
      </w:divBdr>
    </w:div>
    <w:div w:id="1062948949">
      <w:bodyDiv w:val="1"/>
      <w:marLeft w:val="0"/>
      <w:marRight w:val="0"/>
      <w:marTop w:val="0"/>
      <w:marBottom w:val="0"/>
      <w:divBdr>
        <w:top w:val="none" w:sz="0" w:space="0" w:color="auto"/>
        <w:left w:val="none" w:sz="0" w:space="0" w:color="auto"/>
        <w:bottom w:val="none" w:sz="0" w:space="0" w:color="auto"/>
        <w:right w:val="none" w:sz="0" w:space="0" w:color="auto"/>
      </w:divBdr>
    </w:div>
    <w:div w:id="1154641305">
      <w:bodyDiv w:val="1"/>
      <w:marLeft w:val="0"/>
      <w:marRight w:val="0"/>
      <w:marTop w:val="0"/>
      <w:marBottom w:val="0"/>
      <w:divBdr>
        <w:top w:val="none" w:sz="0" w:space="0" w:color="auto"/>
        <w:left w:val="none" w:sz="0" w:space="0" w:color="auto"/>
        <w:bottom w:val="none" w:sz="0" w:space="0" w:color="auto"/>
        <w:right w:val="none" w:sz="0" w:space="0" w:color="auto"/>
      </w:divBdr>
    </w:div>
    <w:div w:id="1156844283">
      <w:bodyDiv w:val="1"/>
      <w:marLeft w:val="0"/>
      <w:marRight w:val="0"/>
      <w:marTop w:val="0"/>
      <w:marBottom w:val="0"/>
      <w:divBdr>
        <w:top w:val="none" w:sz="0" w:space="0" w:color="auto"/>
        <w:left w:val="none" w:sz="0" w:space="0" w:color="auto"/>
        <w:bottom w:val="none" w:sz="0" w:space="0" w:color="auto"/>
        <w:right w:val="none" w:sz="0" w:space="0" w:color="auto"/>
      </w:divBdr>
    </w:div>
    <w:div w:id="1324042528">
      <w:bodyDiv w:val="1"/>
      <w:marLeft w:val="0"/>
      <w:marRight w:val="0"/>
      <w:marTop w:val="0"/>
      <w:marBottom w:val="0"/>
      <w:divBdr>
        <w:top w:val="none" w:sz="0" w:space="0" w:color="auto"/>
        <w:left w:val="none" w:sz="0" w:space="0" w:color="auto"/>
        <w:bottom w:val="none" w:sz="0" w:space="0" w:color="auto"/>
        <w:right w:val="none" w:sz="0" w:space="0" w:color="auto"/>
      </w:divBdr>
    </w:div>
    <w:div w:id="1326588675">
      <w:bodyDiv w:val="1"/>
      <w:marLeft w:val="0"/>
      <w:marRight w:val="0"/>
      <w:marTop w:val="0"/>
      <w:marBottom w:val="0"/>
      <w:divBdr>
        <w:top w:val="none" w:sz="0" w:space="0" w:color="auto"/>
        <w:left w:val="none" w:sz="0" w:space="0" w:color="auto"/>
        <w:bottom w:val="none" w:sz="0" w:space="0" w:color="auto"/>
        <w:right w:val="none" w:sz="0" w:space="0" w:color="auto"/>
      </w:divBdr>
    </w:div>
    <w:div w:id="1502432967">
      <w:bodyDiv w:val="1"/>
      <w:marLeft w:val="0"/>
      <w:marRight w:val="0"/>
      <w:marTop w:val="0"/>
      <w:marBottom w:val="0"/>
      <w:divBdr>
        <w:top w:val="none" w:sz="0" w:space="0" w:color="auto"/>
        <w:left w:val="none" w:sz="0" w:space="0" w:color="auto"/>
        <w:bottom w:val="none" w:sz="0" w:space="0" w:color="auto"/>
        <w:right w:val="none" w:sz="0" w:space="0" w:color="auto"/>
      </w:divBdr>
    </w:div>
    <w:div w:id="1584492265">
      <w:bodyDiv w:val="1"/>
      <w:marLeft w:val="0"/>
      <w:marRight w:val="0"/>
      <w:marTop w:val="0"/>
      <w:marBottom w:val="0"/>
      <w:divBdr>
        <w:top w:val="none" w:sz="0" w:space="0" w:color="auto"/>
        <w:left w:val="none" w:sz="0" w:space="0" w:color="auto"/>
        <w:bottom w:val="none" w:sz="0" w:space="0" w:color="auto"/>
        <w:right w:val="none" w:sz="0" w:space="0" w:color="auto"/>
      </w:divBdr>
    </w:div>
    <w:div w:id="1638030350">
      <w:bodyDiv w:val="1"/>
      <w:marLeft w:val="0"/>
      <w:marRight w:val="0"/>
      <w:marTop w:val="0"/>
      <w:marBottom w:val="0"/>
      <w:divBdr>
        <w:top w:val="none" w:sz="0" w:space="0" w:color="auto"/>
        <w:left w:val="none" w:sz="0" w:space="0" w:color="auto"/>
        <w:bottom w:val="none" w:sz="0" w:space="0" w:color="auto"/>
        <w:right w:val="none" w:sz="0" w:space="0" w:color="auto"/>
      </w:divBdr>
    </w:div>
    <w:div w:id="1687754174">
      <w:bodyDiv w:val="1"/>
      <w:marLeft w:val="0"/>
      <w:marRight w:val="0"/>
      <w:marTop w:val="0"/>
      <w:marBottom w:val="0"/>
      <w:divBdr>
        <w:top w:val="none" w:sz="0" w:space="0" w:color="auto"/>
        <w:left w:val="none" w:sz="0" w:space="0" w:color="auto"/>
        <w:bottom w:val="none" w:sz="0" w:space="0" w:color="auto"/>
        <w:right w:val="none" w:sz="0" w:space="0" w:color="auto"/>
      </w:divBdr>
    </w:div>
    <w:div w:id="1717117931">
      <w:bodyDiv w:val="1"/>
      <w:marLeft w:val="0"/>
      <w:marRight w:val="0"/>
      <w:marTop w:val="0"/>
      <w:marBottom w:val="0"/>
      <w:divBdr>
        <w:top w:val="none" w:sz="0" w:space="0" w:color="auto"/>
        <w:left w:val="none" w:sz="0" w:space="0" w:color="auto"/>
        <w:bottom w:val="none" w:sz="0" w:space="0" w:color="auto"/>
        <w:right w:val="none" w:sz="0" w:space="0" w:color="auto"/>
      </w:divBdr>
    </w:div>
    <w:div w:id="1721905404">
      <w:bodyDiv w:val="1"/>
      <w:marLeft w:val="0"/>
      <w:marRight w:val="0"/>
      <w:marTop w:val="0"/>
      <w:marBottom w:val="0"/>
      <w:divBdr>
        <w:top w:val="none" w:sz="0" w:space="0" w:color="auto"/>
        <w:left w:val="none" w:sz="0" w:space="0" w:color="auto"/>
        <w:bottom w:val="none" w:sz="0" w:space="0" w:color="auto"/>
        <w:right w:val="none" w:sz="0" w:space="0" w:color="auto"/>
      </w:divBdr>
    </w:div>
    <w:div w:id="1754467964">
      <w:bodyDiv w:val="1"/>
      <w:marLeft w:val="0"/>
      <w:marRight w:val="0"/>
      <w:marTop w:val="0"/>
      <w:marBottom w:val="0"/>
      <w:divBdr>
        <w:top w:val="none" w:sz="0" w:space="0" w:color="auto"/>
        <w:left w:val="none" w:sz="0" w:space="0" w:color="auto"/>
        <w:bottom w:val="none" w:sz="0" w:space="0" w:color="auto"/>
        <w:right w:val="none" w:sz="0" w:space="0" w:color="auto"/>
      </w:divBdr>
    </w:div>
    <w:div w:id="1797409883">
      <w:bodyDiv w:val="1"/>
      <w:marLeft w:val="0"/>
      <w:marRight w:val="0"/>
      <w:marTop w:val="0"/>
      <w:marBottom w:val="0"/>
      <w:divBdr>
        <w:top w:val="none" w:sz="0" w:space="0" w:color="auto"/>
        <w:left w:val="none" w:sz="0" w:space="0" w:color="auto"/>
        <w:bottom w:val="none" w:sz="0" w:space="0" w:color="auto"/>
        <w:right w:val="none" w:sz="0" w:space="0" w:color="auto"/>
      </w:divBdr>
    </w:div>
    <w:div w:id="1832788812">
      <w:bodyDiv w:val="1"/>
      <w:marLeft w:val="0"/>
      <w:marRight w:val="0"/>
      <w:marTop w:val="0"/>
      <w:marBottom w:val="0"/>
      <w:divBdr>
        <w:top w:val="none" w:sz="0" w:space="0" w:color="auto"/>
        <w:left w:val="none" w:sz="0" w:space="0" w:color="auto"/>
        <w:bottom w:val="none" w:sz="0" w:space="0" w:color="auto"/>
        <w:right w:val="none" w:sz="0" w:space="0" w:color="auto"/>
      </w:divBdr>
      <w:divsChild>
        <w:div w:id="86579726">
          <w:marLeft w:val="720"/>
          <w:marRight w:val="0"/>
          <w:marTop w:val="0"/>
          <w:marBottom w:val="0"/>
          <w:divBdr>
            <w:top w:val="none" w:sz="0" w:space="0" w:color="auto"/>
            <w:left w:val="none" w:sz="0" w:space="0" w:color="auto"/>
            <w:bottom w:val="none" w:sz="0" w:space="0" w:color="auto"/>
            <w:right w:val="none" w:sz="0" w:space="0" w:color="auto"/>
          </w:divBdr>
        </w:div>
        <w:div w:id="1857846844">
          <w:marLeft w:val="720"/>
          <w:marRight w:val="0"/>
          <w:marTop w:val="0"/>
          <w:marBottom w:val="0"/>
          <w:divBdr>
            <w:top w:val="none" w:sz="0" w:space="0" w:color="auto"/>
            <w:left w:val="none" w:sz="0" w:space="0" w:color="auto"/>
            <w:bottom w:val="none" w:sz="0" w:space="0" w:color="auto"/>
            <w:right w:val="none" w:sz="0" w:space="0" w:color="auto"/>
          </w:divBdr>
        </w:div>
      </w:divsChild>
    </w:div>
    <w:div w:id="1850363175">
      <w:bodyDiv w:val="1"/>
      <w:marLeft w:val="0"/>
      <w:marRight w:val="0"/>
      <w:marTop w:val="0"/>
      <w:marBottom w:val="0"/>
      <w:divBdr>
        <w:top w:val="none" w:sz="0" w:space="0" w:color="auto"/>
        <w:left w:val="none" w:sz="0" w:space="0" w:color="auto"/>
        <w:bottom w:val="none" w:sz="0" w:space="0" w:color="auto"/>
        <w:right w:val="none" w:sz="0" w:space="0" w:color="auto"/>
      </w:divBdr>
    </w:div>
    <w:div w:id="1859198918">
      <w:bodyDiv w:val="1"/>
      <w:marLeft w:val="0"/>
      <w:marRight w:val="0"/>
      <w:marTop w:val="0"/>
      <w:marBottom w:val="0"/>
      <w:divBdr>
        <w:top w:val="none" w:sz="0" w:space="0" w:color="auto"/>
        <w:left w:val="none" w:sz="0" w:space="0" w:color="auto"/>
        <w:bottom w:val="none" w:sz="0" w:space="0" w:color="auto"/>
        <w:right w:val="none" w:sz="0" w:space="0" w:color="auto"/>
      </w:divBdr>
      <w:divsChild>
        <w:div w:id="517696206">
          <w:marLeft w:val="360"/>
          <w:marRight w:val="0"/>
          <w:marTop w:val="0"/>
          <w:marBottom w:val="0"/>
          <w:divBdr>
            <w:top w:val="none" w:sz="0" w:space="0" w:color="auto"/>
            <w:left w:val="none" w:sz="0" w:space="0" w:color="auto"/>
            <w:bottom w:val="none" w:sz="0" w:space="0" w:color="auto"/>
            <w:right w:val="none" w:sz="0" w:space="0" w:color="auto"/>
          </w:divBdr>
        </w:div>
        <w:div w:id="1112433300">
          <w:marLeft w:val="360"/>
          <w:marRight w:val="0"/>
          <w:marTop w:val="0"/>
          <w:marBottom w:val="0"/>
          <w:divBdr>
            <w:top w:val="none" w:sz="0" w:space="0" w:color="auto"/>
            <w:left w:val="none" w:sz="0" w:space="0" w:color="auto"/>
            <w:bottom w:val="none" w:sz="0" w:space="0" w:color="auto"/>
            <w:right w:val="none" w:sz="0" w:space="0" w:color="auto"/>
          </w:divBdr>
        </w:div>
      </w:divsChild>
    </w:div>
    <w:div w:id="1868056512">
      <w:bodyDiv w:val="1"/>
      <w:marLeft w:val="0"/>
      <w:marRight w:val="0"/>
      <w:marTop w:val="0"/>
      <w:marBottom w:val="0"/>
      <w:divBdr>
        <w:top w:val="none" w:sz="0" w:space="0" w:color="auto"/>
        <w:left w:val="none" w:sz="0" w:space="0" w:color="auto"/>
        <w:bottom w:val="none" w:sz="0" w:space="0" w:color="auto"/>
        <w:right w:val="none" w:sz="0" w:space="0" w:color="auto"/>
      </w:divBdr>
    </w:div>
    <w:div w:id="1988316975">
      <w:bodyDiv w:val="1"/>
      <w:marLeft w:val="0"/>
      <w:marRight w:val="0"/>
      <w:marTop w:val="0"/>
      <w:marBottom w:val="0"/>
      <w:divBdr>
        <w:top w:val="none" w:sz="0" w:space="0" w:color="auto"/>
        <w:left w:val="none" w:sz="0" w:space="0" w:color="auto"/>
        <w:bottom w:val="none" w:sz="0" w:space="0" w:color="auto"/>
        <w:right w:val="none" w:sz="0" w:space="0" w:color="auto"/>
      </w:divBdr>
    </w:div>
    <w:div w:id="21376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B91C7805A2F42B78C6412C4646779" ma:contentTypeVersion="4" ma:contentTypeDescription="Create a new document." ma:contentTypeScope="" ma:versionID="03360f14b211132665014318925ddec9">
  <xsd:schema xmlns:xsd="http://www.w3.org/2001/XMLSchema" xmlns:xs="http://www.w3.org/2001/XMLSchema" xmlns:p="http://schemas.microsoft.com/office/2006/metadata/properties" xmlns:ns2="ac2dd381-2219-4360-b0aa-99e60ddd8c11" targetNamespace="http://schemas.microsoft.com/office/2006/metadata/properties" ma:root="true" ma:fieldsID="0e4cb1eea262b4f07abb93c2dea29d5d" ns2:_="">
    <xsd:import namespace="ac2dd381-2219-4360-b0aa-99e60ddd8c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dd381-2219-4360-b0aa-99e60ddd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620A5-2C90-4437-986B-5B6968CFAB80}">
  <ds:schemaRefs>
    <ds:schemaRef ds:uri="http://schemas.openxmlformats.org/officeDocument/2006/bibliography"/>
  </ds:schemaRefs>
</ds:datastoreItem>
</file>

<file path=customXml/itemProps2.xml><?xml version="1.0" encoding="utf-8"?>
<ds:datastoreItem xmlns:ds="http://schemas.openxmlformats.org/officeDocument/2006/customXml" ds:itemID="{6B89EC13-C9C0-47D4-974C-8F2208D3B1C2}"/>
</file>

<file path=customXml/itemProps3.xml><?xml version="1.0" encoding="utf-8"?>
<ds:datastoreItem xmlns:ds="http://schemas.openxmlformats.org/officeDocument/2006/customXml" ds:itemID="{831D0836-178A-4729-9441-5E871E154912}"/>
</file>

<file path=customXml/itemProps4.xml><?xml version="1.0" encoding="utf-8"?>
<ds:datastoreItem xmlns:ds="http://schemas.openxmlformats.org/officeDocument/2006/customXml" ds:itemID="{44B83795-B1E9-41C3-A3E2-10C0E6BE2F5D}"/>
</file>

<file path=docProps/app.xml><?xml version="1.0" encoding="utf-8"?>
<Properties xmlns="http://schemas.openxmlformats.org/officeDocument/2006/extended-properties" xmlns:vt="http://schemas.openxmlformats.org/officeDocument/2006/docPropsVTypes">
  <Template>Normal.dotm</Template>
  <TotalTime>2</TotalTime>
  <Pages>21</Pages>
  <Words>7095</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Noble</dc:creator>
  <cp:keywords/>
  <dc:description/>
  <cp:lastModifiedBy>Stefan Noble</cp:lastModifiedBy>
  <cp:revision>2</cp:revision>
  <dcterms:created xsi:type="dcterms:W3CDTF">2021-05-13T11:06:00Z</dcterms:created>
  <dcterms:modified xsi:type="dcterms:W3CDTF">2021-05-13T11:06:00Z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0x010100B47B91C7805A2F42B78C6412C4646779</vt:lpwstr>
  </property>
</Properties>
</file>