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5E9D7" w14:textId="23A384B3" w:rsidR="00694471" w:rsidRDefault="00694471">
      <w:r>
        <w:rPr>
          <w:noProof/>
        </w:rPr>
        <mc:AlternateContent>
          <mc:Choice Requires="wps">
            <w:drawing>
              <wp:anchor distT="45720" distB="45720" distL="114300" distR="114300" simplePos="0" relativeHeight="251658240" behindDoc="1" locked="0" layoutInCell="1" allowOverlap="1" wp14:anchorId="0C459A3F" wp14:editId="22231649">
                <wp:simplePos x="0" y="0"/>
                <wp:positionH relativeFrom="column">
                  <wp:posOffset>-100965</wp:posOffset>
                </wp:positionH>
                <wp:positionV relativeFrom="paragraph">
                  <wp:posOffset>19050</wp:posOffset>
                </wp:positionV>
                <wp:extent cx="1638300" cy="295275"/>
                <wp:effectExtent l="0" t="0" r="0" b="0"/>
                <wp:wrapTight wrapText="bothSides">
                  <wp:wrapPolygon edited="0">
                    <wp:start x="753" y="0"/>
                    <wp:lineTo x="753" y="19510"/>
                    <wp:lineTo x="20595" y="19510"/>
                    <wp:lineTo x="20595" y="0"/>
                    <wp:lineTo x="753"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95275"/>
                        </a:xfrm>
                        <a:prstGeom prst="rect">
                          <a:avLst/>
                        </a:prstGeom>
                        <a:noFill/>
                        <a:ln w="9525">
                          <a:noFill/>
                          <a:miter lim="800000"/>
                          <a:headEnd/>
                          <a:tailEnd/>
                        </a:ln>
                      </wps:spPr>
                      <wps:txbx>
                        <w:txbxContent>
                          <w:p w14:paraId="5D0CB74B" w14:textId="3FD3D519" w:rsidR="00694471" w:rsidRPr="00520195" w:rsidRDefault="0020511E" w:rsidP="000B7196">
                            <w:pPr>
                              <w:pStyle w:val="BrightGreenheading"/>
                            </w:pPr>
                            <w:r>
                              <w:t>May 202</w:t>
                            </w:r>
                            <w:r w:rsidR="002E7D7C">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459A3F" id="_x0000_t202" coordsize="21600,21600" o:spt="202" path="m,l,21600r21600,l21600,xe">
                <v:stroke joinstyle="miter"/>
                <v:path gradientshapeok="t" o:connecttype="rect"/>
              </v:shapetype>
              <v:shape id="Text Box 2" o:spid="_x0000_s1026" type="#_x0000_t202" style="position:absolute;margin-left:-7.95pt;margin-top:1.5pt;width:129pt;height:23.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" filled="f" stroked="f">
                <v:textbox>
                  <w:txbxContent>
                    <w:p w14:paraId="5D0CB74B" w14:textId="3FD3D519" w:rsidR="00694471" w:rsidRPr="00520195" w:rsidRDefault="0020511E" w:rsidP="000B7196">
                      <w:pPr>
                        <w:pStyle w:val="BrightGreenheading"/>
                      </w:pPr>
                      <w:r>
                        <w:t>May 202</w:t>
                      </w:r>
                      <w:r w:rsidR="002E7D7C">
                        <w:t>4</w:t>
                      </w:r>
                    </w:p>
                  </w:txbxContent>
                </v:textbox>
                <w10:wrap type="tight"/>
              </v:shape>
            </w:pict>
          </mc:Fallback>
        </mc:AlternateContent>
      </w:r>
    </w:p>
    <w:sdt>
      <w:sdtPr>
        <w:id w:val="2105222075"/>
        <w:docPartObj>
          <w:docPartGallery w:val="Cover Pages"/>
          <w:docPartUnique/>
        </w:docPartObj>
      </w:sdtPr>
      <w:sdtEndPr/>
      <w:sdtContent>
        <w:p w14:paraId="6638D4EA" w14:textId="77D8BF32" w:rsidR="00694471" w:rsidRDefault="00694471"/>
        <w:p w14:paraId="2D4CFFDB" w14:textId="2511F848" w:rsidR="006665CA" w:rsidRDefault="006665CA"/>
        <w:p w14:paraId="7E004F25" w14:textId="1EC22D07" w:rsidR="002648EA" w:rsidRDefault="002648EA"/>
        <w:p w14:paraId="6CE92F6E" w14:textId="77777777" w:rsidR="002648EA" w:rsidRDefault="002648E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firstRow="0" w:lastRow="0" w:firstColumn="0" w:lastColumn="0" w:noHBand="1" w:noVBand="1"/>
          </w:tblPr>
          <w:tblGrid>
            <w:gridCol w:w="8505"/>
          </w:tblGrid>
          <w:tr w:rsidR="00473DE6" w:rsidRPr="00885409" w14:paraId="107B95B3" w14:textId="77777777" w:rsidTr="00A57067">
            <w:trPr>
              <w:trHeight w:val="2552"/>
            </w:trPr>
            <w:sdt>
              <w:sdtPr>
                <w:rPr>
                  <w:rFonts w:ascii="Open Sans" w:eastAsiaTheme="minorHAnsi" w:hAnsi="Open Sans" w:cstheme="minorBidi"/>
                  <w:color w:val="auto"/>
                  <w:spacing w:val="0"/>
                  <w:kern w:val="0"/>
                  <w:sz w:val="22"/>
                  <w:szCs w:val="22"/>
                </w:rPr>
                <w:id w:val="304661037"/>
                <w:placeholder>
                  <w:docPart w:val="F27EA571509040748A392C66FA8C5A2F"/>
                </w:placeholder>
              </w:sdtPr>
              <w:sdtEndPr/>
              <w:sdtContent>
                <w:tc>
                  <w:tcPr>
                    <w:tcW w:w="9344" w:type="dxa"/>
                    <w:shd w:val="clear" w:color="auto" w:fill="auto"/>
                  </w:tcPr>
                  <w:p w14:paraId="766E62B8" w14:textId="77777777" w:rsidR="00EC054E" w:rsidRDefault="007A2F28" w:rsidP="00885409">
                    <w:pPr>
                      <w:pStyle w:val="Title"/>
                      <w:framePr w:wrap="around"/>
                    </w:pPr>
                    <w:r w:rsidRPr="007A2F28">
                      <w:rPr>
                        <w:noProof/>
                      </w:rPr>
                      <mc:AlternateContent>
                        <mc:Choice Requires="wps">
                          <w:drawing>
                            <wp:anchor distT="0" distB="0" distL="114300" distR="114300" simplePos="0" relativeHeight="251658244" behindDoc="1" locked="0" layoutInCell="1" allowOverlap="1" wp14:anchorId="0B49A146" wp14:editId="0AB444CF">
                              <wp:simplePos x="0" y="0"/>
                              <wp:positionH relativeFrom="page">
                                <wp:posOffset>-713105</wp:posOffset>
                              </wp:positionH>
                              <wp:positionV relativeFrom="paragraph">
                                <wp:posOffset>-2526665</wp:posOffset>
                              </wp:positionV>
                              <wp:extent cx="7524750" cy="92106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7524750" cy="9210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B0FA881" id="Rectangle 8" o:spid="_x0000_s1026" style="position:absolute;margin-left:-56.15pt;margin-top:-198.95pt;width:592.5pt;height:725.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" fillcolor="#01615c [3204]" strokecolor="#00302d [1604]" strokeweight="1pt">
                              <w10:wrap anchorx="page"/>
                            </v:rect>
                          </w:pict>
                        </mc:Fallback>
                      </mc:AlternateContent>
                    </w:r>
                    <w:r w:rsidR="0020511E" w:rsidRPr="007A2F28">
                      <w:t xml:space="preserve">Essex </w:t>
                    </w:r>
                    <w:proofErr w:type="spellStart"/>
                    <w:r w:rsidR="0020511E" w:rsidRPr="007A2F28">
                      <w:t>ActivAte</w:t>
                    </w:r>
                    <w:proofErr w:type="spellEnd"/>
                    <w:r w:rsidR="0020511E" w:rsidRPr="007A2F28">
                      <w:t xml:space="preserve"> </w:t>
                    </w:r>
                  </w:p>
                  <w:p w14:paraId="4E72DE9F" w14:textId="18FB295C" w:rsidR="0020511E" w:rsidRPr="007A2F28" w:rsidRDefault="0020511E" w:rsidP="00885409">
                    <w:pPr>
                      <w:pStyle w:val="Title"/>
                      <w:framePr w:wrap="around"/>
                    </w:pPr>
                    <w:r w:rsidRPr="007A2F28">
                      <w:t>Social Impact and Valuation Report 2022 - 2024</w:t>
                    </w:r>
                  </w:p>
                  <w:p w14:paraId="42A06A80" w14:textId="77777777" w:rsidR="0020511E" w:rsidRPr="007A2F28" w:rsidRDefault="0020511E" w:rsidP="0020511E"/>
                  <w:p w14:paraId="48CD8BDE" w14:textId="3B06DF06" w:rsidR="00473DE6" w:rsidRPr="0020511E" w:rsidRDefault="00473DE6" w:rsidP="0020511E"/>
                </w:tc>
              </w:sdtContent>
            </w:sdt>
          </w:tr>
        </w:tbl>
        <w:p w14:paraId="702AA387" w14:textId="5CCAB5D7" w:rsidR="00473DE6" w:rsidRDefault="00473DE6" w:rsidP="00EF6775">
          <w:pPr>
            <w:spacing w:line="240" w:lineRule="auto"/>
          </w:pPr>
        </w:p>
        <w:p w14:paraId="2ED07864" w14:textId="44AA90FF" w:rsidR="006665CA" w:rsidRDefault="006665CA"/>
        <w:p w14:paraId="0EA76208" w14:textId="0B3989BA" w:rsidR="006665CA" w:rsidRDefault="006665CA"/>
        <w:p w14:paraId="46688E3E" w14:textId="09AF52F8" w:rsidR="00BE3FB1" w:rsidRDefault="00BE3FB1" w:rsidP="00BE3FB1"/>
        <w:p w14:paraId="3425C959" w14:textId="69875A41" w:rsidR="006665CA" w:rsidRDefault="006665CA"/>
        <w:p w14:paraId="28AA3998" w14:textId="5D1313B8" w:rsidR="006665CA" w:rsidRDefault="006665CA"/>
        <w:p w14:paraId="25704307" w14:textId="77777777" w:rsidR="006665CA" w:rsidRDefault="006665CA"/>
        <w:p w14:paraId="5EC82FF8" w14:textId="77777777" w:rsidR="006665CA" w:rsidRDefault="006665CA"/>
        <w:p w14:paraId="7D4A42A7" w14:textId="35C4BEED" w:rsidR="005F3961" w:rsidRDefault="0083162E" w:rsidP="0020511E">
          <w:r w:rsidRPr="002D10C5">
            <w:rPr>
              <w:noProof/>
            </w:rPr>
            <mc:AlternateContent>
              <mc:Choice Requires="wps">
                <w:drawing>
                  <wp:anchor distT="45720" distB="45720" distL="114300" distR="114300" simplePos="0" relativeHeight="251658242" behindDoc="1" locked="0" layoutInCell="1" allowOverlap="1" wp14:anchorId="28796C94" wp14:editId="554728EE">
                    <wp:simplePos x="0" y="0"/>
                    <wp:positionH relativeFrom="column">
                      <wp:posOffset>-110490</wp:posOffset>
                    </wp:positionH>
                    <wp:positionV relativeFrom="paragraph">
                      <wp:posOffset>1974850</wp:posOffset>
                    </wp:positionV>
                    <wp:extent cx="2876550" cy="933450"/>
                    <wp:effectExtent l="0" t="0" r="0" b="0"/>
                    <wp:wrapTight wrapText="bothSides">
                      <wp:wrapPolygon edited="0">
                        <wp:start x="429" y="0"/>
                        <wp:lineTo x="429" y="21159"/>
                        <wp:lineTo x="21028" y="21159"/>
                        <wp:lineTo x="21028" y="0"/>
                        <wp:lineTo x="429"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933450"/>
                            </a:xfrm>
                            <a:prstGeom prst="rect">
                              <a:avLst/>
                            </a:prstGeom>
                            <a:noFill/>
                            <a:ln w="9525">
                              <a:noFill/>
                              <a:miter lim="800000"/>
                              <a:headEnd/>
                              <a:tailEnd/>
                            </a:ln>
                          </wps:spPr>
                          <wps:txbx>
                            <w:txbxContent>
                              <w:p w14:paraId="034B10E8" w14:textId="75177086" w:rsidR="002D10C5" w:rsidRPr="007A2F28" w:rsidRDefault="002D10C5" w:rsidP="00746EFC">
                                <w:pPr>
                                  <w:rPr>
                                    <w:color w:val="FFFFFF" w:themeColor="background1"/>
                                  </w:rPr>
                                </w:pPr>
                                <w:proofErr w:type="spellStart"/>
                                <w:r w:rsidRPr="007A2F28">
                                  <w:rPr>
                                    <w:color w:val="FFFFFF" w:themeColor="background1"/>
                                  </w:rPr>
                                  <w:t>Dr.</w:t>
                                </w:r>
                                <w:proofErr w:type="spellEnd"/>
                                <w:r w:rsidRPr="007A2F28">
                                  <w:rPr>
                                    <w:color w:val="FFFFFF" w:themeColor="background1"/>
                                  </w:rPr>
                                  <w:t xml:space="preserve"> </w:t>
                                </w:r>
                                <w:r w:rsidR="0020511E" w:rsidRPr="007A2F28">
                                  <w:rPr>
                                    <w:color w:val="FFFFFF" w:themeColor="background1"/>
                                  </w:rPr>
                                  <w:t xml:space="preserve">Tim Crabbe </w:t>
                                </w:r>
                              </w:p>
                              <w:p w14:paraId="7EF1193B" w14:textId="2B3A06B1" w:rsidR="0020511E" w:rsidRPr="007A2F28" w:rsidRDefault="0020511E" w:rsidP="00746EFC">
                                <w:pPr>
                                  <w:rPr>
                                    <w:color w:val="FFFFFF" w:themeColor="background1"/>
                                  </w:rPr>
                                </w:pPr>
                                <w:r w:rsidRPr="007A2F28">
                                  <w:rPr>
                                    <w:color w:val="FFFFFF" w:themeColor="background1"/>
                                  </w:rPr>
                                  <w:t xml:space="preserve">Luke Bullock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796C94" id="_x0000_s1027" type="#_x0000_t202" style="position:absolute;margin-left:-8.7pt;margin-top:155.5pt;width:226.5pt;height:73.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" filled="f" stroked="f">
                    <v:textbox>
                      <w:txbxContent>
                        <w:p w14:paraId="034B10E8" w14:textId="75177086" w:rsidR="002D10C5" w:rsidRPr="007A2F28" w:rsidRDefault="002D10C5" w:rsidP="00746EFC">
                          <w:pPr>
                            <w:rPr>
                              <w:color w:val="FFFFFF" w:themeColor="background1"/>
                            </w:rPr>
                          </w:pPr>
                          <w:proofErr w:type="spellStart"/>
                          <w:r w:rsidRPr="007A2F28">
                            <w:rPr>
                              <w:color w:val="FFFFFF" w:themeColor="background1"/>
                            </w:rPr>
                            <w:t>Dr.</w:t>
                          </w:r>
                          <w:proofErr w:type="spellEnd"/>
                          <w:r w:rsidRPr="007A2F28">
                            <w:rPr>
                              <w:color w:val="FFFFFF" w:themeColor="background1"/>
                            </w:rPr>
                            <w:t xml:space="preserve"> </w:t>
                          </w:r>
                          <w:r w:rsidR="0020511E" w:rsidRPr="007A2F28">
                            <w:rPr>
                              <w:color w:val="FFFFFF" w:themeColor="background1"/>
                            </w:rPr>
                            <w:t xml:space="preserve">Tim Crabbe </w:t>
                          </w:r>
                        </w:p>
                        <w:p w14:paraId="7EF1193B" w14:textId="2B3A06B1" w:rsidR="0020511E" w:rsidRPr="007A2F28" w:rsidRDefault="0020511E" w:rsidP="00746EFC">
                          <w:pPr>
                            <w:rPr>
                              <w:color w:val="FFFFFF" w:themeColor="background1"/>
                            </w:rPr>
                          </w:pPr>
                          <w:r w:rsidRPr="007A2F28">
                            <w:rPr>
                              <w:color w:val="FFFFFF" w:themeColor="background1"/>
                            </w:rPr>
                            <w:t xml:space="preserve">Luke Bullock </w:t>
                          </w:r>
                        </w:p>
                      </w:txbxContent>
                    </v:textbox>
                    <w10:wrap type="tight"/>
                  </v:shape>
                </w:pict>
              </mc:Fallback>
            </mc:AlternateContent>
          </w:r>
          <w:r w:rsidRPr="002D10C5">
            <w:rPr>
              <w:noProof/>
            </w:rPr>
            <mc:AlternateContent>
              <mc:Choice Requires="wps">
                <w:drawing>
                  <wp:anchor distT="45720" distB="45720" distL="114300" distR="114300" simplePos="0" relativeHeight="251658241" behindDoc="1" locked="0" layoutInCell="1" allowOverlap="1" wp14:anchorId="25FA1106" wp14:editId="056BCF80">
                    <wp:simplePos x="0" y="0"/>
                    <wp:positionH relativeFrom="column">
                      <wp:posOffset>-110490</wp:posOffset>
                    </wp:positionH>
                    <wp:positionV relativeFrom="paragraph">
                      <wp:posOffset>1803400</wp:posOffset>
                    </wp:positionV>
                    <wp:extent cx="2876550" cy="342900"/>
                    <wp:effectExtent l="0" t="0" r="0" b="0"/>
                    <wp:wrapTight wrapText="bothSides">
                      <wp:wrapPolygon edited="0">
                        <wp:start x="429" y="0"/>
                        <wp:lineTo x="429" y="20400"/>
                        <wp:lineTo x="21028" y="20400"/>
                        <wp:lineTo x="21028" y="0"/>
                        <wp:lineTo x="429"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342900"/>
                            </a:xfrm>
                            <a:prstGeom prst="rect">
                              <a:avLst/>
                            </a:prstGeom>
                            <a:noFill/>
                            <a:ln w="9525">
                              <a:noFill/>
                              <a:miter lim="800000"/>
                              <a:headEnd/>
                              <a:tailEnd/>
                            </a:ln>
                          </wps:spPr>
                          <wps:txbx>
                            <w:txbxContent>
                              <w:p w14:paraId="784A69B7" w14:textId="77777777" w:rsidR="002D10C5" w:rsidRPr="000B7196" w:rsidRDefault="002D10C5" w:rsidP="000B7196">
                                <w:pPr>
                                  <w:pStyle w:val="BrightGreenheading"/>
                                </w:pPr>
                                <w:r w:rsidRPr="000B7196">
                                  <w:t>Report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A1106" id="_x0000_s1028" type="#_x0000_t202" style="position:absolute;margin-left:-8.7pt;margin-top:142pt;width:226.5pt;height:27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" filled="f" stroked="f">
                    <v:textbox>
                      <w:txbxContent>
                        <w:p w14:paraId="784A69B7" w14:textId="77777777" w:rsidR="002D10C5" w:rsidRPr="000B7196" w:rsidRDefault="002D10C5" w:rsidP="000B7196">
                          <w:pPr>
                            <w:pStyle w:val="BrightGreenheading"/>
                          </w:pPr>
                          <w:r w:rsidRPr="000B7196">
                            <w:t>Report by</w:t>
                          </w:r>
                        </w:p>
                      </w:txbxContent>
                    </v:textbox>
                    <w10:wrap type="tight"/>
                  </v:shape>
                </w:pict>
              </mc:Fallback>
            </mc:AlternateContent>
          </w:r>
          <w:r w:rsidR="00AA1DCA">
            <w:br w:type="page"/>
          </w:r>
        </w:p>
      </w:sdtContent>
    </w:sdt>
    <w:p w14:paraId="24EBF87B" w14:textId="6A2960E9" w:rsidR="00404F78" w:rsidRDefault="0020511E" w:rsidP="00E90407">
      <w:pPr>
        <w:pStyle w:val="Heading1"/>
      </w:pPr>
      <w:r>
        <w:lastRenderedPageBreak/>
        <w:t xml:space="preserve">Contents </w:t>
      </w:r>
    </w:p>
    <w:p w14:paraId="1AA5C6EF" w14:textId="77777777" w:rsidR="0020511E" w:rsidRDefault="0020511E" w:rsidP="0020511E"/>
    <w:tbl>
      <w:tblPr>
        <w:tblStyle w:val="Substance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507"/>
      </w:tblGrid>
      <w:tr w:rsidR="0020511E" w:rsidRPr="0020511E" w14:paraId="22B1C29C" w14:textId="77777777" w:rsidTr="00D21626">
        <w:tc>
          <w:tcPr>
            <w:tcW w:w="7513" w:type="dxa"/>
          </w:tcPr>
          <w:p w14:paraId="3A6975EB" w14:textId="77777777" w:rsidR="0020511E" w:rsidRPr="0020511E" w:rsidRDefault="0020511E" w:rsidP="0020511E">
            <w:pPr>
              <w:spacing w:before="0" w:after="0"/>
              <w:rPr>
                <w:rFonts w:eastAsia="Times New Roman" w:cs="Open Sans"/>
                <w:b/>
                <w:bCs/>
                <w:lang w:eastAsia="en-GB"/>
              </w:rPr>
            </w:pPr>
          </w:p>
        </w:tc>
        <w:tc>
          <w:tcPr>
            <w:tcW w:w="1507" w:type="dxa"/>
          </w:tcPr>
          <w:p w14:paraId="7ADD9BDF" w14:textId="77777777" w:rsidR="0020511E" w:rsidRPr="0020511E" w:rsidRDefault="0020511E" w:rsidP="0020511E">
            <w:pPr>
              <w:spacing w:before="0" w:after="0"/>
              <w:jc w:val="right"/>
              <w:rPr>
                <w:rFonts w:eastAsia="Times New Roman" w:cs="Open Sans"/>
                <w:b/>
                <w:bCs/>
                <w:lang w:eastAsia="en-GB"/>
              </w:rPr>
            </w:pPr>
            <w:r w:rsidRPr="0020511E">
              <w:rPr>
                <w:rFonts w:eastAsia="Times New Roman" w:cs="Open Sans"/>
                <w:b/>
                <w:bCs/>
                <w:lang w:eastAsia="en-GB"/>
              </w:rPr>
              <w:t>Page</w:t>
            </w:r>
          </w:p>
        </w:tc>
      </w:tr>
      <w:tr w:rsidR="0020511E" w:rsidRPr="0020511E" w14:paraId="4C1F5746" w14:textId="77777777" w:rsidTr="00D21626">
        <w:tc>
          <w:tcPr>
            <w:tcW w:w="7513" w:type="dxa"/>
          </w:tcPr>
          <w:p w14:paraId="1883933F" w14:textId="77777777" w:rsidR="0020511E" w:rsidRPr="0020511E" w:rsidRDefault="0020511E" w:rsidP="0020511E">
            <w:pPr>
              <w:spacing w:before="0" w:after="0"/>
              <w:rPr>
                <w:rFonts w:eastAsia="Times New Roman" w:cs="Open Sans"/>
                <w:b/>
                <w:bCs/>
                <w:lang w:eastAsia="en-GB"/>
              </w:rPr>
            </w:pPr>
            <w:r w:rsidRPr="0020511E">
              <w:rPr>
                <w:rFonts w:eastAsia="Times New Roman" w:cs="Open Sans"/>
                <w:b/>
                <w:bCs/>
                <w:lang w:eastAsia="en-GB"/>
              </w:rPr>
              <w:t>Contents</w:t>
            </w:r>
            <w:r w:rsidRPr="0020511E">
              <w:rPr>
                <w:rFonts w:eastAsia="Times New Roman" w:cs="Open Sans"/>
                <w:b/>
                <w:bCs/>
                <w:lang w:eastAsia="en-GB"/>
              </w:rPr>
              <w:tab/>
            </w:r>
          </w:p>
        </w:tc>
        <w:tc>
          <w:tcPr>
            <w:tcW w:w="1507" w:type="dxa"/>
          </w:tcPr>
          <w:p w14:paraId="0AB490B0" w14:textId="77777777" w:rsidR="0020511E" w:rsidRPr="0020511E" w:rsidRDefault="0020511E" w:rsidP="0020511E">
            <w:pPr>
              <w:spacing w:before="0" w:after="0"/>
              <w:jc w:val="right"/>
              <w:rPr>
                <w:rFonts w:eastAsia="Times New Roman" w:cs="Open Sans"/>
                <w:b/>
                <w:bCs/>
                <w:lang w:eastAsia="en-GB"/>
              </w:rPr>
            </w:pPr>
            <w:r w:rsidRPr="0020511E">
              <w:rPr>
                <w:rFonts w:eastAsia="Times New Roman" w:cs="Open Sans"/>
                <w:b/>
                <w:bCs/>
                <w:lang w:eastAsia="en-GB"/>
              </w:rPr>
              <w:t>2</w:t>
            </w:r>
          </w:p>
        </w:tc>
      </w:tr>
      <w:tr w:rsidR="0020511E" w:rsidRPr="0020511E" w14:paraId="2A883BD3" w14:textId="77777777" w:rsidTr="00D21626">
        <w:tc>
          <w:tcPr>
            <w:tcW w:w="7513" w:type="dxa"/>
          </w:tcPr>
          <w:p w14:paraId="69640021" w14:textId="77777777" w:rsidR="0020511E" w:rsidRPr="0020511E" w:rsidRDefault="0020511E" w:rsidP="0020511E">
            <w:pPr>
              <w:spacing w:before="0" w:after="0"/>
              <w:rPr>
                <w:rFonts w:eastAsia="Times New Roman" w:cs="Open Sans"/>
                <w:b/>
                <w:bCs/>
                <w:lang w:eastAsia="en-GB"/>
              </w:rPr>
            </w:pPr>
            <w:r w:rsidRPr="0020511E">
              <w:rPr>
                <w:rFonts w:eastAsia="Times New Roman" w:cs="Open Sans"/>
                <w:b/>
                <w:bCs/>
                <w:lang w:eastAsia="en-GB"/>
              </w:rPr>
              <w:t>Executive Summary</w:t>
            </w:r>
          </w:p>
        </w:tc>
        <w:tc>
          <w:tcPr>
            <w:tcW w:w="1507" w:type="dxa"/>
          </w:tcPr>
          <w:p w14:paraId="3C65DAD0" w14:textId="77777777" w:rsidR="0020511E" w:rsidRPr="0020511E" w:rsidRDefault="0020511E" w:rsidP="0020511E">
            <w:pPr>
              <w:spacing w:before="0" w:after="0"/>
              <w:jc w:val="right"/>
              <w:rPr>
                <w:rFonts w:eastAsia="Times New Roman" w:cs="Open Sans"/>
                <w:b/>
                <w:bCs/>
                <w:lang w:eastAsia="en-GB"/>
              </w:rPr>
            </w:pPr>
            <w:r w:rsidRPr="0020511E">
              <w:rPr>
                <w:rFonts w:eastAsia="Times New Roman" w:cs="Open Sans"/>
                <w:b/>
                <w:bCs/>
                <w:lang w:eastAsia="en-GB"/>
              </w:rPr>
              <w:t>3</w:t>
            </w:r>
          </w:p>
        </w:tc>
      </w:tr>
      <w:tr w:rsidR="0020511E" w:rsidRPr="0020511E" w14:paraId="569A4493" w14:textId="77777777" w:rsidTr="00D21626">
        <w:tc>
          <w:tcPr>
            <w:tcW w:w="7513" w:type="dxa"/>
          </w:tcPr>
          <w:p w14:paraId="476BD476" w14:textId="77777777" w:rsidR="0020511E" w:rsidRPr="0020511E" w:rsidRDefault="0020511E" w:rsidP="0020511E">
            <w:pPr>
              <w:spacing w:before="0" w:after="0"/>
              <w:rPr>
                <w:rFonts w:eastAsia="Times New Roman" w:cs="Open Sans"/>
                <w:b/>
                <w:bCs/>
                <w:lang w:eastAsia="en-GB"/>
              </w:rPr>
            </w:pPr>
            <w:r w:rsidRPr="0020511E">
              <w:rPr>
                <w:rFonts w:eastAsia="Times New Roman" w:cs="Open Sans"/>
                <w:b/>
                <w:bCs/>
                <w:lang w:eastAsia="en-GB"/>
              </w:rPr>
              <w:t>1.0 Introduction</w:t>
            </w:r>
          </w:p>
        </w:tc>
        <w:tc>
          <w:tcPr>
            <w:tcW w:w="1507" w:type="dxa"/>
          </w:tcPr>
          <w:p w14:paraId="0EC27F4C" w14:textId="7A315CB3" w:rsidR="0020511E" w:rsidRPr="0020511E" w:rsidRDefault="00134E78" w:rsidP="0020511E">
            <w:pPr>
              <w:spacing w:before="0" w:after="0"/>
              <w:jc w:val="right"/>
              <w:rPr>
                <w:rFonts w:eastAsia="Times New Roman" w:cs="Open Sans"/>
                <w:b/>
                <w:bCs/>
                <w:lang w:eastAsia="en-GB"/>
              </w:rPr>
            </w:pPr>
            <w:r>
              <w:rPr>
                <w:rFonts w:eastAsia="Times New Roman" w:cs="Open Sans"/>
                <w:b/>
                <w:bCs/>
                <w:lang w:eastAsia="en-GB"/>
              </w:rPr>
              <w:t>4</w:t>
            </w:r>
          </w:p>
        </w:tc>
      </w:tr>
      <w:tr w:rsidR="0020511E" w:rsidRPr="0020511E" w14:paraId="3A6F6A7E" w14:textId="77777777" w:rsidTr="00D21626">
        <w:tc>
          <w:tcPr>
            <w:tcW w:w="7513" w:type="dxa"/>
          </w:tcPr>
          <w:p w14:paraId="77459D8E" w14:textId="77777777" w:rsidR="0020511E" w:rsidRPr="0020511E" w:rsidRDefault="0020511E" w:rsidP="0020511E">
            <w:pPr>
              <w:spacing w:before="0" w:after="0"/>
              <w:rPr>
                <w:rFonts w:eastAsia="Times New Roman" w:cs="Open Sans"/>
                <w:b/>
                <w:bCs/>
                <w:lang w:eastAsia="en-GB"/>
              </w:rPr>
            </w:pPr>
            <w:r w:rsidRPr="0020511E">
              <w:rPr>
                <w:rFonts w:eastAsia="Times New Roman" w:cs="Open Sans"/>
                <w:b/>
                <w:bCs/>
                <w:lang w:eastAsia="en-GB"/>
              </w:rPr>
              <w:t>2.0 Methodology</w:t>
            </w:r>
          </w:p>
        </w:tc>
        <w:tc>
          <w:tcPr>
            <w:tcW w:w="1507" w:type="dxa"/>
          </w:tcPr>
          <w:p w14:paraId="44BA4ED7" w14:textId="2822F33D" w:rsidR="0020511E" w:rsidRPr="0020511E" w:rsidRDefault="00134E78" w:rsidP="0020511E">
            <w:pPr>
              <w:spacing w:before="0" w:after="0"/>
              <w:jc w:val="right"/>
              <w:rPr>
                <w:rFonts w:eastAsia="Times New Roman" w:cs="Open Sans"/>
                <w:b/>
                <w:bCs/>
                <w:lang w:eastAsia="en-GB"/>
              </w:rPr>
            </w:pPr>
            <w:r>
              <w:rPr>
                <w:rFonts w:eastAsia="Times New Roman" w:cs="Open Sans"/>
                <w:b/>
                <w:bCs/>
                <w:lang w:eastAsia="en-GB"/>
              </w:rPr>
              <w:t>5</w:t>
            </w:r>
          </w:p>
        </w:tc>
      </w:tr>
      <w:tr w:rsidR="0020511E" w:rsidRPr="0020511E" w14:paraId="7827FA38" w14:textId="77777777" w:rsidTr="00D21626">
        <w:tc>
          <w:tcPr>
            <w:tcW w:w="7513" w:type="dxa"/>
          </w:tcPr>
          <w:p w14:paraId="5F553C30" w14:textId="77777777" w:rsidR="0020511E" w:rsidRPr="0020511E" w:rsidRDefault="0020511E" w:rsidP="0020511E">
            <w:pPr>
              <w:spacing w:before="0" w:after="0"/>
              <w:rPr>
                <w:rFonts w:eastAsia="Times New Roman" w:cs="Open Sans"/>
                <w:b/>
                <w:bCs/>
                <w:lang w:eastAsia="en-GB"/>
              </w:rPr>
            </w:pPr>
            <w:r w:rsidRPr="0020511E">
              <w:rPr>
                <w:rFonts w:eastAsia="Times New Roman" w:cs="Open Sans"/>
                <w:b/>
                <w:bCs/>
                <w:lang w:eastAsia="en-GB"/>
              </w:rPr>
              <w:t xml:space="preserve">3.0 Theory of Change </w:t>
            </w:r>
          </w:p>
        </w:tc>
        <w:tc>
          <w:tcPr>
            <w:tcW w:w="1507" w:type="dxa"/>
          </w:tcPr>
          <w:p w14:paraId="63F2E42A" w14:textId="6200E97A" w:rsidR="0020511E" w:rsidRPr="0020511E" w:rsidRDefault="00134E78" w:rsidP="0020511E">
            <w:pPr>
              <w:spacing w:before="0" w:after="0"/>
              <w:jc w:val="right"/>
              <w:rPr>
                <w:rFonts w:eastAsia="Times New Roman" w:cs="Open Sans"/>
                <w:b/>
                <w:bCs/>
                <w:lang w:eastAsia="en-GB"/>
              </w:rPr>
            </w:pPr>
            <w:r>
              <w:rPr>
                <w:rFonts w:eastAsia="Times New Roman" w:cs="Open Sans"/>
                <w:b/>
                <w:bCs/>
                <w:lang w:eastAsia="en-GB"/>
              </w:rPr>
              <w:t>9</w:t>
            </w:r>
          </w:p>
        </w:tc>
      </w:tr>
      <w:tr w:rsidR="0020511E" w:rsidRPr="0020511E" w14:paraId="16A73401" w14:textId="77777777" w:rsidTr="00D21626">
        <w:tc>
          <w:tcPr>
            <w:tcW w:w="7513" w:type="dxa"/>
          </w:tcPr>
          <w:p w14:paraId="30B723D1" w14:textId="65C80127" w:rsidR="0020511E" w:rsidRPr="0020511E" w:rsidRDefault="0020511E" w:rsidP="0020511E">
            <w:pPr>
              <w:spacing w:before="0" w:after="0"/>
              <w:rPr>
                <w:rFonts w:eastAsia="Times New Roman" w:cs="Open Sans"/>
                <w:b/>
                <w:bCs/>
                <w:lang w:eastAsia="en-GB"/>
              </w:rPr>
            </w:pPr>
            <w:r w:rsidRPr="0020511E">
              <w:rPr>
                <w:rFonts w:eastAsia="Times New Roman" w:cs="Open Sans"/>
                <w:b/>
                <w:bCs/>
                <w:lang w:eastAsia="en-GB"/>
              </w:rPr>
              <w:t xml:space="preserve">4.0 </w:t>
            </w:r>
            <w:r w:rsidR="00712DC9">
              <w:rPr>
                <w:rFonts w:eastAsia="Times New Roman" w:cs="Open Sans"/>
                <w:b/>
                <w:bCs/>
                <w:lang w:eastAsia="en-GB"/>
              </w:rPr>
              <w:t>Health, Social and Economic Impacts</w:t>
            </w:r>
          </w:p>
        </w:tc>
        <w:tc>
          <w:tcPr>
            <w:tcW w:w="1507" w:type="dxa"/>
          </w:tcPr>
          <w:p w14:paraId="7CE5CAEF" w14:textId="0F5B38CA" w:rsidR="0020511E" w:rsidRPr="0020511E" w:rsidRDefault="00712DC9" w:rsidP="0020511E">
            <w:pPr>
              <w:spacing w:before="0" w:after="0"/>
              <w:jc w:val="right"/>
              <w:rPr>
                <w:rFonts w:eastAsia="Times New Roman" w:cs="Open Sans"/>
                <w:b/>
                <w:bCs/>
                <w:lang w:eastAsia="en-GB"/>
              </w:rPr>
            </w:pPr>
            <w:r>
              <w:rPr>
                <w:rFonts w:eastAsia="Times New Roman" w:cs="Open Sans"/>
                <w:b/>
                <w:bCs/>
                <w:lang w:eastAsia="en-GB"/>
              </w:rPr>
              <w:t>10</w:t>
            </w:r>
          </w:p>
        </w:tc>
      </w:tr>
      <w:tr w:rsidR="0020511E" w:rsidRPr="0020511E" w14:paraId="74F3C55F" w14:textId="77777777" w:rsidTr="00D21626">
        <w:tc>
          <w:tcPr>
            <w:tcW w:w="7513" w:type="dxa"/>
          </w:tcPr>
          <w:p w14:paraId="2782C389" w14:textId="77777777" w:rsidR="0020511E" w:rsidRPr="0020511E" w:rsidRDefault="0020511E" w:rsidP="0020511E">
            <w:pPr>
              <w:spacing w:before="0" w:after="0"/>
              <w:rPr>
                <w:rFonts w:eastAsia="Times New Roman" w:cs="Open Sans"/>
                <w:b/>
                <w:bCs/>
                <w:lang w:eastAsia="en-GB"/>
              </w:rPr>
            </w:pPr>
            <w:r w:rsidRPr="0020511E">
              <w:rPr>
                <w:rFonts w:eastAsia="Times New Roman" w:cs="Open Sans"/>
                <w:b/>
                <w:bCs/>
                <w:lang w:eastAsia="en-GB"/>
              </w:rPr>
              <w:t xml:space="preserve">5.0 Valuations </w:t>
            </w:r>
          </w:p>
        </w:tc>
        <w:tc>
          <w:tcPr>
            <w:tcW w:w="1507" w:type="dxa"/>
          </w:tcPr>
          <w:p w14:paraId="5E9428F2" w14:textId="647C34B7" w:rsidR="0020511E" w:rsidRPr="0020511E" w:rsidRDefault="00712DC9" w:rsidP="0020511E">
            <w:pPr>
              <w:spacing w:before="0" w:after="0"/>
              <w:jc w:val="right"/>
              <w:rPr>
                <w:rFonts w:eastAsia="Times New Roman" w:cs="Open Sans"/>
                <w:b/>
                <w:bCs/>
                <w:lang w:eastAsia="en-GB"/>
              </w:rPr>
            </w:pPr>
            <w:r>
              <w:rPr>
                <w:rFonts w:eastAsia="Times New Roman" w:cs="Open Sans"/>
                <w:b/>
                <w:bCs/>
                <w:lang w:eastAsia="en-GB"/>
              </w:rPr>
              <w:t>1</w:t>
            </w:r>
            <w:r w:rsidR="00F81723">
              <w:rPr>
                <w:rFonts w:eastAsia="Times New Roman" w:cs="Open Sans"/>
                <w:b/>
                <w:bCs/>
                <w:lang w:eastAsia="en-GB"/>
              </w:rPr>
              <w:t>6</w:t>
            </w:r>
          </w:p>
        </w:tc>
      </w:tr>
      <w:tr w:rsidR="0020511E" w:rsidRPr="0020511E" w14:paraId="78DEEC89" w14:textId="77777777" w:rsidTr="00D21626">
        <w:tc>
          <w:tcPr>
            <w:tcW w:w="7513" w:type="dxa"/>
          </w:tcPr>
          <w:p w14:paraId="276A62CA" w14:textId="77777777" w:rsidR="0020511E" w:rsidRPr="0020511E" w:rsidRDefault="0020511E" w:rsidP="0020511E">
            <w:pPr>
              <w:spacing w:before="0" w:after="0"/>
              <w:rPr>
                <w:rFonts w:eastAsia="Times New Roman" w:cs="Open Sans"/>
                <w:b/>
                <w:bCs/>
                <w:lang w:eastAsia="en-GB"/>
              </w:rPr>
            </w:pPr>
            <w:r w:rsidRPr="0020511E">
              <w:rPr>
                <w:rFonts w:eastAsia="Times New Roman" w:cs="Open Sans"/>
                <w:b/>
                <w:bCs/>
                <w:lang w:eastAsia="en-GB"/>
              </w:rPr>
              <w:t xml:space="preserve">Appendix 1: Methods, Assumptions and Data Sources </w:t>
            </w:r>
          </w:p>
        </w:tc>
        <w:tc>
          <w:tcPr>
            <w:tcW w:w="1507" w:type="dxa"/>
          </w:tcPr>
          <w:p w14:paraId="375CA97D" w14:textId="5AF85011" w:rsidR="0020511E" w:rsidRPr="0020511E" w:rsidRDefault="00F81723" w:rsidP="0020511E">
            <w:pPr>
              <w:spacing w:before="0" w:after="0"/>
              <w:jc w:val="right"/>
              <w:rPr>
                <w:rFonts w:eastAsia="Times New Roman" w:cs="Open Sans"/>
                <w:b/>
                <w:bCs/>
                <w:lang w:eastAsia="en-GB"/>
              </w:rPr>
            </w:pPr>
            <w:r>
              <w:rPr>
                <w:rFonts w:eastAsia="Times New Roman" w:cs="Open Sans"/>
                <w:b/>
                <w:bCs/>
                <w:lang w:eastAsia="en-GB"/>
              </w:rPr>
              <w:t>19</w:t>
            </w:r>
          </w:p>
        </w:tc>
      </w:tr>
      <w:tr w:rsidR="0020511E" w:rsidRPr="0020511E" w14:paraId="1D48DE53" w14:textId="77777777" w:rsidTr="00D21626">
        <w:tc>
          <w:tcPr>
            <w:tcW w:w="7513" w:type="dxa"/>
          </w:tcPr>
          <w:p w14:paraId="4D3FA99D" w14:textId="5D942452" w:rsidR="0020511E" w:rsidRPr="0020511E" w:rsidRDefault="0020511E" w:rsidP="0020511E">
            <w:pPr>
              <w:spacing w:before="0" w:after="0"/>
              <w:rPr>
                <w:rFonts w:eastAsia="Times New Roman" w:cs="Open Sans"/>
                <w:b/>
                <w:bCs/>
                <w:lang w:eastAsia="en-GB"/>
              </w:rPr>
            </w:pPr>
            <w:r w:rsidRPr="0020511E">
              <w:rPr>
                <w:rFonts w:eastAsia="Times New Roman" w:cs="Open Sans"/>
                <w:b/>
                <w:bCs/>
                <w:lang w:eastAsia="en-GB"/>
              </w:rPr>
              <w:t xml:space="preserve">Appendix 2: Glossary of Terms </w:t>
            </w:r>
          </w:p>
        </w:tc>
        <w:tc>
          <w:tcPr>
            <w:tcW w:w="1507" w:type="dxa"/>
          </w:tcPr>
          <w:p w14:paraId="1E5AD277" w14:textId="2A711660" w:rsidR="0020511E" w:rsidRPr="0020511E" w:rsidRDefault="00F81723" w:rsidP="0020511E">
            <w:pPr>
              <w:spacing w:before="0" w:after="0"/>
              <w:jc w:val="right"/>
              <w:rPr>
                <w:rFonts w:eastAsia="Times New Roman" w:cs="Open Sans"/>
                <w:b/>
                <w:bCs/>
                <w:lang w:eastAsia="en-GB"/>
              </w:rPr>
            </w:pPr>
            <w:r>
              <w:rPr>
                <w:rFonts w:eastAsia="Times New Roman" w:cs="Open Sans"/>
                <w:b/>
                <w:bCs/>
                <w:lang w:eastAsia="en-GB"/>
              </w:rPr>
              <w:t>22</w:t>
            </w:r>
          </w:p>
        </w:tc>
      </w:tr>
    </w:tbl>
    <w:p w14:paraId="3BD4410C" w14:textId="77777777" w:rsidR="0020511E" w:rsidRDefault="0020511E" w:rsidP="0020511E"/>
    <w:p w14:paraId="4650487D" w14:textId="77777777" w:rsidR="0020511E" w:rsidRDefault="0020511E" w:rsidP="0020511E"/>
    <w:p w14:paraId="55E148D0" w14:textId="77777777" w:rsidR="0020511E" w:rsidRDefault="0020511E" w:rsidP="0020511E"/>
    <w:p w14:paraId="7AE479F5" w14:textId="77777777" w:rsidR="0020511E" w:rsidRDefault="0020511E" w:rsidP="0020511E"/>
    <w:p w14:paraId="4E56E6F7" w14:textId="77777777" w:rsidR="0020511E" w:rsidRDefault="0020511E" w:rsidP="0020511E"/>
    <w:p w14:paraId="2689B80D" w14:textId="77777777" w:rsidR="0020511E" w:rsidRDefault="0020511E" w:rsidP="0020511E"/>
    <w:p w14:paraId="5479EB63" w14:textId="77777777" w:rsidR="0020511E" w:rsidRDefault="0020511E" w:rsidP="0020511E"/>
    <w:p w14:paraId="3B8F44F5" w14:textId="77777777" w:rsidR="0020511E" w:rsidRDefault="0020511E" w:rsidP="0020511E"/>
    <w:p w14:paraId="1A84380F" w14:textId="77777777" w:rsidR="0020511E" w:rsidRDefault="0020511E" w:rsidP="0020511E"/>
    <w:p w14:paraId="61C02B98" w14:textId="77777777" w:rsidR="0020511E" w:rsidRDefault="0020511E" w:rsidP="0020511E"/>
    <w:p w14:paraId="78980DD0" w14:textId="77777777" w:rsidR="0020511E" w:rsidRDefault="0020511E" w:rsidP="0020511E"/>
    <w:p w14:paraId="2AA1BB66" w14:textId="77777777" w:rsidR="0020511E" w:rsidRDefault="0020511E" w:rsidP="0020511E"/>
    <w:p w14:paraId="06225401" w14:textId="77777777" w:rsidR="0020511E" w:rsidRDefault="0020511E" w:rsidP="0020511E"/>
    <w:p w14:paraId="2E787696" w14:textId="77777777" w:rsidR="0020511E" w:rsidRDefault="0020511E" w:rsidP="0020511E"/>
    <w:p w14:paraId="28A15501" w14:textId="77777777" w:rsidR="0020511E" w:rsidRDefault="0020511E" w:rsidP="0020511E"/>
    <w:p w14:paraId="480CB2A7" w14:textId="77777777" w:rsidR="0020511E" w:rsidRDefault="0020511E" w:rsidP="0020511E"/>
    <w:p w14:paraId="55877A47" w14:textId="77777777" w:rsidR="0020511E" w:rsidRDefault="0020511E" w:rsidP="0020511E"/>
    <w:p w14:paraId="2435EE4C" w14:textId="77777777" w:rsidR="0020511E" w:rsidRDefault="0020511E" w:rsidP="0020511E"/>
    <w:p w14:paraId="5B5EA797" w14:textId="77777777" w:rsidR="0020511E" w:rsidRDefault="0020511E" w:rsidP="0020511E"/>
    <w:p w14:paraId="359C2E15" w14:textId="77777777" w:rsidR="00F81723" w:rsidRDefault="00F81723" w:rsidP="00E90407">
      <w:pPr>
        <w:pStyle w:val="Heading1"/>
      </w:pPr>
    </w:p>
    <w:p w14:paraId="46A1B3D9" w14:textId="4F74242A" w:rsidR="0020511E" w:rsidRDefault="0020511E" w:rsidP="00E90407">
      <w:pPr>
        <w:pStyle w:val="Heading1"/>
      </w:pPr>
      <w:r>
        <w:t>Executive Summary</w:t>
      </w:r>
    </w:p>
    <w:p w14:paraId="721C36D6" w14:textId="77777777" w:rsidR="0020511E" w:rsidRDefault="0020511E" w:rsidP="0020511E"/>
    <w:p w14:paraId="5C9CDC64" w14:textId="098D81A5" w:rsidR="0020511E" w:rsidRPr="00517646" w:rsidRDefault="00AF6C0C" w:rsidP="0020511E">
      <w:r w:rsidRPr="00517646">
        <w:t xml:space="preserve">In this report we present the findings of a Social Return on Investment study focused on the Essex HAF programme, Essex </w:t>
      </w:r>
      <w:proofErr w:type="spellStart"/>
      <w:r w:rsidRPr="00517646">
        <w:t>ActivAte</w:t>
      </w:r>
      <w:proofErr w:type="spellEnd"/>
      <w:r w:rsidRPr="00517646">
        <w:t>.</w:t>
      </w:r>
    </w:p>
    <w:p w14:paraId="3B4C52CA" w14:textId="15E63673" w:rsidR="00AF6C0C" w:rsidRPr="00517646" w:rsidRDefault="00AF6C0C" w:rsidP="0020511E">
      <w:r w:rsidRPr="00517646">
        <w:t>Findings are presented in relation to three periods:</w:t>
      </w:r>
    </w:p>
    <w:p w14:paraId="5867E446" w14:textId="497A5F5C" w:rsidR="00AF6C0C" w:rsidRPr="00517646" w:rsidRDefault="00AF6C0C" w:rsidP="00AF6C0C">
      <w:pPr>
        <w:pStyle w:val="ListParagraph"/>
        <w:numPr>
          <w:ilvl w:val="0"/>
          <w:numId w:val="25"/>
        </w:numPr>
      </w:pPr>
      <w:r w:rsidRPr="00517646">
        <w:t>Easter 2024</w:t>
      </w:r>
    </w:p>
    <w:p w14:paraId="52AC2452" w14:textId="0AA517CA" w:rsidR="00AF6C0C" w:rsidRPr="00517646" w:rsidRDefault="00AF6C0C" w:rsidP="00AF6C0C">
      <w:pPr>
        <w:pStyle w:val="ListParagraph"/>
        <w:numPr>
          <w:ilvl w:val="0"/>
          <w:numId w:val="25"/>
        </w:numPr>
      </w:pPr>
      <w:r w:rsidRPr="00517646">
        <w:t>All provision during 2023 including half term holiday provision</w:t>
      </w:r>
    </w:p>
    <w:p w14:paraId="40E65416" w14:textId="1C61CAF8" w:rsidR="00AF6C0C" w:rsidRPr="00517646" w:rsidRDefault="00AF6C0C" w:rsidP="00AF6C0C">
      <w:pPr>
        <w:pStyle w:val="ListParagraph"/>
        <w:numPr>
          <w:ilvl w:val="0"/>
          <w:numId w:val="25"/>
        </w:numPr>
      </w:pPr>
      <w:r w:rsidRPr="00517646">
        <w:t>Provision during the Easter, Summer and Winter holidays in 2022</w:t>
      </w:r>
    </w:p>
    <w:p w14:paraId="7C7D9AFA" w14:textId="56A81C2B" w:rsidR="00AF6C0C" w:rsidRPr="00517646" w:rsidRDefault="00AF6C0C" w:rsidP="0020511E">
      <w:r w:rsidRPr="00517646">
        <w:t xml:space="preserve">Whilst it was possible to define bespoke measurements and deploy related data collection instruments to support the analysis for Easter 2024, this was not possible for the 2022 and 2023 valuations. It was possible to make use of some legacy monitoring data for these </w:t>
      </w:r>
      <w:proofErr w:type="gramStart"/>
      <w:r w:rsidRPr="00517646">
        <w:t>periods</w:t>
      </w:r>
      <w:proofErr w:type="gramEnd"/>
      <w:r w:rsidRPr="00517646">
        <w:t xml:space="preserve"> but the study was also reliant on a degree of modelling from the Easter 2024 data for some of the assessments relating to earlier periods. In this </w:t>
      </w:r>
      <w:proofErr w:type="gramStart"/>
      <w:r w:rsidRPr="00517646">
        <w:t>context</w:t>
      </w:r>
      <w:proofErr w:type="gramEnd"/>
      <w:r w:rsidRPr="00517646">
        <w:t xml:space="preserve"> the Easter 2024 results should be regarded as the most reliable and authoritative, with the valuations from 2022 and 2023 seen as supplementary. </w:t>
      </w:r>
    </w:p>
    <w:p w14:paraId="5F269ABE" w14:textId="283B5FE9" w:rsidR="00AF6C0C" w:rsidRPr="00517646" w:rsidRDefault="00AF6C0C" w:rsidP="0020511E">
      <w:r w:rsidRPr="00517646">
        <w:t>This is also reflected in the more detailed reporting of social impact evidence for Easter 2024 than was possible for the other periods and the inclusion of additional outcome measures.</w:t>
      </w:r>
    </w:p>
    <w:p w14:paraId="3C1CF1B3" w14:textId="77777777" w:rsidR="00B274A6" w:rsidRPr="00517646" w:rsidRDefault="00AF6C0C" w:rsidP="0020511E">
      <w:r w:rsidRPr="00517646">
        <w:t xml:space="preserve">All three valuations should be regarded as </w:t>
      </w:r>
      <w:r w:rsidR="00B274A6" w:rsidRPr="00517646">
        <w:t xml:space="preserve">conservative, based on what it has been possible to measure and relating to the benefits accrued from the period of participation rather than wider legacy effects. </w:t>
      </w:r>
    </w:p>
    <w:p w14:paraId="5B10C2BB" w14:textId="1B88A9B2" w:rsidR="00AF6C0C" w:rsidRPr="00517646" w:rsidRDefault="00B274A6" w:rsidP="0020511E">
      <w:r w:rsidRPr="00517646">
        <w:t>The results for each period have been separated into three categories: Health and wellbeing, social impacts and economic impacts and show positive returns on investment in each case with a range from £2.57 for each £1 invested in 2022 to £4.49 returned for every £1 invested in Easter 2024 provision. The value of provision for Easter 2024 alone was assessed to be almost £4.5million, itself an increase of 33% on the same period in 2023. There is then clear evidence of an increasing rate of return, both in terms of overall value generated and the return gained on any investment.</w:t>
      </w:r>
    </w:p>
    <w:p w14:paraId="4938DCD6" w14:textId="11A48D88" w:rsidR="0020511E" w:rsidRDefault="00517646" w:rsidP="0020511E">
      <w:r w:rsidRPr="00517646">
        <w:t xml:space="preserve">These findings also </w:t>
      </w:r>
      <w:r w:rsidRPr="00517646">
        <w:rPr>
          <w:rFonts w:cs="Open Sans"/>
          <w:color w:val="000000" w:themeColor="text1"/>
        </w:rPr>
        <w:t>compare well with studies focused on other food provision programmes, which were found to be at the lower end of this rate of return</w:t>
      </w:r>
      <w:r w:rsidRPr="00517646">
        <w:rPr>
          <w:rStyle w:val="FootnoteReference"/>
          <w:rFonts w:cs="Open Sans"/>
          <w:color w:val="000000" w:themeColor="text1"/>
        </w:rPr>
        <w:footnoteReference w:id="2"/>
      </w:r>
      <w:r w:rsidRPr="00517646">
        <w:rPr>
          <w:rFonts w:cs="Open Sans"/>
          <w:color w:val="000000" w:themeColor="text1"/>
        </w:rPr>
        <w:t xml:space="preserve"> and a Sport England study that found for every £1 spent on community sport and physical activity, a return on investment (ROI) of £3.91 was created for individuals and society</w:t>
      </w:r>
      <w:r w:rsidRPr="00517646">
        <w:rPr>
          <w:rStyle w:val="FootnoteReference"/>
          <w:rFonts w:cs="Open Sans"/>
          <w:color w:val="000000" w:themeColor="text1"/>
        </w:rPr>
        <w:footnoteReference w:id="3"/>
      </w:r>
      <w:r w:rsidRPr="00517646">
        <w:rPr>
          <w:rFonts w:cs="Open Sans"/>
          <w:color w:val="000000" w:themeColor="text1"/>
        </w:rPr>
        <w:t>.</w:t>
      </w:r>
    </w:p>
    <w:p w14:paraId="4210D92C" w14:textId="77777777" w:rsidR="0020511E" w:rsidRDefault="0020511E" w:rsidP="0020511E"/>
    <w:p w14:paraId="7AF7743D" w14:textId="3FC3353B" w:rsidR="004A554E" w:rsidRPr="00905442" w:rsidRDefault="0020511E" w:rsidP="00E90407">
      <w:pPr>
        <w:pStyle w:val="Heading1"/>
      </w:pPr>
      <w:r w:rsidRPr="00905442">
        <w:t>1.0 Introduction</w:t>
      </w:r>
    </w:p>
    <w:p w14:paraId="0694054A" w14:textId="77777777" w:rsidR="0020511E" w:rsidRDefault="0020511E" w:rsidP="004A554E"/>
    <w:p w14:paraId="66AEA804" w14:textId="2F73547E" w:rsidR="0020511E" w:rsidRDefault="0020511E" w:rsidP="0020511E">
      <w:r>
        <w:t xml:space="preserve">Since 2021 the Department for Education have provided funding to Essex County Council to deliver the holiday activity and food (HAF) programme during each of the main school holidays (Easter, Summer, Winter). In addition to this, Essex County Council have provided funding through Levelling Up work to extend the offer to half term holidays and reach </w:t>
      </w:r>
      <w:proofErr w:type="gramStart"/>
      <w:r>
        <w:t>low income</w:t>
      </w:r>
      <w:proofErr w:type="gramEnd"/>
      <w:r>
        <w:t xml:space="preserve"> families as well as those who are eligible for income related free school meals. This has seen over £20m invested in the holiday activity and food programme since 2021 through to the end of 2024.  </w:t>
      </w:r>
    </w:p>
    <w:p w14:paraId="5BC009AB" w14:textId="38B92AF9" w:rsidR="0020511E" w:rsidRDefault="0020511E" w:rsidP="0020511E">
      <w:r>
        <w:t xml:space="preserve">In Essex the HAF programme is called ‘Essex </w:t>
      </w:r>
      <w:proofErr w:type="spellStart"/>
      <w:r>
        <w:t>ActivAte</w:t>
      </w:r>
      <w:proofErr w:type="spellEnd"/>
      <w:r>
        <w:t xml:space="preserve">’ and has been developed so that it delivers wider impacts than the Department for Education primary outcomes, (providing free holiday clubs, 60 minutes of physical activity, enrichment activities, nutritious meals and signposting support). There has been a focus on building resilience in the families benefiting from the programme, so that they can begin to support themselves, gain a local community support network and have access to opportunities for themselves and their children which mean that they have more positive life outcomes.  </w:t>
      </w:r>
    </w:p>
    <w:p w14:paraId="38F1CDFC" w14:textId="5B5E843A" w:rsidR="0020511E" w:rsidRDefault="0020511E" w:rsidP="0020511E">
      <w:r>
        <w:t xml:space="preserve">Funding is currently confirmed from the Department for Education until March 2025 and from Essex County Council for half term HAF delivery until February 2025. If there is no further funding allocated, then this would have significant impact on the young people and families who have already been negatively impacted the hardest through the covid pandemic and now the </w:t>
      </w:r>
      <w:proofErr w:type="gramStart"/>
      <w:r>
        <w:t>cost of living</w:t>
      </w:r>
      <w:proofErr w:type="gramEnd"/>
      <w:r>
        <w:t xml:space="preserve"> crisis.  </w:t>
      </w:r>
    </w:p>
    <w:p w14:paraId="2F780501" w14:textId="77777777" w:rsidR="0020511E" w:rsidRDefault="0020511E" w:rsidP="0020511E">
      <w:r>
        <w:t xml:space="preserve">The following Social Return on Investment (SROI) study has been commissioned </w:t>
      </w:r>
      <w:proofErr w:type="gramStart"/>
      <w:r>
        <w:t>in order to</w:t>
      </w:r>
      <w:proofErr w:type="gramEnd"/>
      <w:r>
        <w:t xml:space="preserve"> demonstrate the programmes achievement of its core aims but also to reflect the wider impact on children, families and providers, or locally trusted organisations (LTOs) and the associated value, expressed in monetary terms.</w:t>
      </w:r>
    </w:p>
    <w:p w14:paraId="2805A5B3" w14:textId="2A64C3A4" w:rsidR="0020511E" w:rsidRDefault="0020511E" w:rsidP="0020511E">
      <w:r>
        <w:t> </w:t>
      </w:r>
    </w:p>
    <w:p w14:paraId="0A8DCB4B" w14:textId="77777777" w:rsidR="0020511E" w:rsidRDefault="0020511E" w:rsidP="004A554E"/>
    <w:p w14:paraId="70A4FBBC" w14:textId="77777777" w:rsidR="0020511E" w:rsidRDefault="0020511E" w:rsidP="004A554E"/>
    <w:p w14:paraId="1758A790" w14:textId="77777777" w:rsidR="0020511E" w:rsidRDefault="0020511E" w:rsidP="004A554E"/>
    <w:p w14:paraId="702888DE" w14:textId="77777777" w:rsidR="0020511E" w:rsidRDefault="0020511E" w:rsidP="004A554E"/>
    <w:p w14:paraId="4CBC5F76" w14:textId="77777777" w:rsidR="0020511E" w:rsidRDefault="0020511E" w:rsidP="004A554E"/>
    <w:p w14:paraId="3327F185" w14:textId="77777777" w:rsidR="0020511E" w:rsidRDefault="0020511E" w:rsidP="004A554E"/>
    <w:p w14:paraId="46069E78" w14:textId="77777777" w:rsidR="0020511E" w:rsidRDefault="0020511E" w:rsidP="004A554E"/>
    <w:p w14:paraId="46657E6A" w14:textId="77777777" w:rsidR="0020511E" w:rsidRDefault="0020511E" w:rsidP="004A554E"/>
    <w:p w14:paraId="6CC9B1C7" w14:textId="77777777" w:rsidR="0020511E" w:rsidRDefault="0020511E" w:rsidP="004A554E"/>
    <w:p w14:paraId="366D16AD" w14:textId="77777777" w:rsidR="0020511E" w:rsidRDefault="0020511E" w:rsidP="004A554E"/>
    <w:p w14:paraId="689984B4" w14:textId="77777777" w:rsidR="0020511E" w:rsidRDefault="0020511E" w:rsidP="004A554E"/>
    <w:p w14:paraId="016D373C" w14:textId="6B636DF2" w:rsidR="0020511E" w:rsidRDefault="0020511E" w:rsidP="00E90407">
      <w:pPr>
        <w:pStyle w:val="Heading1"/>
      </w:pPr>
      <w:r>
        <w:t>2.0 Methodology</w:t>
      </w:r>
    </w:p>
    <w:p w14:paraId="2604B0A3" w14:textId="1F245FC4" w:rsidR="0020511E" w:rsidRPr="0020511E" w:rsidRDefault="0020511E" w:rsidP="0020511E">
      <w:pPr>
        <w:rPr>
          <w:rFonts w:cs="Open Sans"/>
        </w:rPr>
      </w:pPr>
      <w:r w:rsidRPr="00B44BE8">
        <w:rPr>
          <w:rFonts w:cs="Open Sans"/>
        </w:rPr>
        <w:t>To provide an accurate valuation of the work</w:t>
      </w:r>
      <w:r>
        <w:rPr>
          <w:rFonts w:cs="Open Sans"/>
        </w:rPr>
        <w:t xml:space="preserve"> of</w:t>
      </w:r>
      <w:r w:rsidRPr="00B44BE8">
        <w:rPr>
          <w:rFonts w:cs="Open Sans"/>
        </w:rPr>
        <w:t xml:space="preserve"> the Essex </w:t>
      </w:r>
      <w:proofErr w:type="spellStart"/>
      <w:r w:rsidRPr="00B44BE8">
        <w:rPr>
          <w:rFonts w:cs="Open Sans"/>
        </w:rPr>
        <w:t>Activ</w:t>
      </w:r>
      <w:r>
        <w:rPr>
          <w:rFonts w:cs="Open Sans"/>
        </w:rPr>
        <w:t>A</w:t>
      </w:r>
      <w:r w:rsidRPr="00B44BE8">
        <w:rPr>
          <w:rFonts w:cs="Open Sans"/>
        </w:rPr>
        <w:t>te</w:t>
      </w:r>
      <w:proofErr w:type="spellEnd"/>
      <w:r w:rsidRPr="00B44BE8">
        <w:rPr>
          <w:rFonts w:cs="Open Sans"/>
        </w:rPr>
        <w:t xml:space="preserve"> Holiday Activity and Food (HAF) programme, Substance has prepared a Social Return on Investment (SROI) calculation primarily focused on delivery of and participation in activities during the Easter, Summer and Winter holidays</w:t>
      </w:r>
      <w:r>
        <w:rPr>
          <w:rFonts w:cs="Open Sans"/>
        </w:rPr>
        <w:t xml:space="preserve"> since 2022 with some consideration of half term holidays in 2023</w:t>
      </w:r>
      <w:r w:rsidRPr="00B44BE8">
        <w:rPr>
          <w:rFonts w:cs="Open Sans"/>
        </w:rPr>
        <w:t xml:space="preserve">. </w:t>
      </w:r>
    </w:p>
    <w:p w14:paraId="5585491E" w14:textId="77777777" w:rsidR="00327466" w:rsidRDefault="0020511E" w:rsidP="0020511E">
      <w:pPr>
        <w:rPr>
          <w:rFonts w:cs="Open Sans"/>
          <w:color w:val="000000" w:themeColor="text1"/>
        </w:rPr>
      </w:pPr>
      <w:r w:rsidRPr="00B44BE8">
        <w:rPr>
          <w:rFonts w:cs="Open Sans"/>
          <w:color w:val="000000" w:themeColor="text1"/>
        </w:rPr>
        <w:t>SROI is a form of cost benefit analysis and branch of social value</w:t>
      </w:r>
      <w:r w:rsidRPr="00B44BE8">
        <w:rPr>
          <w:rStyle w:val="FootnoteReference"/>
          <w:rFonts w:cs="Open Sans"/>
          <w:color w:val="000000" w:themeColor="text1"/>
        </w:rPr>
        <w:footnoteReference w:id="4"/>
      </w:r>
      <w:r w:rsidRPr="00B44BE8">
        <w:rPr>
          <w:rFonts w:cs="Open Sans"/>
          <w:color w:val="000000" w:themeColor="text1"/>
        </w:rPr>
        <w:t xml:space="preserve"> assessment that attempts to quantify the social change created by a programme, policy, investment or entity. It is a particularly useful form of analysis for not-for-profit organisations, which seek to generate positive social changes that are difficult to measure in traditional financial terms. </w:t>
      </w:r>
    </w:p>
    <w:p w14:paraId="65FA2B68" w14:textId="39AA4E29" w:rsidR="0020511E" w:rsidRPr="00B44BE8" w:rsidRDefault="0020511E" w:rsidP="0020511E">
      <w:pPr>
        <w:rPr>
          <w:rFonts w:cs="Open Sans"/>
          <w:color w:val="000000" w:themeColor="text1"/>
        </w:rPr>
      </w:pPr>
      <w:r w:rsidRPr="00B44BE8">
        <w:rPr>
          <w:rFonts w:cs="Open Sans"/>
          <w:color w:val="000000" w:themeColor="text1"/>
        </w:rPr>
        <w:t>Social valuing techniques have developed and been refined progressively over time and involve the following steps</w:t>
      </w:r>
      <w:r w:rsidRPr="00B44BE8">
        <w:rPr>
          <w:rStyle w:val="FootnoteReference"/>
          <w:rFonts w:cs="Open Sans"/>
          <w:color w:val="000000" w:themeColor="text1"/>
        </w:rPr>
        <w:footnoteReference w:id="5"/>
      </w:r>
      <w:r w:rsidRPr="00B44BE8">
        <w:rPr>
          <w:rFonts w:cs="Open Sans"/>
          <w:color w:val="000000" w:themeColor="text1"/>
        </w:rPr>
        <w:t>.</w:t>
      </w:r>
    </w:p>
    <w:p w14:paraId="49601FB4" w14:textId="77777777" w:rsidR="0020511E" w:rsidRPr="00B44BE8" w:rsidRDefault="0020511E" w:rsidP="0020511E">
      <w:pPr>
        <w:numPr>
          <w:ilvl w:val="0"/>
          <w:numId w:val="13"/>
        </w:numPr>
        <w:spacing w:before="0" w:after="0" w:line="240" w:lineRule="auto"/>
        <w:rPr>
          <w:rFonts w:cs="Open Sans"/>
          <w:color w:val="000000" w:themeColor="text1"/>
        </w:rPr>
      </w:pPr>
      <w:r w:rsidRPr="00B44BE8">
        <w:rPr>
          <w:rFonts w:cs="Open Sans"/>
          <w:color w:val="000000" w:themeColor="text1"/>
        </w:rPr>
        <w:t xml:space="preserve">Establishing scope and identifying key stakeholders </w:t>
      </w:r>
    </w:p>
    <w:p w14:paraId="07AD1DF3" w14:textId="77777777" w:rsidR="0020511E" w:rsidRPr="00B44BE8" w:rsidRDefault="0020511E" w:rsidP="0020511E">
      <w:pPr>
        <w:numPr>
          <w:ilvl w:val="0"/>
          <w:numId w:val="13"/>
        </w:numPr>
        <w:spacing w:before="0" w:after="0" w:line="240" w:lineRule="auto"/>
        <w:rPr>
          <w:rFonts w:cs="Open Sans"/>
          <w:color w:val="000000" w:themeColor="text1"/>
        </w:rPr>
      </w:pPr>
      <w:r w:rsidRPr="00B44BE8">
        <w:rPr>
          <w:rFonts w:cs="Open Sans"/>
          <w:color w:val="000000" w:themeColor="text1"/>
        </w:rPr>
        <w:t xml:space="preserve">Mapping outcomes </w:t>
      </w:r>
    </w:p>
    <w:p w14:paraId="1762B9CA" w14:textId="77777777" w:rsidR="0020511E" w:rsidRPr="00B44BE8" w:rsidRDefault="0020511E" w:rsidP="0020511E">
      <w:pPr>
        <w:numPr>
          <w:ilvl w:val="0"/>
          <w:numId w:val="13"/>
        </w:numPr>
        <w:spacing w:before="0" w:after="0" w:line="240" w:lineRule="auto"/>
        <w:rPr>
          <w:rFonts w:cs="Open Sans"/>
          <w:color w:val="000000" w:themeColor="text1"/>
        </w:rPr>
      </w:pPr>
      <w:r w:rsidRPr="00B44BE8">
        <w:rPr>
          <w:rFonts w:cs="Open Sans"/>
          <w:color w:val="000000" w:themeColor="text1"/>
        </w:rPr>
        <w:t xml:space="preserve">Evidencing outcomes and giving them a value </w:t>
      </w:r>
    </w:p>
    <w:p w14:paraId="417E2AF0" w14:textId="77777777" w:rsidR="0020511E" w:rsidRPr="00B44BE8" w:rsidRDefault="0020511E" w:rsidP="0020511E">
      <w:pPr>
        <w:numPr>
          <w:ilvl w:val="0"/>
          <w:numId w:val="13"/>
        </w:numPr>
        <w:spacing w:before="0" w:after="0" w:line="240" w:lineRule="auto"/>
        <w:rPr>
          <w:rFonts w:cs="Open Sans"/>
          <w:color w:val="000000" w:themeColor="text1"/>
        </w:rPr>
      </w:pPr>
      <w:r w:rsidRPr="00B44BE8">
        <w:rPr>
          <w:rFonts w:cs="Open Sans"/>
          <w:color w:val="000000" w:themeColor="text1"/>
        </w:rPr>
        <w:t xml:space="preserve">Establishing impact </w:t>
      </w:r>
    </w:p>
    <w:p w14:paraId="204207A4" w14:textId="77777777" w:rsidR="0020511E" w:rsidRPr="00B44BE8" w:rsidRDefault="0020511E" w:rsidP="0020511E">
      <w:pPr>
        <w:numPr>
          <w:ilvl w:val="0"/>
          <w:numId w:val="13"/>
        </w:numPr>
        <w:spacing w:before="0" w:after="0" w:line="240" w:lineRule="auto"/>
        <w:rPr>
          <w:rFonts w:cs="Open Sans"/>
          <w:color w:val="000000" w:themeColor="text1"/>
        </w:rPr>
      </w:pPr>
      <w:r w:rsidRPr="00B44BE8">
        <w:rPr>
          <w:rFonts w:cs="Open Sans"/>
          <w:color w:val="000000" w:themeColor="text1"/>
        </w:rPr>
        <w:t xml:space="preserve">Calculating the SROI </w:t>
      </w:r>
    </w:p>
    <w:p w14:paraId="4D2BC8FD" w14:textId="03B7CDC7" w:rsidR="0020511E" w:rsidRPr="009E7543" w:rsidRDefault="0020511E" w:rsidP="009E7543">
      <w:pPr>
        <w:numPr>
          <w:ilvl w:val="0"/>
          <w:numId w:val="13"/>
        </w:numPr>
        <w:spacing w:before="0" w:after="0" w:line="240" w:lineRule="auto"/>
        <w:rPr>
          <w:rFonts w:cs="Open Sans"/>
          <w:color w:val="000000" w:themeColor="text1"/>
        </w:rPr>
      </w:pPr>
      <w:r w:rsidRPr="00B44BE8">
        <w:rPr>
          <w:rFonts w:cs="Open Sans"/>
          <w:color w:val="000000" w:themeColor="text1"/>
        </w:rPr>
        <w:t xml:space="preserve">Reporting, using and embedding. </w:t>
      </w:r>
    </w:p>
    <w:p w14:paraId="28CDC854" w14:textId="7772724C" w:rsidR="0020511E" w:rsidRDefault="0020511E" w:rsidP="0020511E">
      <w:pPr>
        <w:shd w:val="clear" w:color="auto" w:fill="FFFFFF"/>
        <w:rPr>
          <w:rFonts w:cs="Open Sans"/>
          <w:color w:val="000000" w:themeColor="text1"/>
        </w:rPr>
      </w:pPr>
      <w:r w:rsidRPr="00B44BE8">
        <w:rPr>
          <w:rFonts w:cs="Open Sans"/>
          <w:color w:val="000000" w:themeColor="text1"/>
        </w:rPr>
        <w:t>S</w:t>
      </w:r>
      <w:r>
        <w:rPr>
          <w:rFonts w:cs="Open Sans"/>
          <w:color w:val="000000" w:themeColor="text1"/>
        </w:rPr>
        <w:t>ROI s</w:t>
      </w:r>
      <w:r w:rsidRPr="00B44BE8">
        <w:rPr>
          <w:rFonts w:cs="Open Sans"/>
          <w:color w:val="000000" w:themeColor="text1"/>
        </w:rPr>
        <w:t xml:space="preserve">tudies typically begin with the determination of the changes sought or generated by the programme, policy, investment or organisation, followed by a structured approach to determining whether any identified benefits can be attributed to the work under consideration and represented in monetary terms. </w:t>
      </w:r>
    </w:p>
    <w:p w14:paraId="640D7C73" w14:textId="7C97CB1C" w:rsidR="0020511E" w:rsidRDefault="0020511E" w:rsidP="0020511E">
      <w:pPr>
        <w:shd w:val="clear" w:color="auto" w:fill="FFFFFF"/>
        <w:rPr>
          <w:rFonts w:cs="Open Sans"/>
          <w:color w:val="000000" w:themeColor="text1"/>
        </w:rPr>
      </w:pPr>
      <w:r w:rsidRPr="00B44BE8">
        <w:rPr>
          <w:rFonts w:cs="Open Sans"/>
          <w:color w:val="000000" w:themeColor="text1"/>
        </w:rPr>
        <w:t xml:space="preserve">SROI can be calculated for a single year or over the life of a project or programme, and it can be calculated </w:t>
      </w:r>
      <w:proofErr w:type="spellStart"/>
      <w:r w:rsidRPr="00B44BE8">
        <w:rPr>
          <w:rFonts w:cs="Open Sans"/>
          <w:color w:val="000000" w:themeColor="text1"/>
        </w:rPr>
        <w:t>summatively</w:t>
      </w:r>
      <w:proofErr w:type="spellEnd"/>
      <w:r w:rsidRPr="00B44BE8">
        <w:rPr>
          <w:rFonts w:cs="Open Sans"/>
          <w:color w:val="000000" w:themeColor="text1"/>
        </w:rPr>
        <w:t xml:space="preserve"> (i.e., once outcomes have been realised) or formatively (i.e. as work is underway, or prior to it getting underway).</w:t>
      </w:r>
      <w:r>
        <w:rPr>
          <w:rFonts w:cs="Open Sans"/>
          <w:color w:val="000000" w:themeColor="text1"/>
        </w:rPr>
        <w:t xml:space="preserve"> </w:t>
      </w:r>
    </w:p>
    <w:p w14:paraId="76F0126D" w14:textId="6657FAF7" w:rsidR="0020511E" w:rsidRPr="00B44BE8" w:rsidRDefault="0020511E" w:rsidP="0020511E">
      <w:pPr>
        <w:shd w:val="clear" w:color="auto" w:fill="FFFFFF"/>
        <w:rPr>
          <w:rFonts w:cs="Open Sans"/>
          <w:color w:val="000000" w:themeColor="text1"/>
        </w:rPr>
      </w:pPr>
      <w:r>
        <w:rPr>
          <w:rFonts w:cs="Open Sans"/>
          <w:color w:val="000000" w:themeColor="text1"/>
        </w:rPr>
        <w:t>For this study, based on data availability, the scope was separated into three discrete elements, with a series of valuations relating to the Easter 2024 programme; the Easter, Summer, Winter and half term 2023 holiday programmes; and the Easter, Summer and Winter 2022 holiday programmes.</w:t>
      </w:r>
    </w:p>
    <w:p w14:paraId="72FFC8B8" w14:textId="77777777" w:rsidR="0020511E" w:rsidRDefault="0020511E" w:rsidP="0020511E">
      <w:pPr>
        <w:rPr>
          <w:rFonts w:cs="Open Sans"/>
          <w:color w:val="000000" w:themeColor="text1"/>
        </w:rPr>
      </w:pPr>
      <w:r w:rsidRPr="00B44BE8">
        <w:rPr>
          <w:rFonts w:cs="Open Sans"/>
          <w:color w:val="000000" w:themeColor="text1"/>
        </w:rPr>
        <w:t xml:space="preserve">Following a review of Department for Education and internal </w:t>
      </w:r>
      <w:r>
        <w:rPr>
          <w:rFonts w:cs="Open Sans"/>
          <w:color w:val="000000" w:themeColor="text1"/>
        </w:rPr>
        <w:t>assessments</w:t>
      </w:r>
      <w:r w:rsidRPr="00B44BE8">
        <w:rPr>
          <w:rFonts w:cs="Open Sans"/>
          <w:color w:val="000000" w:themeColor="text1"/>
        </w:rPr>
        <w:t xml:space="preserve"> and planning documents and a subsequent stakeholder engagement exercise, reflected in the Theory of Change </w:t>
      </w:r>
      <w:r>
        <w:rPr>
          <w:rFonts w:cs="Open Sans"/>
          <w:color w:val="000000" w:themeColor="text1"/>
        </w:rPr>
        <w:t xml:space="preserve">diagram </w:t>
      </w:r>
      <w:r w:rsidRPr="00B44BE8">
        <w:rPr>
          <w:rFonts w:cs="Open Sans"/>
          <w:color w:val="000000" w:themeColor="text1"/>
        </w:rPr>
        <w:t xml:space="preserve">presented in the next section of this report, the following set of </w:t>
      </w:r>
      <w:r>
        <w:rPr>
          <w:rFonts w:cs="Open Sans"/>
          <w:color w:val="000000" w:themeColor="text1"/>
        </w:rPr>
        <w:t xml:space="preserve">twenty </w:t>
      </w:r>
      <w:r w:rsidRPr="00B44BE8">
        <w:rPr>
          <w:rFonts w:cs="Open Sans"/>
          <w:color w:val="000000" w:themeColor="text1"/>
        </w:rPr>
        <w:t>outcomes were identified</w:t>
      </w:r>
      <w:r>
        <w:rPr>
          <w:rFonts w:cs="Open Sans"/>
          <w:color w:val="000000" w:themeColor="text1"/>
        </w:rPr>
        <w:t xml:space="preserve"> and </w:t>
      </w:r>
      <w:r w:rsidRPr="00B44BE8">
        <w:rPr>
          <w:rFonts w:cs="Open Sans"/>
          <w:color w:val="000000" w:themeColor="text1"/>
        </w:rPr>
        <w:t>separated into three domains covering: Health and Wellbeing, Social Impact and Economic Impact.</w:t>
      </w:r>
    </w:p>
    <w:p w14:paraId="0AB4C36F" w14:textId="77777777" w:rsidR="00327466" w:rsidRDefault="00327466" w:rsidP="0020511E">
      <w:pPr>
        <w:rPr>
          <w:rFonts w:cs="Open Sans"/>
          <w:color w:val="000000" w:themeColor="text1"/>
        </w:rPr>
      </w:pPr>
    </w:p>
    <w:p w14:paraId="296979BB" w14:textId="77777777" w:rsidR="00327466" w:rsidRPr="00B44BE8" w:rsidRDefault="00327466" w:rsidP="0020511E">
      <w:pPr>
        <w:rPr>
          <w:rFonts w:cs="Open Sans"/>
          <w:color w:val="000000" w:themeColor="text1"/>
        </w:rPr>
      </w:pPr>
    </w:p>
    <w:tbl>
      <w:tblPr>
        <w:tblStyle w:val="GridTable4-Accent6"/>
        <w:tblW w:w="9067" w:type="dxa"/>
        <w:tblLook w:val="04A0" w:firstRow="1" w:lastRow="0" w:firstColumn="1" w:lastColumn="0" w:noHBand="0" w:noVBand="1"/>
      </w:tblPr>
      <w:tblGrid>
        <w:gridCol w:w="3114"/>
        <w:gridCol w:w="2977"/>
        <w:gridCol w:w="2976"/>
      </w:tblGrid>
      <w:tr w:rsidR="0020511E" w:rsidRPr="00327466" w14:paraId="4C5CB0DA" w14:textId="77777777" w:rsidTr="00FD6E2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067" w:type="dxa"/>
            <w:gridSpan w:val="3"/>
          </w:tcPr>
          <w:p w14:paraId="6C246C54" w14:textId="77777777" w:rsidR="0020511E" w:rsidRPr="00327466" w:rsidRDefault="0020511E" w:rsidP="0020511E">
            <w:pPr>
              <w:spacing w:before="0" w:after="0"/>
              <w:rPr>
                <w:rFonts w:eastAsia="Times New Roman" w:cs="Open Sans"/>
                <w:sz w:val="24"/>
                <w:szCs w:val="24"/>
                <w:lang w:eastAsia="en-GB"/>
              </w:rPr>
            </w:pPr>
            <w:r w:rsidRPr="00327466">
              <w:rPr>
                <w:rFonts w:eastAsia="Times New Roman" w:cs="Open Sans"/>
                <w:sz w:val="24"/>
                <w:szCs w:val="24"/>
                <w:lang w:eastAsia="en-GB"/>
              </w:rPr>
              <w:t xml:space="preserve">Table 1: Outcome Mapping </w:t>
            </w:r>
          </w:p>
        </w:tc>
      </w:tr>
      <w:tr w:rsidR="00327466" w:rsidRPr="00327466" w14:paraId="13346C69" w14:textId="77777777" w:rsidTr="00FD6E25">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14" w:type="dxa"/>
          </w:tcPr>
          <w:p w14:paraId="1AF9690C" w14:textId="77777777" w:rsidR="0020511E" w:rsidRPr="00327466" w:rsidRDefault="0020511E" w:rsidP="0020511E">
            <w:pPr>
              <w:spacing w:before="0" w:after="0"/>
              <w:rPr>
                <w:rFonts w:eastAsia="Yu Mincho" w:cs="Arial"/>
                <w:b/>
                <w:color w:val="06625D"/>
                <w:lang w:val="en-US"/>
              </w:rPr>
            </w:pPr>
            <w:r w:rsidRPr="00327466">
              <w:rPr>
                <w:rFonts w:eastAsia="Yu Mincho" w:cs="Arial"/>
                <w:b/>
                <w:color w:val="06625D"/>
                <w:lang w:val="en-US"/>
              </w:rPr>
              <w:t>Health and Wellbeing</w:t>
            </w:r>
          </w:p>
        </w:tc>
        <w:tc>
          <w:tcPr>
            <w:tcW w:w="2977" w:type="dxa"/>
          </w:tcPr>
          <w:p w14:paraId="6D3FC0A2" w14:textId="77777777" w:rsidR="0020511E" w:rsidRPr="00327466" w:rsidRDefault="0020511E" w:rsidP="0020511E">
            <w:pPr>
              <w:spacing w:before="0" w:after="0"/>
              <w:cnfStyle w:val="000000100000" w:firstRow="0" w:lastRow="0" w:firstColumn="0" w:lastColumn="0" w:oddVBand="0" w:evenVBand="0" w:oddHBand="1" w:evenHBand="0" w:firstRowFirstColumn="0" w:firstRowLastColumn="0" w:lastRowFirstColumn="0" w:lastRowLastColumn="0"/>
              <w:rPr>
                <w:rFonts w:eastAsia="Yu Mincho" w:cs="Arial"/>
                <w:b/>
                <w:bCs/>
                <w:color w:val="06625D"/>
                <w:lang w:val="en-US"/>
              </w:rPr>
            </w:pPr>
            <w:r w:rsidRPr="00327466">
              <w:rPr>
                <w:rFonts w:eastAsia="Yu Mincho" w:cs="Arial"/>
                <w:b/>
                <w:bCs/>
                <w:color w:val="06625D"/>
                <w:lang w:val="en-US"/>
              </w:rPr>
              <w:t>Social</w:t>
            </w:r>
          </w:p>
        </w:tc>
        <w:tc>
          <w:tcPr>
            <w:tcW w:w="2976" w:type="dxa"/>
          </w:tcPr>
          <w:p w14:paraId="41CDE76F" w14:textId="77777777" w:rsidR="0020511E" w:rsidRPr="00327466" w:rsidRDefault="0020511E" w:rsidP="0020511E">
            <w:pPr>
              <w:spacing w:before="0" w:after="0"/>
              <w:cnfStyle w:val="000000100000" w:firstRow="0" w:lastRow="0" w:firstColumn="0" w:lastColumn="0" w:oddVBand="0" w:evenVBand="0" w:oddHBand="1" w:evenHBand="0" w:firstRowFirstColumn="0" w:firstRowLastColumn="0" w:lastRowFirstColumn="0" w:lastRowLastColumn="0"/>
              <w:rPr>
                <w:rFonts w:eastAsia="Yu Mincho" w:cs="Arial"/>
                <w:b/>
                <w:bCs/>
                <w:color w:val="06625D"/>
                <w:lang w:val="en-US"/>
              </w:rPr>
            </w:pPr>
            <w:r w:rsidRPr="00327466">
              <w:rPr>
                <w:rFonts w:eastAsia="Yu Mincho" w:cs="Arial"/>
                <w:b/>
                <w:bCs/>
                <w:color w:val="06625D"/>
                <w:lang w:val="en-US"/>
              </w:rPr>
              <w:t>Economic</w:t>
            </w:r>
          </w:p>
        </w:tc>
      </w:tr>
      <w:tr w:rsidR="00327466" w:rsidRPr="00327466" w14:paraId="1DD951D2" w14:textId="77777777" w:rsidTr="00FD6E25">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14" w:type="dxa"/>
            <w:shd w:val="clear" w:color="auto" w:fill="A9E593"/>
          </w:tcPr>
          <w:p w14:paraId="5D2FBEE0" w14:textId="77777777" w:rsidR="0020511E" w:rsidRPr="00327466" w:rsidRDefault="0020511E" w:rsidP="0020511E">
            <w:pPr>
              <w:spacing w:before="0" w:after="0"/>
              <w:rPr>
                <w:rFonts w:eastAsia="Yu Mincho" w:cs="Open Sans"/>
                <w:color w:val="06625D"/>
                <w:lang w:val="en-US"/>
              </w:rPr>
            </w:pPr>
            <w:r w:rsidRPr="00327466">
              <w:rPr>
                <w:rFonts w:eastAsia="Yu Mincho" w:cs="Open Sans"/>
                <w:color w:val="06625D"/>
                <w:lang w:val="en-US"/>
              </w:rPr>
              <w:t>Improved physical health</w:t>
            </w:r>
          </w:p>
        </w:tc>
        <w:tc>
          <w:tcPr>
            <w:tcW w:w="2977" w:type="dxa"/>
            <w:shd w:val="clear" w:color="auto" w:fill="A9E593"/>
          </w:tcPr>
          <w:p w14:paraId="0BBA8333" w14:textId="77777777" w:rsidR="0020511E" w:rsidRPr="00327466" w:rsidRDefault="0020511E" w:rsidP="0020511E">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color w:val="06625D"/>
                <w:lang w:val="en-US"/>
              </w:rPr>
            </w:pPr>
            <w:r w:rsidRPr="00327466">
              <w:rPr>
                <w:rFonts w:eastAsia="Yu Mincho" w:cs="Open Sans"/>
                <w:color w:val="06625D"/>
                <w:lang w:val="en-US"/>
              </w:rPr>
              <w:t>Improved educational attainment</w:t>
            </w:r>
          </w:p>
        </w:tc>
        <w:tc>
          <w:tcPr>
            <w:tcW w:w="2976" w:type="dxa"/>
          </w:tcPr>
          <w:p w14:paraId="0D47FD9E" w14:textId="77777777" w:rsidR="0020511E" w:rsidRPr="00327466" w:rsidRDefault="0020511E" w:rsidP="0020511E">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color w:val="06625D"/>
                <w:lang w:val="en-US"/>
              </w:rPr>
            </w:pPr>
            <w:r w:rsidRPr="00327466">
              <w:rPr>
                <w:rFonts w:eastAsia="Yu Mincho" w:cs="Open Sans"/>
                <w:color w:val="06625D"/>
                <w:lang w:val="en-US"/>
              </w:rPr>
              <w:t>Job creation</w:t>
            </w:r>
          </w:p>
        </w:tc>
      </w:tr>
      <w:tr w:rsidR="00327466" w:rsidRPr="00327466" w14:paraId="560BEBAF" w14:textId="77777777" w:rsidTr="00FD6E2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14" w:type="dxa"/>
            <w:shd w:val="clear" w:color="auto" w:fill="A9E593"/>
          </w:tcPr>
          <w:p w14:paraId="35249A57" w14:textId="77777777" w:rsidR="0020511E" w:rsidRPr="00327466" w:rsidRDefault="0020511E" w:rsidP="0020511E">
            <w:pPr>
              <w:spacing w:before="0" w:after="0"/>
              <w:rPr>
                <w:rFonts w:eastAsia="Yu Mincho" w:cs="Open Sans"/>
                <w:color w:val="06625D"/>
                <w:lang w:val="en-US"/>
              </w:rPr>
            </w:pPr>
            <w:r w:rsidRPr="00327466">
              <w:rPr>
                <w:rFonts w:eastAsia="Yu Mincho" w:cs="Open Sans"/>
                <w:color w:val="06625D"/>
                <w:lang w:val="en-US"/>
              </w:rPr>
              <w:t>Improved mental health</w:t>
            </w:r>
          </w:p>
        </w:tc>
        <w:tc>
          <w:tcPr>
            <w:tcW w:w="2977" w:type="dxa"/>
            <w:shd w:val="clear" w:color="auto" w:fill="A9E593"/>
          </w:tcPr>
          <w:p w14:paraId="5841C628" w14:textId="77777777" w:rsidR="0020511E" w:rsidRPr="00327466" w:rsidRDefault="0020511E" w:rsidP="0020511E">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color w:val="06625D"/>
                <w:lang w:val="en-US"/>
              </w:rPr>
            </w:pPr>
            <w:r w:rsidRPr="00327466">
              <w:rPr>
                <w:rFonts w:eastAsia="Yu Mincho" w:cs="Open Sans"/>
                <w:color w:val="06625D"/>
                <w:lang w:val="en-US"/>
              </w:rPr>
              <w:t>Improved school attendance</w:t>
            </w:r>
          </w:p>
        </w:tc>
        <w:tc>
          <w:tcPr>
            <w:tcW w:w="2976" w:type="dxa"/>
            <w:shd w:val="clear" w:color="auto" w:fill="A9E593"/>
          </w:tcPr>
          <w:p w14:paraId="6E5BE277" w14:textId="77777777" w:rsidR="0020511E" w:rsidRPr="00327466" w:rsidRDefault="0020511E" w:rsidP="0020511E">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color w:val="06625D"/>
                <w:lang w:val="en-US"/>
              </w:rPr>
            </w:pPr>
            <w:r w:rsidRPr="00327466">
              <w:rPr>
                <w:rFonts w:eastAsia="Yu Mincho" w:cs="Open Sans"/>
                <w:color w:val="06625D"/>
                <w:lang w:val="en-US"/>
              </w:rPr>
              <w:t>Increased working hours</w:t>
            </w:r>
          </w:p>
        </w:tc>
      </w:tr>
      <w:tr w:rsidR="00327466" w:rsidRPr="00327466" w14:paraId="72AAB125" w14:textId="77777777" w:rsidTr="00FD6E25">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14" w:type="dxa"/>
            <w:shd w:val="clear" w:color="auto" w:fill="A9E593"/>
          </w:tcPr>
          <w:p w14:paraId="225D8D8A" w14:textId="77777777" w:rsidR="0020511E" w:rsidRPr="00327466" w:rsidRDefault="0020511E" w:rsidP="0020511E">
            <w:pPr>
              <w:spacing w:before="0" w:after="0"/>
              <w:rPr>
                <w:rFonts w:eastAsia="Yu Mincho" w:cs="Open Sans"/>
                <w:color w:val="06625D"/>
                <w:lang w:val="en-US"/>
              </w:rPr>
            </w:pPr>
            <w:r w:rsidRPr="00327466">
              <w:rPr>
                <w:rFonts w:eastAsia="Yu Mincho" w:cs="Open Sans"/>
                <w:color w:val="06625D"/>
                <w:lang w:val="en-US"/>
              </w:rPr>
              <w:t>Improved nutrition</w:t>
            </w:r>
          </w:p>
        </w:tc>
        <w:tc>
          <w:tcPr>
            <w:tcW w:w="2977" w:type="dxa"/>
            <w:shd w:val="clear" w:color="auto" w:fill="A9E593"/>
          </w:tcPr>
          <w:p w14:paraId="7A0BAF5C" w14:textId="77777777" w:rsidR="0020511E" w:rsidRPr="00327466" w:rsidRDefault="0020511E" w:rsidP="0020511E">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color w:val="06625D"/>
                <w:lang w:val="en-US"/>
              </w:rPr>
            </w:pPr>
            <w:r w:rsidRPr="00327466">
              <w:rPr>
                <w:rFonts w:eastAsia="Yu Mincho" w:cs="Open Sans"/>
                <w:color w:val="06625D"/>
                <w:lang w:val="en-US"/>
              </w:rPr>
              <w:t>Access to public services</w:t>
            </w:r>
          </w:p>
        </w:tc>
        <w:tc>
          <w:tcPr>
            <w:tcW w:w="2976" w:type="dxa"/>
            <w:shd w:val="clear" w:color="auto" w:fill="A9E593"/>
          </w:tcPr>
          <w:p w14:paraId="2D536086" w14:textId="77777777" w:rsidR="0020511E" w:rsidRPr="00327466" w:rsidRDefault="0020511E" w:rsidP="0020511E">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color w:val="06625D"/>
                <w:lang w:val="en-US"/>
              </w:rPr>
            </w:pPr>
            <w:r w:rsidRPr="00327466">
              <w:rPr>
                <w:rFonts w:eastAsia="Yu Mincho" w:cs="Open Sans"/>
                <w:color w:val="06625D"/>
                <w:lang w:val="en-US"/>
              </w:rPr>
              <w:t>Local provider spending</w:t>
            </w:r>
          </w:p>
        </w:tc>
      </w:tr>
      <w:tr w:rsidR="00327466" w:rsidRPr="00327466" w14:paraId="3841776A" w14:textId="77777777" w:rsidTr="00FD6E2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14" w:type="dxa"/>
            <w:vMerge w:val="restart"/>
          </w:tcPr>
          <w:p w14:paraId="195AC8B0" w14:textId="77777777" w:rsidR="0020511E" w:rsidRPr="00327466" w:rsidRDefault="0020511E" w:rsidP="0020511E">
            <w:pPr>
              <w:spacing w:before="0" w:after="0"/>
              <w:rPr>
                <w:rFonts w:eastAsia="Yu Mincho" w:cs="Open Sans"/>
                <w:color w:val="06625D"/>
                <w:lang w:val="en-US"/>
              </w:rPr>
            </w:pPr>
            <w:r w:rsidRPr="00327466">
              <w:rPr>
                <w:rFonts w:eastAsia="Yu Mincho" w:cs="Open Sans"/>
                <w:color w:val="06625D"/>
                <w:lang w:val="en-US"/>
              </w:rPr>
              <w:t>Better food choices</w:t>
            </w:r>
          </w:p>
        </w:tc>
        <w:tc>
          <w:tcPr>
            <w:tcW w:w="2977" w:type="dxa"/>
          </w:tcPr>
          <w:p w14:paraId="4AD1BF4F" w14:textId="77777777" w:rsidR="0020511E" w:rsidRPr="00327466" w:rsidRDefault="0020511E" w:rsidP="0020511E">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color w:val="06625D"/>
                <w:lang w:val="en-US"/>
              </w:rPr>
            </w:pPr>
            <w:r w:rsidRPr="00327466">
              <w:rPr>
                <w:rFonts w:eastAsia="Yu Mincho" w:cs="Open Sans"/>
                <w:color w:val="06625D"/>
                <w:lang w:val="en-US"/>
              </w:rPr>
              <w:t>Improved attitudes and aspirations</w:t>
            </w:r>
          </w:p>
        </w:tc>
        <w:tc>
          <w:tcPr>
            <w:tcW w:w="2976" w:type="dxa"/>
            <w:shd w:val="clear" w:color="auto" w:fill="A9E593"/>
          </w:tcPr>
          <w:p w14:paraId="6BA51C74" w14:textId="77777777" w:rsidR="0020511E" w:rsidRPr="00327466" w:rsidRDefault="0020511E" w:rsidP="0020511E">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color w:val="06625D"/>
                <w:lang w:val="en-US"/>
              </w:rPr>
            </w:pPr>
            <w:r w:rsidRPr="00327466">
              <w:rPr>
                <w:rFonts w:eastAsia="Yu Mincho" w:cs="Open Sans"/>
                <w:color w:val="06625D"/>
                <w:lang w:val="en-US"/>
              </w:rPr>
              <w:t>Local parent spending</w:t>
            </w:r>
          </w:p>
        </w:tc>
      </w:tr>
      <w:tr w:rsidR="00327466" w:rsidRPr="00327466" w14:paraId="3C29CDD6" w14:textId="77777777" w:rsidTr="00FD6E25">
        <w:trPr>
          <w:cnfStyle w:val="000000010000" w:firstRow="0" w:lastRow="0" w:firstColumn="0" w:lastColumn="0" w:oddVBand="0" w:evenVBand="0" w:oddHBand="0" w:evenHBand="1"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3114" w:type="dxa"/>
            <w:vMerge/>
          </w:tcPr>
          <w:p w14:paraId="428EFF4A" w14:textId="77777777" w:rsidR="0020511E" w:rsidRPr="00327466" w:rsidRDefault="0020511E" w:rsidP="0020511E">
            <w:pPr>
              <w:spacing w:before="0" w:after="0"/>
              <w:rPr>
                <w:rFonts w:eastAsia="Yu Mincho" w:cs="Open Sans"/>
                <w:color w:val="06625D"/>
                <w:lang w:val="en-US"/>
              </w:rPr>
            </w:pPr>
          </w:p>
        </w:tc>
        <w:tc>
          <w:tcPr>
            <w:tcW w:w="2977" w:type="dxa"/>
            <w:vMerge w:val="restart"/>
            <w:shd w:val="clear" w:color="auto" w:fill="A9E593"/>
          </w:tcPr>
          <w:p w14:paraId="02E4954D" w14:textId="77777777" w:rsidR="0020511E" w:rsidRPr="00327466" w:rsidRDefault="0020511E" w:rsidP="0020511E">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color w:val="06625D"/>
                <w:lang w:val="en-US"/>
              </w:rPr>
            </w:pPr>
            <w:r w:rsidRPr="00327466">
              <w:rPr>
                <w:rFonts w:eastAsia="Yu Mincho" w:cs="Open Sans"/>
                <w:color w:val="06625D"/>
                <w:lang w:val="en-US"/>
              </w:rPr>
              <w:t>Volunteering</w:t>
            </w:r>
          </w:p>
        </w:tc>
        <w:tc>
          <w:tcPr>
            <w:tcW w:w="2976" w:type="dxa"/>
            <w:shd w:val="clear" w:color="auto" w:fill="A9E593"/>
          </w:tcPr>
          <w:p w14:paraId="16404F2A" w14:textId="77777777" w:rsidR="0020511E" w:rsidRPr="00327466" w:rsidRDefault="0020511E" w:rsidP="0020511E">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color w:val="06625D"/>
                <w:lang w:val="en-US"/>
              </w:rPr>
            </w:pPr>
            <w:r w:rsidRPr="00327466">
              <w:rPr>
                <w:rFonts w:eastAsia="Yu Mincho" w:cs="Open Sans"/>
                <w:color w:val="06625D"/>
                <w:lang w:val="en-US"/>
              </w:rPr>
              <w:t>Leveraged provider funding</w:t>
            </w:r>
          </w:p>
        </w:tc>
      </w:tr>
      <w:tr w:rsidR="00327466" w:rsidRPr="00327466" w14:paraId="38F1D853" w14:textId="77777777" w:rsidTr="00FD6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vMerge/>
          </w:tcPr>
          <w:p w14:paraId="2ACA517A" w14:textId="77777777" w:rsidR="0020511E" w:rsidRPr="00327466" w:rsidRDefault="0020511E" w:rsidP="0020511E">
            <w:pPr>
              <w:spacing w:before="0" w:after="0"/>
              <w:rPr>
                <w:rFonts w:eastAsia="Yu Mincho" w:cs="Open Sans"/>
                <w:color w:val="06625D"/>
                <w:lang w:val="en-US"/>
              </w:rPr>
            </w:pPr>
          </w:p>
        </w:tc>
        <w:tc>
          <w:tcPr>
            <w:tcW w:w="2977" w:type="dxa"/>
            <w:vMerge/>
            <w:shd w:val="clear" w:color="auto" w:fill="A9E593"/>
          </w:tcPr>
          <w:p w14:paraId="2EA47AC8" w14:textId="77777777" w:rsidR="0020511E" w:rsidRPr="00327466" w:rsidRDefault="0020511E" w:rsidP="0020511E">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color w:val="06625D"/>
                <w:lang w:val="en-US"/>
              </w:rPr>
            </w:pPr>
          </w:p>
        </w:tc>
        <w:tc>
          <w:tcPr>
            <w:tcW w:w="2976" w:type="dxa"/>
            <w:vMerge w:val="restart"/>
          </w:tcPr>
          <w:p w14:paraId="77070CBD" w14:textId="77777777" w:rsidR="0020511E" w:rsidRPr="00327466" w:rsidRDefault="0020511E" w:rsidP="0020511E">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color w:val="06625D"/>
                <w:lang w:val="en-US"/>
              </w:rPr>
            </w:pPr>
          </w:p>
          <w:p w14:paraId="6480B6CE" w14:textId="77777777" w:rsidR="0020511E" w:rsidRPr="00327466" w:rsidRDefault="0020511E" w:rsidP="0020511E">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color w:val="06625D"/>
                <w:lang w:val="en-US"/>
              </w:rPr>
            </w:pPr>
          </w:p>
        </w:tc>
      </w:tr>
      <w:tr w:rsidR="00327466" w:rsidRPr="00327466" w14:paraId="6116AF0D" w14:textId="77777777" w:rsidTr="00FD6E25">
        <w:trPr>
          <w:cnfStyle w:val="000000010000" w:firstRow="0" w:lastRow="0" w:firstColumn="0" w:lastColumn="0" w:oddVBand="0" w:evenVBand="0" w:oddHBand="0" w:evenHBand="1"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3114" w:type="dxa"/>
            <w:vMerge w:val="restart"/>
            <w:shd w:val="clear" w:color="auto" w:fill="A9E593"/>
          </w:tcPr>
          <w:p w14:paraId="3104B9AD" w14:textId="77777777" w:rsidR="0020511E" w:rsidRPr="00327466" w:rsidRDefault="0020511E" w:rsidP="0020511E">
            <w:pPr>
              <w:spacing w:before="0" w:after="0"/>
              <w:rPr>
                <w:rFonts w:eastAsia="Yu Mincho" w:cs="Open Sans"/>
                <w:color w:val="06625D"/>
                <w:lang w:val="en-US"/>
              </w:rPr>
            </w:pPr>
            <w:r w:rsidRPr="00327466">
              <w:rPr>
                <w:rFonts w:eastAsia="Yu Mincho" w:cs="Open Sans"/>
                <w:color w:val="06625D"/>
                <w:lang w:val="en-US"/>
              </w:rPr>
              <w:t>Parental wellbeing</w:t>
            </w:r>
          </w:p>
        </w:tc>
        <w:tc>
          <w:tcPr>
            <w:tcW w:w="2977" w:type="dxa"/>
            <w:shd w:val="clear" w:color="auto" w:fill="A9E593"/>
          </w:tcPr>
          <w:p w14:paraId="1D53ED4E" w14:textId="77777777" w:rsidR="0020511E" w:rsidRPr="00327466" w:rsidRDefault="0020511E" w:rsidP="0020511E">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color w:val="06625D"/>
                <w:lang w:val="en-US"/>
              </w:rPr>
            </w:pPr>
            <w:r w:rsidRPr="00327466">
              <w:rPr>
                <w:rFonts w:eastAsia="Yu Mincho" w:cs="Open Sans"/>
                <w:color w:val="06625D"/>
                <w:lang w:val="en-US"/>
              </w:rPr>
              <w:t>Access to training</w:t>
            </w:r>
          </w:p>
        </w:tc>
        <w:tc>
          <w:tcPr>
            <w:tcW w:w="2976" w:type="dxa"/>
            <w:vMerge/>
          </w:tcPr>
          <w:p w14:paraId="37C37971" w14:textId="77777777" w:rsidR="0020511E" w:rsidRPr="00327466" w:rsidRDefault="0020511E" w:rsidP="0020511E">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color w:val="06625D"/>
                <w:lang w:val="en-US"/>
              </w:rPr>
            </w:pPr>
          </w:p>
        </w:tc>
      </w:tr>
      <w:tr w:rsidR="00327466" w:rsidRPr="00327466" w14:paraId="78657EC6" w14:textId="77777777" w:rsidTr="00FD6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vMerge/>
            <w:shd w:val="clear" w:color="auto" w:fill="A9E593"/>
          </w:tcPr>
          <w:p w14:paraId="3E467F1B" w14:textId="77777777" w:rsidR="0020511E" w:rsidRPr="00327466" w:rsidRDefault="0020511E" w:rsidP="0020511E">
            <w:pPr>
              <w:spacing w:before="0" w:after="0"/>
              <w:rPr>
                <w:rFonts w:eastAsia="Yu Mincho" w:cs="Open Sans"/>
                <w:color w:val="06625D"/>
                <w:lang w:val="en-US"/>
              </w:rPr>
            </w:pPr>
          </w:p>
        </w:tc>
        <w:tc>
          <w:tcPr>
            <w:tcW w:w="2977" w:type="dxa"/>
            <w:vMerge w:val="restart"/>
            <w:shd w:val="clear" w:color="auto" w:fill="A9E593"/>
          </w:tcPr>
          <w:p w14:paraId="3187128A" w14:textId="77777777" w:rsidR="0020511E" w:rsidRPr="00327466" w:rsidRDefault="0020511E" w:rsidP="0020511E">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color w:val="06625D"/>
                <w:lang w:val="en-US"/>
              </w:rPr>
            </w:pPr>
            <w:r w:rsidRPr="00327466">
              <w:rPr>
                <w:rFonts w:eastAsia="Yu Mincho" w:cs="Open Sans"/>
                <w:color w:val="06625D"/>
                <w:lang w:val="en-US"/>
              </w:rPr>
              <w:t>Reduced NEET status</w:t>
            </w:r>
          </w:p>
        </w:tc>
        <w:tc>
          <w:tcPr>
            <w:tcW w:w="2976" w:type="dxa"/>
            <w:vMerge/>
          </w:tcPr>
          <w:p w14:paraId="25DF08E8" w14:textId="77777777" w:rsidR="0020511E" w:rsidRPr="00327466" w:rsidRDefault="0020511E" w:rsidP="0020511E">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color w:val="06625D"/>
                <w:lang w:val="en-US"/>
              </w:rPr>
            </w:pPr>
          </w:p>
        </w:tc>
      </w:tr>
      <w:tr w:rsidR="00327466" w:rsidRPr="00327466" w14:paraId="75FAD4D8" w14:textId="77777777" w:rsidTr="00FD6E25">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14" w:type="dxa"/>
            <w:shd w:val="clear" w:color="auto" w:fill="A9E593"/>
          </w:tcPr>
          <w:p w14:paraId="68BD719B" w14:textId="77777777" w:rsidR="0020511E" w:rsidRPr="00327466" w:rsidRDefault="0020511E" w:rsidP="0020511E">
            <w:pPr>
              <w:spacing w:before="0" w:after="0"/>
              <w:rPr>
                <w:rFonts w:eastAsia="Yu Mincho" w:cs="Open Sans"/>
                <w:color w:val="06625D"/>
                <w:lang w:val="en-US"/>
              </w:rPr>
            </w:pPr>
            <w:r w:rsidRPr="00327466">
              <w:rPr>
                <w:rFonts w:eastAsia="Yu Mincho" w:cs="Open Sans"/>
                <w:color w:val="06625D"/>
                <w:lang w:val="en-US"/>
              </w:rPr>
              <w:t>Children’s wellbeing</w:t>
            </w:r>
          </w:p>
        </w:tc>
        <w:tc>
          <w:tcPr>
            <w:tcW w:w="2977" w:type="dxa"/>
            <w:vMerge/>
            <w:shd w:val="clear" w:color="auto" w:fill="A9E593"/>
          </w:tcPr>
          <w:p w14:paraId="46BC34EE" w14:textId="77777777" w:rsidR="0020511E" w:rsidRPr="00327466" w:rsidRDefault="0020511E" w:rsidP="0020511E">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color w:val="06625D"/>
                <w:lang w:val="en-US"/>
              </w:rPr>
            </w:pPr>
          </w:p>
        </w:tc>
        <w:tc>
          <w:tcPr>
            <w:tcW w:w="2976" w:type="dxa"/>
            <w:vMerge/>
          </w:tcPr>
          <w:p w14:paraId="3D475E56" w14:textId="77777777" w:rsidR="0020511E" w:rsidRPr="00327466" w:rsidRDefault="0020511E" w:rsidP="0020511E">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color w:val="06625D"/>
                <w:lang w:val="en-US"/>
              </w:rPr>
            </w:pPr>
          </w:p>
        </w:tc>
      </w:tr>
      <w:tr w:rsidR="00327466" w:rsidRPr="00327466" w14:paraId="5D454DBB" w14:textId="77777777" w:rsidTr="00FD6E25">
        <w:trPr>
          <w:cnfStyle w:val="000000100000" w:firstRow="0" w:lastRow="0" w:firstColumn="0" w:lastColumn="0" w:oddVBand="0" w:evenVBand="0" w:oddHBand="1"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3114" w:type="dxa"/>
            <w:shd w:val="clear" w:color="auto" w:fill="A9E593"/>
          </w:tcPr>
          <w:p w14:paraId="32C446E0" w14:textId="77777777" w:rsidR="0020511E" w:rsidRPr="00327466" w:rsidRDefault="0020511E" w:rsidP="0020511E">
            <w:pPr>
              <w:spacing w:before="0" w:after="0"/>
              <w:rPr>
                <w:rFonts w:eastAsia="Yu Mincho" w:cs="Open Sans"/>
                <w:color w:val="06625D"/>
                <w:lang w:val="en-US"/>
              </w:rPr>
            </w:pPr>
            <w:r w:rsidRPr="00327466">
              <w:rPr>
                <w:rFonts w:eastAsia="Yu Mincho" w:cs="Open Sans"/>
                <w:color w:val="06625D"/>
                <w:lang w:val="en-US"/>
              </w:rPr>
              <w:t>Access to respite care</w:t>
            </w:r>
          </w:p>
        </w:tc>
        <w:tc>
          <w:tcPr>
            <w:tcW w:w="2977" w:type="dxa"/>
          </w:tcPr>
          <w:p w14:paraId="2EDFC223" w14:textId="77777777" w:rsidR="0020511E" w:rsidRPr="00327466" w:rsidRDefault="0020511E" w:rsidP="0020511E">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color w:val="06625D"/>
                <w:lang w:val="en-US"/>
              </w:rPr>
            </w:pPr>
            <w:r w:rsidRPr="00327466">
              <w:rPr>
                <w:rFonts w:eastAsia="Yu Mincho" w:cs="Open Sans"/>
                <w:color w:val="06625D"/>
                <w:lang w:val="en-US"/>
              </w:rPr>
              <w:t>Increased connections and belonging</w:t>
            </w:r>
          </w:p>
        </w:tc>
        <w:tc>
          <w:tcPr>
            <w:tcW w:w="2976" w:type="dxa"/>
            <w:vMerge/>
          </w:tcPr>
          <w:p w14:paraId="59278C7C" w14:textId="77777777" w:rsidR="0020511E" w:rsidRPr="00327466" w:rsidRDefault="0020511E" w:rsidP="0020511E">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color w:val="06625D"/>
                <w:lang w:val="en-US"/>
              </w:rPr>
            </w:pPr>
          </w:p>
        </w:tc>
      </w:tr>
      <w:tr w:rsidR="00327466" w:rsidRPr="00327466" w14:paraId="25734E49" w14:textId="77777777" w:rsidTr="00FD6E25">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067" w:type="dxa"/>
            <w:gridSpan w:val="3"/>
          </w:tcPr>
          <w:p w14:paraId="61F8EB9A" w14:textId="7FAB0F39" w:rsidR="0020511E" w:rsidRPr="00327466" w:rsidRDefault="0020511E" w:rsidP="0020511E">
            <w:pPr>
              <w:spacing w:before="0" w:after="0"/>
              <w:rPr>
                <w:rFonts w:eastAsia="Yu Mincho" w:cs="Open Sans"/>
                <w:color w:val="06625D"/>
                <w:sz w:val="20"/>
                <w:szCs w:val="20"/>
                <w:lang w:val="en-US"/>
              </w:rPr>
            </w:pPr>
            <w:r w:rsidRPr="00327466">
              <w:rPr>
                <w:rFonts w:eastAsia="Yu Mincho" w:cs="Open Sans"/>
                <w:color w:val="06625D"/>
                <w:sz w:val="20"/>
                <w:szCs w:val="20"/>
                <w:lang w:val="en-US"/>
              </w:rPr>
              <w:t xml:space="preserve">NB: Monetary valuation possible for outcome cells highlighted in </w:t>
            </w:r>
            <w:r w:rsidR="00327466" w:rsidRPr="00327466">
              <w:rPr>
                <w:rFonts w:eastAsia="Yu Mincho" w:cs="Open Sans"/>
                <w:color w:val="06625D"/>
                <w:sz w:val="20"/>
                <w:szCs w:val="20"/>
                <w:lang w:val="en-US"/>
              </w:rPr>
              <w:t xml:space="preserve">darker shade of </w:t>
            </w:r>
            <w:r w:rsidRPr="00327466">
              <w:rPr>
                <w:rFonts w:eastAsia="Yu Mincho" w:cs="Open Sans"/>
                <w:color w:val="06625D"/>
                <w:sz w:val="20"/>
                <w:szCs w:val="20"/>
                <w:lang w:val="en-US"/>
              </w:rPr>
              <w:t>green only</w:t>
            </w:r>
          </w:p>
        </w:tc>
      </w:tr>
    </w:tbl>
    <w:p w14:paraId="5637C475" w14:textId="77777777" w:rsidR="0020511E" w:rsidRDefault="0020511E" w:rsidP="004A554E"/>
    <w:p w14:paraId="23B7E47E" w14:textId="5F35D354" w:rsidR="00FD6E25" w:rsidRDefault="00FD6E25" w:rsidP="00FD6E25">
      <w:pPr>
        <w:rPr>
          <w:rFonts w:cs="Open Sans"/>
          <w:color w:val="000000" w:themeColor="text1"/>
        </w:rPr>
      </w:pPr>
      <w:proofErr w:type="gramStart"/>
      <w:r w:rsidRPr="004A21AE">
        <w:rPr>
          <w:rFonts w:cs="Open Sans"/>
          <w:color w:val="000000" w:themeColor="text1"/>
        </w:rPr>
        <w:t>In order to</w:t>
      </w:r>
      <w:proofErr w:type="gramEnd"/>
      <w:r w:rsidRPr="004A21AE">
        <w:rPr>
          <w:rFonts w:cs="Open Sans"/>
          <w:color w:val="000000" w:themeColor="text1"/>
        </w:rPr>
        <w:t xml:space="preserve"> evidence the achievement of these outcomes and to give them a value</w:t>
      </w:r>
      <w:r>
        <w:rPr>
          <w:rFonts w:cs="Open Sans"/>
          <w:color w:val="000000" w:themeColor="text1"/>
        </w:rPr>
        <w:t>,</w:t>
      </w:r>
      <w:r w:rsidRPr="004A21AE">
        <w:rPr>
          <w:rFonts w:cs="Open Sans"/>
          <w:color w:val="000000" w:themeColor="text1"/>
        </w:rPr>
        <w:t xml:space="preserve"> a variety of methods were employed based on the use of three main sources of primary </w:t>
      </w:r>
      <w:r>
        <w:rPr>
          <w:rFonts w:cs="Open Sans"/>
          <w:color w:val="000000" w:themeColor="text1"/>
        </w:rPr>
        <w:t xml:space="preserve">data </w:t>
      </w:r>
      <w:r w:rsidRPr="004A21AE">
        <w:rPr>
          <w:rFonts w:cs="Open Sans"/>
          <w:color w:val="000000" w:themeColor="text1"/>
        </w:rPr>
        <w:t xml:space="preserve">and a range of secondary sources which are documented more fully in </w:t>
      </w:r>
      <w:r>
        <w:rPr>
          <w:rFonts w:cs="Open Sans"/>
          <w:color w:val="000000" w:themeColor="text1"/>
        </w:rPr>
        <w:t>the a</w:t>
      </w:r>
      <w:r w:rsidRPr="004A21AE">
        <w:rPr>
          <w:rFonts w:cs="Open Sans"/>
          <w:color w:val="000000" w:themeColor="text1"/>
        </w:rPr>
        <w:t>ppendi</w:t>
      </w:r>
      <w:r>
        <w:rPr>
          <w:rFonts w:cs="Open Sans"/>
          <w:color w:val="000000" w:themeColor="text1"/>
        </w:rPr>
        <w:t>ces to this report</w:t>
      </w:r>
      <w:r w:rsidRPr="004A21AE">
        <w:rPr>
          <w:rFonts w:cs="Open Sans"/>
          <w:color w:val="000000" w:themeColor="text1"/>
        </w:rPr>
        <w:t xml:space="preserve">. These included routine monitoring data relating to </w:t>
      </w:r>
      <w:r>
        <w:rPr>
          <w:rFonts w:cs="Open Sans"/>
          <w:color w:val="000000" w:themeColor="text1"/>
        </w:rPr>
        <w:t>LTOs</w:t>
      </w:r>
      <w:r w:rsidRPr="004A21AE">
        <w:rPr>
          <w:rFonts w:cs="Open Sans"/>
          <w:color w:val="000000" w:themeColor="text1"/>
        </w:rPr>
        <w:t xml:space="preserve">, session delivery and participants; a survey distributed to parents of participants during or following programme delivery; a survey distributed to </w:t>
      </w:r>
      <w:r>
        <w:rPr>
          <w:rFonts w:cs="Open Sans"/>
          <w:color w:val="000000" w:themeColor="text1"/>
        </w:rPr>
        <w:t>LTOs</w:t>
      </w:r>
      <w:r w:rsidRPr="004A21AE">
        <w:rPr>
          <w:rFonts w:cs="Open Sans"/>
          <w:color w:val="000000" w:themeColor="text1"/>
        </w:rPr>
        <w:t xml:space="preserve"> following programme delivery.</w:t>
      </w:r>
    </w:p>
    <w:p w14:paraId="1596720C" w14:textId="2EF92B23" w:rsidR="00FD6E25" w:rsidRPr="004A21AE" w:rsidRDefault="00FD6E25" w:rsidP="00FD6E25">
      <w:pPr>
        <w:rPr>
          <w:rFonts w:cs="Open Sans"/>
          <w:color w:val="000000" w:themeColor="text1"/>
        </w:rPr>
      </w:pPr>
      <w:r>
        <w:rPr>
          <w:rFonts w:cs="Open Sans"/>
          <w:color w:val="000000" w:themeColor="text1"/>
        </w:rPr>
        <w:t xml:space="preserve">Following assessment of available data, it was </w:t>
      </w:r>
      <w:r w:rsidRPr="00AA28B1">
        <w:rPr>
          <w:rFonts w:cs="Open Sans"/>
          <w:i/>
          <w:iCs/>
          <w:color w:val="000000" w:themeColor="text1"/>
        </w:rPr>
        <w:t>not</w:t>
      </w:r>
      <w:r>
        <w:rPr>
          <w:rFonts w:cs="Open Sans"/>
          <w:color w:val="000000" w:themeColor="text1"/>
        </w:rPr>
        <w:t xml:space="preserve"> deemed possible to provide a valuation for each of these outcomes. It </w:t>
      </w:r>
      <w:r w:rsidRPr="00AA28B1">
        <w:rPr>
          <w:rFonts w:cs="Open Sans"/>
          <w:i/>
          <w:iCs/>
          <w:color w:val="000000" w:themeColor="text1"/>
        </w:rPr>
        <w:t>was</w:t>
      </w:r>
      <w:r>
        <w:rPr>
          <w:rFonts w:cs="Open Sans"/>
          <w:color w:val="000000" w:themeColor="text1"/>
        </w:rPr>
        <w:t xml:space="preserve"> possible to represent the programme’s impact in relation to all twenty outcomes but only to represent value in monetary terms for fourteen (highlighted green in Table 1. </w:t>
      </w:r>
    </w:p>
    <w:p w14:paraId="47A1F380" w14:textId="77777777" w:rsidR="00FD6E25" w:rsidRPr="00B44BE8" w:rsidRDefault="00FD6E25" w:rsidP="00FD6E25">
      <w:pPr>
        <w:rPr>
          <w:rFonts w:cs="Open Sans"/>
        </w:rPr>
      </w:pPr>
      <w:r w:rsidRPr="004A21AE">
        <w:rPr>
          <w:rFonts w:cs="Open Sans"/>
        </w:rPr>
        <w:t>A specific valuation was prepared for the Easter 2024 programme for which it was</w:t>
      </w:r>
      <w:r w:rsidRPr="00B44BE8">
        <w:rPr>
          <w:rFonts w:cs="Open Sans"/>
        </w:rPr>
        <w:t xml:space="preserve"> possible to deploy </w:t>
      </w:r>
      <w:r>
        <w:rPr>
          <w:rFonts w:cs="Open Sans"/>
        </w:rPr>
        <w:t>bespoke survey instruments tailored to the needs of the study</w:t>
      </w:r>
      <w:r w:rsidRPr="00B44BE8">
        <w:rPr>
          <w:rFonts w:cs="Open Sans"/>
        </w:rPr>
        <w:t xml:space="preserve">. The valuations for 2022 and 2023 were reliant on pre-existing </w:t>
      </w:r>
      <w:r>
        <w:rPr>
          <w:rFonts w:cs="Open Sans"/>
        </w:rPr>
        <w:t>survey instruments which did not always cover the full range of outcomes included in the study. In these scenarios proxy values were imputed from responses provided for Easter 2024 and some other periods with adjustments made to reflect the year in question as appropriate. In all cases, values were adjusted to reflect the time limited nature of any benefits associated with short term provision.</w:t>
      </w:r>
    </w:p>
    <w:p w14:paraId="2B0757BC" w14:textId="77777777" w:rsidR="00FD6E25" w:rsidRDefault="00FD6E25" w:rsidP="00FD6E25">
      <w:pPr>
        <w:rPr>
          <w:rFonts w:cs="Open Sans"/>
          <w:color w:val="000000" w:themeColor="text1"/>
          <w:highlight w:val="yellow"/>
        </w:rPr>
      </w:pPr>
    </w:p>
    <w:p w14:paraId="27DC66F0" w14:textId="27F8AD97" w:rsidR="00FD6E25" w:rsidRPr="005C6920" w:rsidRDefault="00FD6E25" w:rsidP="00FD6E25">
      <w:pPr>
        <w:rPr>
          <w:rFonts w:cs="Open Sans"/>
          <w:color w:val="000000" w:themeColor="text1"/>
        </w:rPr>
      </w:pPr>
      <w:r w:rsidRPr="0097569F">
        <w:rPr>
          <w:rFonts w:cs="Open Sans"/>
          <w:color w:val="000000" w:themeColor="text1"/>
        </w:rPr>
        <w:lastRenderedPageBreak/>
        <w:t>In the health domain we were able to employ a ‘risk and protective factors’ model</w:t>
      </w:r>
      <w:r w:rsidRPr="0097569F">
        <w:rPr>
          <w:rStyle w:val="FootnoteReference"/>
          <w:rFonts w:cs="Open Sans"/>
          <w:color w:val="000000" w:themeColor="text1"/>
        </w:rPr>
        <w:footnoteReference w:id="6"/>
      </w:r>
      <w:r w:rsidRPr="0097569F">
        <w:rPr>
          <w:rFonts w:cs="Open Sans"/>
          <w:color w:val="000000" w:themeColor="text1"/>
        </w:rPr>
        <w:t xml:space="preserve"> for a range of physical health conditions, which considered the risk of participants in relevant population groups facing these conditions; the associated cost to society of negative outcomes; as well as the effect of participation in the physical activity elements of provision in reducing that risk</w:t>
      </w:r>
      <w:r w:rsidRPr="0097569F">
        <w:rPr>
          <w:rStyle w:val="FootnoteReference"/>
          <w:rFonts w:cs="Open Sans"/>
          <w:color w:val="000000" w:themeColor="text1"/>
        </w:rPr>
        <w:footnoteReference w:id="7"/>
      </w:r>
      <w:r w:rsidRPr="0097569F">
        <w:rPr>
          <w:rFonts w:cs="Open Sans"/>
          <w:color w:val="000000" w:themeColor="text1"/>
        </w:rPr>
        <w:t xml:space="preserve"> to calculate a per capita saving which is then multiplied by the number of participants achieving the Chief Medical Officers recommended level of physical activity through their participation </w:t>
      </w:r>
      <w:r>
        <w:rPr>
          <w:rFonts w:cs="Open Sans"/>
          <w:color w:val="000000" w:themeColor="text1"/>
        </w:rPr>
        <w:t xml:space="preserve">(revealed by responses to the parent survey) </w:t>
      </w:r>
      <w:r w:rsidRPr="0097569F">
        <w:rPr>
          <w:rFonts w:cs="Open Sans"/>
          <w:color w:val="000000" w:themeColor="text1"/>
        </w:rPr>
        <w:t xml:space="preserve">to establish an overall valuation. </w:t>
      </w:r>
      <w:r>
        <w:rPr>
          <w:rFonts w:cs="Open Sans"/>
          <w:color w:val="000000" w:themeColor="text1"/>
        </w:rPr>
        <w:t xml:space="preserve">In terms </w:t>
      </w:r>
      <w:r w:rsidRPr="005C6920">
        <w:rPr>
          <w:rFonts w:cs="Open Sans"/>
          <w:color w:val="000000" w:themeColor="text1"/>
        </w:rPr>
        <w:t>of mental health</w:t>
      </w:r>
      <w:r>
        <w:rPr>
          <w:rFonts w:cs="Open Sans"/>
          <w:color w:val="000000" w:themeColor="text1"/>
        </w:rPr>
        <w:t>,</w:t>
      </w:r>
      <w:r w:rsidRPr="005C6920">
        <w:rPr>
          <w:rFonts w:cs="Open Sans"/>
          <w:color w:val="000000" w:themeColor="text1"/>
        </w:rPr>
        <w:t xml:space="preserve"> a similar approach was employed but adjusted to take account of measured improvements in mental health </w:t>
      </w:r>
      <w:proofErr w:type="gramStart"/>
      <w:r w:rsidRPr="005C6920">
        <w:rPr>
          <w:rFonts w:cs="Open Sans"/>
          <w:color w:val="000000" w:themeColor="text1"/>
        </w:rPr>
        <w:t>as a result of</w:t>
      </w:r>
      <w:proofErr w:type="gramEnd"/>
      <w:r w:rsidRPr="005C6920">
        <w:rPr>
          <w:rFonts w:cs="Open Sans"/>
          <w:color w:val="000000" w:themeColor="text1"/>
        </w:rPr>
        <w:t xml:space="preserve"> participation.</w:t>
      </w:r>
    </w:p>
    <w:p w14:paraId="56F64F0D" w14:textId="0A284576" w:rsidR="00FD6E25" w:rsidRDefault="00FD6E25" w:rsidP="00FD6E25">
      <w:pPr>
        <w:rPr>
          <w:rStyle w:val="normaltextrun"/>
          <w:rFonts w:cs="Open Sans"/>
          <w:color w:val="000000"/>
          <w:shd w:val="clear" w:color="auto" w:fill="FFFFFF"/>
        </w:rPr>
      </w:pPr>
      <w:r w:rsidRPr="005C6920">
        <w:rPr>
          <w:rFonts w:cs="Open Sans"/>
          <w:color w:val="000000" w:themeColor="text1"/>
        </w:rPr>
        <w:t xml:space="preserve">The approach to the calculation of a value for changes in </w:t>
      </w:r>
      <w:r>
        <w:rPr>
          <w:rFonts w:cs="Open Sans"/>
          <w:color w:val="000000" w:themeColor="text1"/>
        </w:rPr>
        <w:t>w</w:t>
      </w:r>
      <w:r w:rsidRPr="005C6920">
        <w:rPr>
          <w:rFonts w:cs="Open Sans"/>
          <w:color w:val="000000" w:themeColor="text1"/>
        </w:rPr>
        <w:t xml:space="preserve">ellbeing </w:t>
      </w:r>
      <w:r>
        <w:rPr>
          <w:rFonts w:cs="Open Sans"/>
          <w:color w:val="000000" w:themeColor="text1"/>
        </w:rPr>
        <w:t xml:space="preserve">amongst both parents and participants </w:t>
      </w:r>
      <w:r w:rsidRPr="005C6920">
        <w:rPr>
          <w:rFonts w:cs="Open Sans"/>
          <w:color w:val="000000" w:themeColor="text1"/>
          <w:spacing w:val="-5"/>
        </w:rPr>
        <w:t>considered the HM Treasury Green Book supplementary guidance on wellbeing which introduced a simple, but effective measure of wellbeing, the “Wellbeing-adjusted Life Year” (WELLBY).</w:t>
      </w:r>
      <w:r>
        <w:rPr>
          <w:rFonts w:cs="Open Sans"/>
          <w:color w:val="000000" w:themeColor="text1"/>
          <w:spacing w:val="-5"/>
        </w:rPr>
        <w:t xml:space="preserve"> </w:t>
      </w:r>
      <w:r>
        <w:rPr>
          <w:rStyle w:val="normaltextrun"/>
          <w:rFonts w:cs="Open Sans"/>
          <w:color w:val="000000"/>
          <w:shd w:val="clear" w:color="auto" w:fill="FFFFFF"/>
        </w:rPr>
        <w:t>The UK Treasury defines a WELLBY as a change in life satisfaction of one point on a scale of 0-10 per person per year and recommends a value of £13,000 per WELLBY (which was adjusted to reflect current prices). We were able to assess changes in life satisfaction based on responses to the parent survey.</w:t>
      </w:r>
    </w:p>
    <w:p w14:paraId="3547890B" w14:textId="45FD7DE8" w:rsidR="00FD6E25" w:rsidRDefault="00FD6E25" w:rsidP="00FD6E25">
      <w:pPr>
        <w:rPr>
          <w:rFonts w:cs="Open Sans"/>
          <w:color w:val="000000" w:themeColor="text1"/>
          <w:spacing w:val="-5"/>
        </w:rPr>
      </w:pPr>
      <w:r>
        <w:rPr>
          <w:rFonts w:cs="Open Sans"/>
          <w:color w:val="000000" w:themeColor="text1"/>
          <w:spacing w:val="-5"/>
        </w:rPr>
        <w:t>In the time available it was not possible to provide a full evaluative assessment of the value of increased nutrition. Whilst it was possible to measure perceptions of improved nutrition, the long-term benefits of this could not be established or valued for the population group. As such a proxy value was established based on a basket of studies relating to other food provision programmes. This was set at a conservative level based on savings to the state rather than wider personal benefits to avoid the risk of double counting benefits that might have been driven by other activities.</w:t>
      </w:r>
    </w:p>
    <w:p w14:paraId="6F789B7E" w14:textId="28D41668" w:rsidR="00FD6E25" w:rsidRPr="00FD6E25" w:rsidRDefault="00FD6E25" w:rsidP="00FD6E25">
      <w:pPr>
        <w:rPr>
          <w:rFonts w:cs="Open Sans"/>
          <w:color w:val="000000" w:themeColor="text1"/>
          <w:spacing w:val="-5"/>
        </w:rPr>
      </w:pPr>
      <w:r>
        <w:rPr>
          <w:rFonts w:cs="Open Sans"/>
          <w:color w:val="000000" w:themeColor="text1"/>
          <w:spacing w:val="-5"/>
        </w:rPr>
        <w:t xml:space="preserve">Finally in the health domain, the value of access to respite care (particularly for parents of SEND participants) was based on the hours of respite that parents </w:t>
      </w:r>
      <w:r w:rsidRPr="00C76CB0">
        <w:rPr>
          <w:rFonts w:cs="Open Sans"/>
          <w:color w:val="000000" w:themeColor="text1"/>
          <w:spacing w:val="-5"/>
        </w:rPr>
        <w:t xml:space="preserve">reported gaining </w:t>
      </w:r>
      <w:proofErr w:type="gramStart"/>
      <w:r w:rsidRPr="00C76CB0">
        <w:rPr>
          <w:rFonts w:cs="Open Sans"/>
          <w:color w:val="000000" w:themeColor="text1"/>
          <w:spacing w:val="-5"/>
        </w:rPr>
        <w:t>as a result of</w:t>
      </w:r>
      <w:proofErr w:type="gramEnd"/>
      <w:r w:rsidRPr="00C76CB0">
        <w:rPr>
          <w:rFonts w:cs="Open Sans"/>
          <w:color w:val="000000" w:themeColor="text1"/>
          <w:spacing w:val="-5"/>
        </w:rPr>
        <w:t xml:space="preserve"> the programme and valued on the basis of the cost of entry level childcare provision.</w:t>
      </w:r>
    </w:p>
    <w:p w14:paraId="00F22F68" w14:textId="77777777" w:rsidR="00FD6E25" w:rsidRDefault="00FD6E25" w:rsidP="00FD6E25">
      <w:pPr>
        <w:rPr>
          <w:rFonts w:cs="Open Sans"/>
          <w:color w:val="000000" w:themeColor="text1"/>
        </w:rPr>
      </w:pPr>
      <w:r w:rsidRPr="00C76CB0">
        <w:rPr>
          <w:rFonts w:cs="Open Sans"/>
          <w:color w:val="000000" w:themeColor="text1"/>
        </w:rPr>
        <w:t xml:space="preserve">In the social domain, the value of measurements of improved </w:t>
      </w:r>
      <w:r w:rsidRPr="00C76CB0">
        <w:rPr>
          <w:rFonts w:cs="Open Sans"/>
        </w:rPr>
        <w:t xml:space="preserve">attainment at school are based on a ‘lifetime earnings’ approach that uses the differential between lifetime earnings potential across different levels of academic qualification to identify a monetary value for that impact. Valuation of improved school attendance, measured </w:t>
      </w:r>
      <w:proofErr w:type="gramStart"/>
      <w:r w:rsidRPr="00C76CB0">
        <w:rPr>
          <w:rFonts w:cs="Open Sans"/>
        </w:rPr>
        <w:t>on the basis of</w:t>
      </w:r>
      <w:proofErr w:type="gramEnd"/>
      <w:r w:rsidRPr="00C76CB0">
        <w:rPr>
          <w:rFonts w:cs="Open Sans"/>
        </w:rPr>
        <w:t xml:space="preserve"> the numbers reporting that the programme helped with transition back into school, employed the previously described </w:t>
      </w:r>
      <w:r w:rsidRPr="00C76CB0">
        <w:rPr>
          <w:rFonts w:cs="Open Sans"/>
          <w:color w:val="000000" w:themeColor="text1"/>
        </w:rPr>
        <w:t>‘risk and protective factors’ model.</w:t>
      </w:r>
    </w:p>
    <w:p w14:paraId="66115B5B" w14:textId="77777777" w:rsidR="00FD6E25" w:rsidRDefault="00FD6E25" w:rsidP="00FD6E25">
      <w:pPr>
        <w:rPr>
          <w:rFonts w:cs="Open Sans"/>
          <w:color w:val="000000" w:themeColor="text1"/>
        </w:rPr>
      </w:pPr>
    </w:p>
    <w:p w14:paraId="3E83CB78" w14:textId="6B6C678C" w:rsidR="00FD6E25" w:rsidRPr="00FD6E25" w:rsidRDefault="00FD6E25" w:rsidP="00FD6E25">
      <w:pPr>
        <w:rPr>
          <w:rFonts w:cs="Open Sans"/>
          <w:color w:val="000000" w:themeColor="text1"/>
        </w:rPr>
      </w:pPr>
      <w:r>
        <w:rPr>
          <w:rFonts w:cs="Open Sans"/>
          <w:color w:val="000000" w:themeColor="text1"/>
        </w:rPr>
        <w:lastRenderedPageBreak/>
        <w:t xml:space="preserve">Access to public services was assessed </w:t>
      </w:r>
      <w:proofErr w:type="gramStart"/>
      <w:r>
        <w:rPr>
          <w:rFonts w:cs="Open Sans"/>
          <w:color w:val="000000" w:themeColor="text1"/>
        </w:rPr>
        <w:t>on the basis of</w:t>
      </w:r>
      <w:proofErr w:type="gramEnd"/>
      <w:r>
        <w:rPr>
          <w:rFonts w:cs="Open Sans"/>
          <w:color w:val="000000" w:themeColor="text1"/>
        </w:rPr>
        <w:t xml:space="preserve"> parent responses to questions around their access to other services through Essex </w:t>
      </w:r>
      <w:proofErr w:type="spellStart"/>
      <w:r>
        <w:rPr>
          <w:rFonts w:cs="Open Sans"/>
          <w:color w:val="000000" w:themeColor="text1"/>
        </w:rPr>
        <w:t>ActivAte</w:t>
      </w:r>
      <w:proofErr w:type="spellEnd"/>
      <w:r>
        <w:rPr>
          <w:rFonts w:cs="Open Sans"/>
          <w:color w:val="000000" w:themeColor="text1"/>
        </w:rPr>
        <w:t xml:space="preserve"> provision and what they would have been prepared to pay for those services. Volunteering was assessed </w:t>
      </w:r>
      <w:proofErr w:type="gramStart"/>
      <w:r>
        <w:rPr>
          <w:rFonts w:cs="Open Sans"/>
          <w:color w:val="000000" w:themeColor="text1"/>
        </w:rPr>
        <w:t>on the basis of</w:t>
      </w:r>
      <w:proofErr w:type="gramEnd"/>
      <w:r>
        <w:rPr>
          <w:rFonts w:cs="Open Sans"/>
          <w:color w:val="000000" w:themeColor="text1"/>
        </w:rPr>
        <w:t xml:space="preserve"> the number of volunteer hours given up across programme delivery with valuation on the basis of what a payment of minimum wage would have cost. Access to training was assessed </w:t>
      </w:r>
      <w:proofErr w:type="gramStart"/>
      <w:r>
        <w:rPr>
          <w:rFonts w:cs="Open Sans"/>
          <w:color w:val="000000" w:themeColor="text1"/>
        </w:rPr>
        <w:t>on the basis of</w:t>
      </w:r>
      <w:proofErr w:type="gramEnd"/>
      <w:r>
        <w:rPr>
          <w:rFonts w:cs="Open Sans"/>
          <w:color w:val="000000" w:themeColor="text1"/>
        </w:rPr>
        <w:t xml:space="preserve"> the number of support sessions that LTOs indicated they had accessed and the number of staff they employed and valued on the basis of entry level equivalent commercial training provision. Finally, the impact of reductions in NEET was based upon the number of young leaders that LTOs engaged and valued </w:t>
      </w:r>
      <w:proofErr w:type="gramStart"/>
      <w:r>
        <w:rPr>
          <w:rFonts w:cs="Open Sans"/>
          <w:color w:val="000000" w:themeColor="text1"/>
        </w:rPr>
        <w:t>on the basis of</w:t>
      </w:r>
      <w:proofErr w:type="gramEnd"/>
      <w:r>
        <w:rPr>
          <w:rFonts w:cs="Open Sans"/>
          <w:color w:val="000000" w:themeColor="text1"/>
        </w:rPr>
        <w:t xml:space="preserve"> the alternative cost of maintaining someone’s NEET status.</w:t>
      </w:r>
    </w:p>
    <w:p w14:paraId="626A5F6C" w14:textId="38CD68E9" w:rsidR="00FD6E25" w:rsidRPr="00FD6E25" w:rsidRDefault="00FD6E25" w:rsidP="00FD6E25">
      <w:pPr>
        <w:rPr>
          <w:rFonts w:cs="Open Sans"/>
          <w:color w:val="000000" w:themeColor="text1"/>
          <w:spacing w:val="-5"/>
        </w:rPr>
      </w:pPr>
      <w:r w:rsidRPr="00C64E8F">
        <w:rPr>
          <w:rFonts w:cs="Open Sans"/>
          <w:color w:val="000000" w:themeColor="text1"/>
        </w:rPr>
        <w:t xml:space="preserve">In the economic domain a value was established relating to </w:t>
      </w:r>
      <w:r w:rsidRPr="00C64E8F">
        <w:rPr>
          <w:rFonts w:cs="Open Sans"/>
          <w:color w:val="000000" w:themeColor="text1"/>
          <w:spacing w:val="-5"/>
        </w:rPr>
        <w:t xml:space="preserve">the hours of additional employed work that parents reported being able to perform </w:t>
      </w:r>
      <w:proofErr w:type="gramStart"/>
      <w:r w:rsidRPr="00C64E8F">
        <w:rPr>
          <w:rFonts w:cs="Open Sans"/>
          <w:color w:val="000000" w:themeColor="text1"/>
          <w:spacing w:val="-5"/>
        </w:rPr>
        <w:t>as a result of</w:t>
      </w:r>
      <w:proofErr w:type="gramEnd"/>
      <w:r w:rsidRPr="00C64E8F">
        <w:rPr>
          <w:rFonts w:cs="Open Sans"/>
          <w:color w:val="000000" w:themeColor="text1"/>
          <w:spacing w:val="-5"/>
        </w:rPr>
        <w:t xml:space="preserve"> the programme, valued in terms of </w:t>
      </w:r>
      <w:r w:rsidRPr="00C64E8F">
        <w:rPr>
          <w:rFonts w:cs="Open Sans"/>
          <w:color w:val="000000" w:themeColor="text1"/>
        </w:rPr>
        <w:t>minimum wage payments.</w:t>
      </w:r>
      <w:r w:rsidRPr="00C64E8F">
        <w:rPr>
          <w:rFonts w:cs="Open Sans"/>
          <w:color w:val="000000" w:themeColor="text1"/>
          <w:spacing w:val="-5"/>
        </w:rPr>
        <w:t xml:space="preserve"> </w:t>
      </w:r>
      <w:r w:rsidRPr="00C64E8F">
        <w:rPr>
          <w:rFonts w:cs="Open Sans"/>
          <w:color w:val="000000" w:themeColor="text1"/>
        </w:rPr>
        <w:t>Participation-related expenditure is considered through use of a consumer spending approach</w:t>
      </w:r>
      <w:r w:rsidRPr="00C64E8F">
        <w:rPr>
          <w:rStyle w:val="FootnoteReference"/>
          <w:rFonts w:cs="Open Sans"/>
          <w:color w:val="000000" w:themeColor="text1"/>
        </w:rPr>
        <w:footnoteReference w:id="8"/>
      </w:r>
      <w:r w:rsidRPr="00C64E8F">
        <w:rPr>
          <w:rFonts w:cs="Open Sans"/>
          <w:color w:val="000000" w:themeColor="text1"/>
        </w:rPr>
        <w:t xml:space="preserve"> based on the results of responses to the parent survey that identified daily expenditure in relation to a range of expenditure types. Additional value created in the supply chain is represented through the application of sector specific multipliers</w:t>
      </w:r>
      <w:r w:rsidRPr="00C64E8F">
        <w:rPr>
          <w:rStyle w:val="FootnoteReference"/>
          <w:rFonts w:cs="Open Sans"/>
          <w:color w:val="000000" w:themeColor="text1"/>
        </w:rPr>
        <w:footnoteReference w:id="9"/>
      </w:r>
      <w:r w:rsidRPr="00C64E8F">
        <w:rPr>
          <w:rFonts w:cs="Open Sans"/>
          <w:color w:val="000000" w:themeColor="text1"/>
        </w:rPr>
        <w:t xml:space="preserve"> which identify, for example, the knock-on impact of spending on food and drink or kit and equipment in the retail, distribution and manufacturing sectors.</w:t>
      </w:r>
    </w:p>
    <w:p w14:paraId="75EC604A" w14:textId="3B3E80A5" w:rsidR="00FD6E25" w:rsidRDefault="00FD6E25" w:rsidP="00FD6E25">
      <w:pPr>
        <w:rPr>
          <w:rFonts w:cs="Open Sans"/>
        </w:rPr>
      </w:pPr>
      <w:r>
        <w:rPr>
          <w:rFonts w:cs="Open Sans"/>
        </w:rPr>
        <w:t xml:space="preserve">Two forms of provider related economic activity were also captured. The first of these was the value of direct local spending on food items at local stores reported by LTOs. The second relates to the value of additional funding that LTOs reported being able to access </w:t>
      </w:r>
      <w:proofErr w:type="gramStart"/>
      <w:r>
        <w:rPr>
          <w:rFonts w:cs="Open Sans"/>
        </w:rPr>
        <w:t>as a result of</w:t>
      </w:r>
      <w:proofErr w:type="gramEnd"/>
      <w:r>
        <w:rPr>
          <w:rFonts w:cs="Open Sans"/>
        </w:rPr>
        <w:t xml:space="preserve"> their participation in the programme.</w:t>
      </w:r>
    </w:p>
    <w:p w14:paraId="0836FE6F" w14:textId="77777777" w:rsidR="00FD6E25" w:rsidRDefault="00FD6E25" w:rsidP="00FD6E25">
      <w:pPr>
        <w:rPr>
          <w:rFonts w:cs="Open Sans"/>
        </w:rPr>
      </w:pPr>
      <w:r>
        <w:rPr>
          <w:rFonts w:cs="Open Sans"/>
        </w:rPr>
        <w:t>For those outcomes where we were unable to identify a suitable method to establish a monetary value, we were able to capture counts of those experiencing positive effects and these have been reflected in the report.</w:t>
      </w:r>
    </w:p>
    <w:p w14:paraId="111E204A" w14:textId="77777777" w:rsidR="0020511E" w:rsidRDefault="0020511E" w:rsidP="004A554E"/>
    <w:p w14:paraId="0C075A4F" w14:textId="77777777" w:rsidR="0020511E" w:rsidRDefault="0020511E" w:rsidP="004A554E"/>
    <w:p w14:paraId="1D3875F2" w14:textId="77777777" w:rsidR="0020511E" w:rsidRDefault="0020511E" w:rsidP="004A554E"/>
    <w:p w14:paraId="2AEB4A03" w14:textId="77777777" w:rsidR="0020511E" w:rsidRDefault="0020511E" w:rsidP="004A554E"/>
    <w:p w14:paraId="02C0FF46" w14:textId="77777777" w:rsidR="0020511E" w:rsidRDefault="0020511E" w:rsidP="004A554E"/>
    <w:p w14:paraId="4C4A8300" w14:textId="77777777" w:rsidR="00704E81" w:rsidRDefault="00704E81" w:rsidP="004A554E">
      <w:pPr>
        <w:sectPr w:rsidR="00704E81" w:rsidSect="00AA0825">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134" w:left="1134" w:header="709" w:footer="709" w:gutter="0"/>
          <w:cols w:space="708"/>
          <w:titlePg/>
          <w:docGrid w:linePitch="360"/>
        </w:sectPr>
      </w:pPr>
    </w:p>
    <w:p w14:paraId="3D666743" w14:textId="7F3CEFA0" w:rsidR="00627E25" w:rsidRDefault="00627E25" w:rsidP="00E90407">
      <w:pPr>
        <w:pStyle w:val="Heading1"/>
      </w:pPr>
      <w:r>
        <w:lastRenderedPageBreak/>
        <w:t xml:space="preserve">3.0 Theory of Change </w:t>
      </w:r>
    </w:p>
    <w:p w14:paraId="20C70708" w14:textId="1F4BB7AD" w:rsidR="00C83324" w:rsidRPr="0023710A" w:rsidRDefault="00C83324" w:rsidP="00C83324">
      <w:pPr>
        <w:rPr>
          <w:rFonts w:cs="Open Sans"/>
          <w:b/>
          <w:color w:val="000000" w:themeColor="text1"/>
        </w:rPr>
      </w:pPr>
      <w:r w:rsidRPr="0023710A">
        <w:rPr>
          <w:rFonts w:cs="Open Sans"/>
        </w:rPr>
        <w:t xml:space="preserve">Theories of change describe the change organisations want to make and the steps involved in making that change happen in a concise way. This theory of change for Essex </w:t>
      </w:r>
      <w:proofErr w:type="spellStart"/>
      <w:r w:rsidRPr="0023710A">
        <w:rPr>
          <w:rFonts w:cs="Open Sans"/>
        </w:rPr>
        <w:t>Activ</w:t>
      </w:r>
      <w:r>
        <w:rPr>
          <w:rFonts w:cs="Open Sans"/>
        </w:rPr>
        <w:t>A</w:t>
      </w:r>
      <w:r w:rsidRPr="0023710A">
        <w:rPr>
          <w:rFonts w:cs="Open Sans"/>
        </w:rPr>
        <w:t>te</w:t>
      </w:r>
      <w:proofErr w:type="spellEnd"/>
      <w:r w:rsidRPr="0023710A">
        <w:rPr>
          <w:rFonts w:cs="Open Sans"/>
        </w:rPr>
        <w:t xml:space="preserve"> was developed on the basis of a review of internal documentation and a workshop to identify and refine target goals, outcomes and processes with key staff on the </w:t>
      </w:r>
      <w:proofErr w:type="gramStart"/>
      <w:r w:rsidRPr="0023710A">
        <w:rPr>
          <w:rFonts w:cs="Open Sans"/>
        </w:rPr>
        <w:t>19</w:t>
      </w:r>
      <w:r w:rsidRPr="0023710A">
        <w:rPr>
          <w:rFonts w:cs="Open Sans"/>
          <w:vertAlign w:val="superscript"/>
        </w:rPr>
        <w:t>th</w:t>
      </w:r>
      <w:proofErr w:type="gramEnd"/>
      <w:r w:rsidRPr="0023710A">
        <w:rPr>
          <w:rFonts w:cs="Open Sans"/>
        </w:rPr>
        <w:t xml:space="preserve"> April 2024.</w:t>
      </w:r>
    </w:p>
    <w:p w14:paraId="4787BF7C" w14:textId="36D228D0" w:rsidR="0020511E" w:rsidRDefault="00037020" w:rsidP="004A554E">
      <w:r>
        <w:rPr>
          <w:noProof/>
        </w:rPr>
        <w:drawing>
          <wp:anchor distT="0" distB="0" distL="114300" distR="114300" simplePos="0" relativeHeight="251658243" behindDoc="0" locked="0" layoutInCell="1" allowOverlap="1" wp14:anchorId="62B736F1" wp14:editId="73849745">
            <wp:simplePos x="0" y="0"/>
            <wp:positionH relativeFrom="page">
              <wp:posOffset>1247775</wp:posOffset>
            </wp:positionH>
            <wp:positionV relativeFrom="paragraph">
              <wp:posOffset>-43180</wp:posOffset>
            </wp:positionV>
            <wp:extent cx="8121650" cy="4792490"/>
            <wp:effectExtent l="0" t="0" r="0" b="8255"/>
            <wp:wrapSquare wrapText="bothSides"/>
            <wp:docPr id="17683157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21650" cy="4792490"/>
                    </a:xfrm>
                    <a:prstGeom prst="rect">
                      <a:avLst/>
                    </a:prstGeom>
                    <a:noFill/>
                  </pic:spPr>
                </pic:pic>
              </a:graphicData>
            </a:graphic>
            <wp14:sizeRelH relativeFrom="page">
              <wp14:pctWidth>0</wp14:pctWidth>
            </wp14:sizeRelH>
            <wp14:sizeRelV relativeFrom="page">
              <wp14:pctHeight>0</wp14:pctHeight>
            </wp14:sizeRelV>
          </wp:anchor>
        </w:drawing>
      </w:r>
    </w:p>
    <w:p w14:paraId="0412714B" w14:textId="77777777" w:rsidR="0020511E" w:rsidRDefault="0020511E" w:rsidP="004A554E"/>
    <w:p w14:paraId="2053E905" w14:textId="77777777" w:rsidR="0020511E" w:rsidRDefault="0020511E" w:rsidP="004A554E"/>
    <w:p w14:paraId="19C00940" w14:textId="77777777" w:rsidR="0020511E" w:rsidRDefault="0020511E" w:rsidP="004A554E"/>
    <w:p w14:paraId="7636A96A" w14:textId="77777777" w:rsidR="0020511E" w:rsidRDefault="0020511E" w:rsidP="004A554E"/>
    <w:p w14:paraId="7CCB91EF" w14:textId="77777777" w:rsidR="0020511E" w:rsidRDefault="0020511E" w:rsidP="004A554E"/>
    <w:p w14:paraId="31413264" w14:textId="77777777" w:rsidR="0020511E" w:rsidRDefault="0020511E" w:rsidP="004A554E"/>
    <w:p w14:paraId="2EB889B4" w14:textId="77777777" w:rsidR="0020511E" w:rsidRDefault="0020511E" w:rsidP="004A554E"/>
    <w:p w14:paraId="0449C839" w14:textId="77777777" w:rsidR="0020511E" w:rsidRDefault="0020511E" w:rsidP="004A554E"/>
    <w:p w14:paraId="26FFF179" w14:textId="37ECC320" w:rsidR="0020511E" w:rsidRDefault="0020511E" w:rsidP="004A554E"/>
    <w:p w14:paraId="3FF5FD82" w14:textId="77777777" w:rsidR="0020511E" w:rsidRDefault="0020511E" w:rsidP="004A554E"/>
    <w:p w14:paraId="582DF14C" w14:textId="77777777" w:rsidR="0020511E" w:rsidRDefault="0020511E" w:rsidP="004A554E"/>
    <w:p w14:paraId="02E524D9" w14:textId="77777777" w:rsidR="0020511E" w:rsidRDefault="0020511E" w:rsidP="004A554E"/>
    <w:p w14:paraId="7F5BB879" w14:textId="77777777" w:rsidR="0020511E" w:rsidRDefault="0020511E" w:rsidP="004A554E"/>
    <w:p w14:paraId="1097BC19" w14:textId="77777777" w:rsidR="0020511E" w:rsidRDefault="0020511E" w:rsidP="004A554E"/>
    <w:p w14:paraId="332CB7A8" w14:textId="77777777" w:rsidR="0020511E" w:rsidRDefault="0020511E" w:rsidP="004A554E"/>
    <w:p w14:paraId="062853C3" w14:textId="77777777" w:rsidR="000E556D" w:rsidRDefault="000E556D" w:rsidP="004A554E">
      <w:pPr>
        <w:sectPr w:rsidR="000E556D" w:rsidSect="00134E78">
          <w:pgSz w:w="16838" w:h="11906" w:orient="landscape"/>
          <w:pgMar w:top="1134" w:right="1418" w:bottom="1418" w:left="1134" w:header="709" w:footer="709" w:gutter="0"/>
          <w:pgNumType w:start="9"/>
          <w:cols w:space="708"/>
          <w:titlePg/>
          <w:docGrid w:linePitch="360"/>
        </w:sectPr>
      </w:pPr>
    </w:p>
    <w:p w14:paraId="5422181C" w14:textId="77777777" w:rsidR="000E556D" w:rsidRDefault="000E556D" w:rsidP="00E90407">
      <w:pPr>
        <w:pStyle w:val="Heading1"/>
      </w:pPr>
      <w:r>
        <w:lastRenderedPageBreak/>
        <w:t>4.0 Health, Social and Economic Impacts</w:t>
      </w:r>
    </w:p>
    <w:p w14:paraId="61D93F1E" w14:textId="1518F1E9" w:rsidR="00E90407" w:rsidRDefault="00E90407" w:rsidP="00E90407">
      <w:pPr>
        <w:pStyle w:val="Heading2"/>
      </w:pPr>
      <w:r>
        <w:t>4.1 Previously reported impacts</w:t>
      </w:r>
    </w:p>
    <w:p w14:paraId="2C7EC530" w14:textId="77777777" w:rsidR="000E556D" w:rsidRPr="00055BF4" w:rsidRDefault="000E556D" w:rsidP="000E556D">
      <w:pPr>
        <w:pStyle w:val="paragraph"/>
        <w:spacing w:before="0" w:beforeAutospacing="0" w:after="0" w:afterAutospacing="0"/>
        <w:textAlignment w:val="baseline"/>
        <w:rPr>
          <w:rFonts w:ascii="Open Sans" w:hAnsi="Open Sans" w:cs="Open Sans"/>
          <w:sz w:val="22"/>
          <w:szCs w:val="22"/>
        </w:rPr>
      </w:pPr>
      <w:r w:rsidRPr="00055BF4">
        <w:rPr>
          <w:rStyle w:val="normaltextrun"/>
          <w:rFonts w:ascii="Open Sans" w:hAnsi="Open Sans" w:cs="Open Sans"/>
          <w:sz w:val="22"/>
          <w:szCs w:val="22"/>
        </w:rPr>
        <w:t xml:space="preserve">Since the launch of the Essex </w:t>
      </w:r>
      <w:proofErr w:type="spellStart"/>
      <w:r w:rsidRPr="00055BF4">
        <w:rPr>
          <w:rStyle w:val="normaltextrun"/>
          <w:rFonts w:ascii="Open Sans" w:hAnsi="Open Sans" w:cs="Open Sans"/>
          <w:sz w:val="22"/>
          <w:szCs w:val="22"/>
        </w:rPr>
        <w:t>ActivAte</w:t>
      </w:r>
      <w:proofErr w:type="spellEnd"/>
      <w:r w:rsidRPr="00055BF4">
        <w:rPr>
          <w:rStyle w:val="normaltextrun"/>
          <w:rFonts w:ascii="Open Sans" w:hAnsi="Open Sans" w:cs="Open Sans"/>
          <w:sz w:val="22"/>
          <w:szCs w:val="22"/>
        </w:rPr>
        <w:t xml:space="preserve"> programme in in 2021 it has been positively impacting on the young people attending, their families and carers and the locally trusted organisations who deliver the programme in their communities. Previously reported key achievements have included:</w:t>
      </w:r>
      <w:r w:rsidRPr="00055BF4">
        <w:rPr>
          <w:rStyle w:val="eop"/>
          <w:rFonts w:ascii="Open Sans" w:hAnsi="Open Sans" w:cs="Open Sans"/>
          <w:sz w:val="22"/>
          <w:szCs w:val="22"/>
        </w:rPr>
        <w:t> </w:t>
      </w:r>
    </w:p>
    <w:p w14:paraId="165F9F34" w14:textId="77777777" w:rsidR="000E556D" w:rsidRDefault="000E556D" w:rsidP="000E556D">
      <w:pPr>
        <w:pStyle w:val="paragraph"/>
        <w:spacing w:before="0" w:beforeAutospacing="0" w:after="0" w:afterAutospacing="0"/>
        <w:textAlignment w:val="baseline"/>
        <w:rPr>
          <w:rStyle w:val="eop"/>
          <w:rFonts w:ascii="Open Sans" w:hAnsi="Open Sans" w:cs="Open Sans"/>
          <w:sz w:val="22"/>
          <w:szCs w:val="22"/>
        </w:rPr>
      </w:pPr>
      <w:r w:rsidRPr="00055BF4">
        <w:rPr>
          <w:rStyle w:val="eop"/>
          <w:rFonts w:ascii="Open Sans" w:hAnsi="Open Sans" w:cs="Open Sans"/>
          <w:sz w:val="22"/>
          <w:szCs w:val="22"/>
        </w:rPr>
        <w:t> </w:t>
      </w:r>
    </w:p>
    <w:p w14:paraId="23372AFE" w14:textId="77777777" w:rsidR="000E556D" w:rsidRPr="000E556D" w:rsidRDefault="000E556D" w:rsidP="000E556D">
      <w:pPr>
        <w:pStyle w:val="ListParagraph"/>
        <w:rPr>
          <w:rStyle w:val="eop"/>
        </w:rPr>
      </w:pPr>
      <w:r w:rsidRPr="000E556D">
        <w:rPr>
          <w:rStyle w:val="normaltextrun"/>
          <w:rFonts w:cs="Open Sans"/>
        </w:rPr>
        <w:t>Worked in partnership with over 100 Locally Trusted Organisations</w:t>
      </w:r>
      <w:r w:rsidRPr="000E556D">
        <w:rPr>
          <w:rStyle w:val="eop"/>
          <w:rFonts w:cs="Open Sans"/>
        </w:rPr>
        <w:t> </w:t>
      </w:r>
    </w:p>
    <w:p w14:paraId="3F2A3418" w14:textId="77777777" w:rsidR="000E556D" w:rsidRPr="000E556D" w:rsidRDefault="000E556D" w:rsidP="000E556D">
      <w:pPr>
        <w:pStyle w:val="ListParagraph"/>
        <w:rPr>
          <w:rStyle w:val="eop"/>
        </w:rPr>
      </w:pPr>
      <w:r w:rsidRPr="000E556D">
        <w:rPr>
          <w:rStyle w:val="normaltextrun"/>
          <w:rFonts w:cs="Open Sans"/>
        </w:rPr>
        <w:t>Delivery of over 200 inclusive clubs each main school holidays and over 80 inclusive clubs each half term holiday</w:t>
      </w:r>
      <w:r w:rsidRPr="000E556D">
        <w:rPr>
          <w:rStyle w:val="eop"/>
          <w:rFonts w:cs="Open Sans"/>
        </w:rPr>
        <w:t> </w:t>
      </w:r>
    </w:p>
    <w:p w14:paraId="4560D062" w14:textId="77777777" w:rsidR="000E556D" w:rsidRPr="000E556D" w:rsidRDefault="000E556D" w:rsidP="000E556D">
      <w:pPr>
        <w:pStyle w:val="ListParagraph"/>
        <w:rPr>
          <w:rStyle w:val="eop"/>
        </w:rPr>
      </w:pPr>
      <w:r w:rsidRPr="000E556D">
        <w:rPr>
          <w:rStyle w:val="normaltextrun"/>
          <w:rFonts w:cs="Open Sans"/>
        </w:rPr>
        <w:t>Providing over 500,0000 free spaces at holiday clubs </w:t>
      </w:r>
      <w:r w:rsidRPr="000E556D">
        <w:rPr>
          <w:rStyle w:val="eop"/>
          <w:rFonts w:cs="Open Sans"/>
        </w:rPr>
        <w:t> </w:t>
      </w:r>
    </w:p>
    <w:p w14:paraId="72C668CA" w14:textId="77777777" w:rsidR="000E556D" w:rsidRPr="000E556D" w:rsidRDefault="000E556D" w:rsidP="000E556D">
      <w:pPr>
        <w:pStyle w:val="ListParagraph"/>
        <w:rPr>
          <w:rStyle w:val="eop"/>
        </w:rPr>
      </w:pPr>
      <w:r w:rsidRPr="000E556D">
        <w:rPr>
          <w:rStyle w:val="normaltextrun"/>
          <w:rFonts w:cs="Open Sans"/>
        </w:rPr>
        <w:t>Providing support for over 40,000 young people and their families</w:t>
      </w:r>
      <w:r w:rsidRPr="000E556D">
        <w:rPr>
          <w:rStyle w:val="eop"/>
          <w:rFonts w:cs="Open Sans"/>
        </w:rPr>
        <w:t> </w:t>
      </w:r>
    </w:p>
    <w:p w14:paraId="30A4BFAB" w14:textId="77777777" w:rsidR="000E556D" w:rsidRPr="000E556D" w:rsidRDefault="000E556D" w:rsidP="000E556D">
      <w:pPr>
        <w:pStyle w:val="ListParagraph"/>
        <w:rPr>
          <w:rStyle w:val="eop"/>
        </w:rPr>
      </w:pPr>
      <w:r w:rsidRPr="000E556D">
        <w:rPr>
          <w:rStyle w:val="normaltextrun"/>
          <w:rFonts w:cs="Open Sans"/>
        </w:rPr>
        <w:t xml:space="preserve">Providing over 750,000 meals </w:t>
      </w:r>
      <w:r w:rsidRPr="000E556D">
        <w:rPr>
          <w:rStyle w:val="normaltextrun"/>
          <w:rFonts w:ascii="Arial" w:hAnsi="Arial" w:cs="Arial"/>
        </w:rPr>
        <w:t> </w:t>
      </w:r>
      <w:r w:rsidRPr="000E556D">
        <w:rPr>
          <w:rStyle w:val="eop"/>
          <w:rFonts w:cs="Open Sans"/>
        </w:rPr>
        <w:t> </w:t>
      </w:r>
    </w:p>
    <w:p w14:paraId="564E0D6A" w14:textId="77777777" w:rsidR="000E556D" w:rsidRPr="000E556D" w:rsidRDefault="000E556D" w:rsidP="000E556D">
      <w:pPr>
        <w:pStyle w:val="ListParagraph"/>
        <w:rPr>
          <w:rStyle w:val="eop"/>
        </w:rPr>
      </w:pPr>
      <w:r w:rsidRPr="000E556D">
        <w:rPr>
          <w:rStyle w:val="normaltextrun"/>
          <w:rFonts w:cs="Open Sans"/>
        </w:rPr>
        <w:t>Providing 72,000 activity booklets and family support booklets</w:t>
      </w:r>
      <w:r w:rsidRPr="000E556D">
        <w:rPr>
          <w:rStyle w:val="eop"/>
          <w:rFonts w:cs="Open Sans"/>
        </w:rPr>
        <w:t> </w:t>
      </w:r>
    </w:p>
    <w:p w14:paraId="253B9AED" w14:textId="77777777" w:rsidR="000E556D" w:rsidRPr="000E556D" w:rsidRDefault="000E556D" w:rsidP="000E556D">
      <w:pPr>
        <w:pStyle w:val="ListParagraph"/>
        <w:rPr>
          <w:rStyle w:val="eop"/>
        </w:rPr>
      </w:pPr>
      <w:r w:rsidRPr="000E556D">
        <w:rPr>
          <w:rStyle w:val="normaltextrun"/>
          <w:rFonts w:cs="Open Sans"/>
        </w:rPr>
        <w:t>Facilitated training for over 250 individuals</w:t>
      </w:r>
      <w:r w:rsidRPr="000E556D">
        <w:rPr>
          <w:rStyle w:val="eop"/>
          <w:rFonts w:cs="Open Sans"/>
        </w:rPr>
        <w:t> </w:t>
      </w:r>
    </w:p>
    <w:p w14:paraId="2F6D873B" w14:textId="77777777" w:rsidR="000E556D" w:rsidRPr="000E556D" w:rsidRDefault="000E556D" w:rsidP="000E556D">
      <w:pPr>
        <w:pStyle w:val="ListParagraph"/>
        <w:rPr>
          <w:rStyle w:val="eop"/>
        </w:rPr>
      </w:pPr>
      <w:r w:rsidRPr="000E556D">
        <w:rPr>
          <w:rStyle w:val="normaltextrun"/>
          <w:rFonts w:cs="Open Sans"/>
        </w:rPr>
        <w:t>Provision of over 100 different activities</w:t>
      </w:r>
      <w:r w:rsidRPr="000E556D">
        <w:rPr>
          <w:rStyle w:val="eop"/>
          <w:rFonts w:cs="Open Sans"/>
        </w:rPr>
        <w:t> </w:t>
      </w:r>
    </w:p>
    <w:p w14:paraId="026ADCF0" w14:textId="77777777" w:rsidR="000E556D" w:rsidRPr="000E556D" w:rsidRDefault="000E556D" w:rsidP="000E556D">
      <w:pPr>
        <w:pStyle w:val="ListParagraph"/>
        <w:rPr>
          <w:rStyle w:val="eop"/>
        </w:rPr>
      </w:pPr>
      <w:r w:rsidRPr="000E556D">
        <w:rPr>
          <w:rStyle w:val="normaltextrun"/>
          <w:rFonts w:cs="Open Sans"/>
        </w:rPr>
        <w:t>Development of a young-leaders programme – supporting over 50 young people</w:t>
      </w:r>
      <w:r w:rsidRPr="000E556D">
        <w:rPr>
          <w:rStyle w:val="eop"/>
          <w:rFonts w:cs="Open Sans"/>
        </w:rPr>
        <w:t> </w:t>
      </w:r>
    </w:p>
    <w:p w14:paraId="4F2C5832" w14:textId="57A224CE" w:rsidR="000E556D" w:rsidRPr="000E556D" w:rsidRDefault="000E556D" w:rsidP="000E556D">
      <w:pPr>
        <w:pStyle w:val="ListParagraph"/>
      </w:pPr>
      <w:r w:rsidRPr="000E556D">
        <w:rPr>
          <w:rStyle w:val="normaltextrun"/>
          <w:rFonts w:cs="Open Sans"/>
        </w:rPr>
        <w:t>Engaging hard to reach cohorts by offering specialist clubs for those at risk of being involved in crime, to support those struggling with their mental health and children with special needs and disabilities. </w:t>
      </w:r>
      <w:r w:rsidRPr="000E556D">
        <w:rPr>
          <w:rStyle w:val="eop"/>
          <w:rFonts w:cs="Open Sans"/>
        </w:rPr>
        <w:t> </w:t>
      </w:r>
    </w:p>
    <w:p w14:paraId="734061FC" w14:textId="77777777" w:rsidR="000E556D" w:rsidRPr="00055BF4" w:rsidRDefault="000E556D" w:rsidP="000E556D">
      <w:pPr>
        <w:pStyle w:val="paragraph"/>
        <w:spacing w:before="0" w:beforeAutospacing="0" w:after="0" w:afterAutospacing="0"/>
        <w:textAlignment w:val="baseline"/>
        <w:rPr>
          <w:rFonts w:ascii="Open Sans" w:hAnsi="Open Sans" w:cs="Open Sans"/>
          <w:sz w:val="22"/>
          <w:szCs w:val="22"/>
        </w:rPr>
      </w:pPr>
      <w:r w:rsidRPr="00055BF4">
        <w:rPr>
          <w:rStyle w:val="eop"/>
          <w:rFonts w:ascii="Open Sans" w:hAnsi="Open Sans" w:cs="Open Sans"/>
          <w:sz w:val="22"/>
          <w:szCs w:val="22"/>
        </w:rPr>
        <w:t> </w:t>
      </w:r>
    </w:p>
    <w:p w14:paraId="07FBE900" w14:textId="77777777" w:rsidR="000E556D" w:rsidRPr="00055BF4" w:rsidRDefault="000E556D" w:rsidP="000E556D">
      <w:pPr>
        <w:pStyle w:val="paragraph"/>
        <w:spacing w:before="0" w:beforeAutospacing="0" w:after="0" w:afterAutospacing="0"/>
        <w:textAlignment w:val="baseline"/>
        <w:rPr>
          <w:rFonts w:ascii="Open Sans" w:hAnsi="Open Sans" w:cs="Open Sans"/>
          <w:sz w:val="22"/>
          <w:szCs w:val="22"/>
        </w:rPr>
      </w:pPr>
      <w:r w:rsidRPr="00055BF4">
        <w:rPr>
          <w:rStyle w:val="normaltextrun"/>
          <w:rFonts w:ascii="Open Sans" w:hAnsi="Open Sans" w:cs="Open Sans"/>
          <w:sz w:val="22"/>
          <w:szCs w:val="22"/>
        </w:rPr>
        <w:t>Through the programme Essex County Council has positively engaged and worked in partnership with; Public Health colleagues, Children and Families, Education, Libraries, Levelling, Digital Inclusion, Social Care, Youth Service, Essex Outdoors, Country Parks, Visit Essex, Emergency Services and Community Supermarkets.</w:t>
      </w:r>
      <w:r w:rsidRPr="00055BF4">
        <w:rPr>
          <w:rStyle w:val="eop"/>
          <w:rFonts w:ascii="Open Sans" w:hAnsi="Open Sans" w:cs="Open Sans"/>
          <w:sz w:val="22"/>
          <w:szCs w:val="22"/>
        </w:rPr>
        <w:t> </w:t>
      </w:r>
    </w:p>
    <w:p w14:paraId="66266091" w14:textId="77777777" w:rsidR="000E556D" w:rsidRPr="00055BF4" w:rsidRDefault="000E556D" w:rsidP="000E556D">
      <w:pPr>
        <w:pStyle w:val="paragraph"/>
        <w:spacing w:before="0" w:beforeAutospacing="0" w:after="0" w:afterAutospacing="0"/>
        <w:textAlignment w:val="baseline"/>
        <w:rPr>
          <w:rFonts w:ascii="Open Sans" w:hAnsi="Open Sans" w:cs="Open Sans"/>
          <w:sz w:val="22"/>
          <w:szCs w:val="22"/>
        </w:rPr>
      </w:pPr>
      <w:r w:rsidRPr="00055BF4">
        <w:rPr>
          <w:rStyle w:val="eop"/>
          <w:rFonts w:ascii="Open Sans" w:hAnsi="Open Sans" w:cs="Open Sans"/>
          <w:sz w:val="22"/>
          <w:szCs w:val="22"/>
        </w:rPr>
        <w:t> </w:t>
      </w:r>
    </w:p>
    <w:p w14:paraId="69538406" w14:textId="77777777" w:rsidR="000E556D" w:rsidRPr="00055BF4" w:rsidRDefault="000E556D" w:rsidP="000E556D">
      <w:pPr>
        <w:pStyle w:val="paragraph"/>
        <w:spacing w:before="0" w:beforeAutospacing="0" w:after="0" w:afterAutospacing="0"/>
        <w:textAlignment w:val="baseline"/>
        <w:rPr>
          <w:rFonts w:ascii="Open Sans" w:hAnsi="Open Sans" w:cs="Open Sans"/>
          <w:sz w:val="22"/>
          <w:szCs w:val="22"/>
        </w:rPr>
      </w:pPr>
      <w:r w:rsidRPr="00055BF4">
        <w:rPr>
          <w:rStyle w:val="normaltextrun"/>
          <w:rFonts w:ascii="Open Sans" w:hAnsi="Open Sans" w:cs="Open Sans"/>
          <w:sz w:val="22"/>
          <w:szCs w:val="22"/>
        </w:rPr>
        <w:t>Often facilitated through these connections, wider support outcomes achieved through the programme over the past 4 years include:</w:t>
      </w:r>
      <w:r w:rsidRPr="00055BF4">
        <w:rPr>
          <w:rStyle w:val="eop"/>
          <w:rFonts w:ascii="Open Sans" w:hAnsi="Open Sans" w:cs="Open Sans"/>
          <w:sz w:val="22"/>
          <w:szCs w:val="22"/>
        </w:rPr>
        <w:t> </w:t>
      </w:r>
    </w:p>
    <w:p w14:paraId="43FCC2DB" w14:textId="77777777" w:rsidR="000E556D" w:rsidRPr="00055BF4" w:rsidRDefault="000E556D" w:rsidP="000E556D">
      <w:pPr>
        <w:pStyle w:val="paragraph"/>
        <w:spacing w:before="0" w:beforeAutospacing="0" w:after="0" w:afterAutospacing="0"/>
        <w:textAlignment w:val="baseline"/>
        <w:rPr>
          <w:rFonts w:ascii="Open Sans" w:hAnsi="Open Sans" w:cs="Open Sans"/>
          <w:sz w:val="22"/>
          <w:szCs w:val="22"/>
        </w:rPr>
      </w:pPr>
      <w:r w:rsidRPr="00055BF4">
        <w:rPr>
          <w:rStyle w:val="eop"/>
          <w:rFonts w:ascii="Open Sans" w:hAnsi="Open Sans" w:cs="Open Sans"/>
          <w:sz w:val="22"/>
          <w:szCs w:val="22"/>
        </w:rPr>
        <w:t> </w:t>
      </w:r>
    </w:p>
    <w:p w14:paraId="52CC1BE2" w14:textId="77777777" w:rsidR="000E556D" w:rsidRDefault="000E556D" w:rsidP="000E556D">
      <w:pPr>
        <w:rPr>
          <w:rFonts w:cs="Open Sans"/>
        </w:rPr>
      </w:pPr>
      <w:r w:rsidRPr="00055BF4">
        <w:rPr>
          <w:rFonts w:cs="Open Sans"/>
        </w:rPr>
        <w:t>For Children and young people:</w:t>
      </w:r>
    </w:p>
    <w:p w14:paraId="2FF901A3" w14:textId="77777777" w:rsidR="000E556D" w:rsidRPr="000E556D" w:rsidRDefault="000E556D" w:rsidP="000E556D">
      <w:pPr>
        <w:pStyle w:val="ListParagraph"/>
      </w:pPr>
      <w:r w:rsidRPr="000E556D">
        <w:rPr>
          <w:rFonts w:cs="Open Sans"/>
        </w:rPr>
        <w:t>Improved concentration at school leading to better educational attainment.  </w:t>
      </w:r>
    </w:p>
    <w:p w14:paraId="7972D813" w14:textId="77777777" w:rsidR="000E556D" w:rsidRPr="000E556D" w:rsidRDefault="000E556D" w:rsidP="000E556D">
      <w:pPr>
        <w:pStyle w:val="ListParagraph"/>
      </w:pPr>
      <w:r w:rsidRPr="000E556D">
        <w:rPr>
          <w:rFonts w:cs="Open Sans"/>
        </w:rPr>
        <w:t>Young people having at least 1 hot nutritious meal each day. </w:t>
      </w:r>
    </w:p>
    <w:p w14:paraId="5055A6F3" w14:textId="77777777" w:rsidR="000E556D" w:rsidRPr="000E556D" w:rsidRDefault="000E556D" w:rsidP="000E556D">
      <w:pPr>
        <w:pStyle w:val="ListParagraph"/>
      </w:pPr>
      <w:r w:rsidRPr="000E556D">
        <w:rPr>
          <w:rFonts w:cs="Open Sans"/>
        </w:rPr>
        <w:t>Improved physical literacy</w:t>
      </w:r>
      <w:r>
        <w:t>.</w:t>
      </w:r>
      <w:r w:rsidRPr="000E556D">
        <w:rPr>
          <w:rFonts w:cs="Open Sans"/>
        </w:rPr>
        <w:t> </w:t>
      </w:r>
    </w:p>
    <w:p w14:paraId="43275F0D" w14:textId="77777777" w:rsidR="000E556D" w:rsidRPr="000E556D" w:rsidRDefault="000E556D" w:rsidP="000E556D">
      <w:pPr>
        <w:pStyle w:val="ListParagraph"/>
      </w:pPr>
      <w:r w:rsidRPr="000E556D">
        <w:rPr>
          <w:rFonts w:cs="Open Sans"/>
        </w:rPr>
        <w:t>Engagement in at least 60 minutes physical activity (CMO guidelines). </w:t>
      </w:r>
    </w:p>
    <w:p w14:paraId="4977B96D" w14:textId="77777777" w:rsidR="000E556D" w:rsidRPr="000E556D" w:rsidRDefault="000E556D" w:rsidP="000E556D">
      <w:pPr>
        <w:pStyle w:val="ListParagraph"/>
      </w:pPr>
      <w:r w:rsidRPr="000E556D">
        <w:rPr>
          <w:rFonts w:cs="Open Sans"/>
        </w:rPr>
        <w:t xml:space="preserve">Increased positive, healthier lifestyle choices. </w:t>
      </w:r>
    </w:p>
    <w:p w14:paraId="482B0C64" w14:textId="77777777" w:rsidR="000E556D" w:rsidRPr="000E556D" w:rsidRDefault="000E556D" w:rsidP="000E556D">
      <w:pPr>
        <w:pStyle w:val="ListParagraph"/>
      </w:pPr>
      <w:r w:rsidRPr="000E556D">
        <w:rPr>
          <w:rFonts w:cs="Open Sans"/>
        </w:rPr>
        <w:t xml:space="preserve">Improved mental health and wellbeing. </w:t>
      </w:r>
    </w:p>
    <w:p w14:paraId="257B04ED" w14:textId="77777777" w:rsidR="000E556D" w:rsidRPr="000E556D" w:rsidRDefault="000E556D" w:rsidP="000E556D">
      <w:pPr>
        <w:pStyle w:val="ListParagraph"/>
      </w:pPr>
      <w:r w:rsidRPr="000E556D">
        <w:rPr>
          <w:rFonts w:cs="Open Sans"/>
        </w:rPr>
        <w:t>SEND specific support. </w:t>
      </w:r>
    </w:p>
    <w:p w14:paraId="205BA7D3" w14:textId="77777777" w:rsidR="000E556D" w:rsidRPr="000E556D" w:rsidRDefault="000E556D" w:rsidP="000E556D">
      <w:pPr>
        <w:pStyle w:val="ListParagraph"/>
      </w:pPr>
      <w:r w:rsidRPr="000E556D">
        <w:rPr>
          <w:rFonts w:cs="Open Sans"/>
        </w:rPr>
        <w:t>Decreasing the holiday gap experience. </w:t>
      </w:r>
    </w:p>
    <w:p w14:paraId="2BF8CFCE" w14:textId="77777777" w:rsidR="000E556D" w:rsidRPr="000E556D" w:rsidRDefault="000E556D" w:rsidP="000E556D">
      <w:pPr>
        <w:pStyle w:val="ListParagraph"/>
      </w:pPr>
      <w:r w:rsidRPr="000E556D">
        <w:rPr>
          <w:rFonts w:cs="Open Sans"/>
        </w:rPr>
        <w:t>Greater social inclusion. </w:t>
      </w:r>
    </w:p>
    <w:p w14:paraId="0B620648" w14:textId="77777777" w:rsidR="000E556D" w:rsidRPr="000E556D" w:rsidRDefault="000E556D" w:rsidP="000E556D">
      <w:pPr>
        <w:pStyle w:val="ListParagraph"/>
      </w:pPr>
      <w:r w:rsidRPr="000E556D">
        <w:rPr>
          <w:rFonts w:cs="Open Sans"/>
        </w:rPr>
        <w:t>Support and peer networks formed. </w:t>
      </w:r>
    </w:p>
    <w:p w14:paraId="6B2DE7BC" w14:textId="77777777" w:rsidR="000E556D" w:rsidRPr="000E556D" w:rsidRDefault="000E556D" w:rsidP="000E556D">
      <w:pPr>
        <w:pStyle w:val="ListParagraph"/>
      </w:pPr>
      <w:r w:rsidRPr="000E556D">
        <w:rPr>
          <w:rFonts w:cs="Open Sans"/>
        </w:rPr>
        <w:t>Provision of safe spaces for children and young people to attend in holidays. </w:t>
      </w:r>
    </w:p>
    <w:p w14:paraId="5DE12BDE" w14:textId="77777777" w:rsidR="000E556D" w:rsidRPr="000E556D" w:rsidRDefault="000E556D" w:rsidP="000E556D">
      <w:pPr>
        <w:pStyle w:val="ListParagraph"/>
      </w:pPr>
      <w:r w:rsidRPr="000E556D">
        <w:rPr>
          <w:rFonts w:cs="Open Sans"/>
        </w:rPr>
        <w:lastRenderedPageBreak/>
        <w:t>Positive role models in the form of coaches, youth leaders and volunteers. </w:t>
      </w:r>
    </w:p>
    <w:p w14:paraId="0B4C9A69" w14:textId="77777777" w:rsidR="000E556D" w:rsidRPr="000E556D" w:rsidRDefault="000E556D" w:rsidP="000E556D">
      <w:pPr>
        <w:pStyle w:val="ListParagraph"/>
      </w:pPr>
      <w:r w:rsidRPr="000E556D">
        <w:rPr>
          <w:rFonts w:cs="Open Sans"/>
        </w:rPr>
        <w:t>Spaces where young people feel heard. </w:t>
      </w:r>
    </w:p>
    <w:p w14:paraId="0D7A17FB" w14:textId="77777777" w:rsidR="000E556D" w:rsidRPr="000E556D" w:rsidRDefault="000E556D" w:rsidP="000E556D">
      <w:pPr>
        <w:pStyle w:val="ListParagraph"/>
      </w:pPr>
      <w:r w:rsidRPr="000E556D">
        <w:rPr>
          <w:rFonts w:cs="Open Sans"/>
        </w:rPr>
        <w:t>Sun and water safety.</w:t>
      </w:r>
      <w:r w:rsidRPr="000E556D">
        <w:rPr>
          <w:rFonts w:ascii="Arial" w:hAnsi="Arial" w:cs="Arial"/>
        </w:rPr>
        <w:t> </w:t>
      </w:r>
      <w:r w:rsidRPr="000E556D">
        <w:rPr>
          <w:rFonts w:cs="Open Sans"/>
        </w:rPr>
        <w:t> </w:t>
      </w:r>
    </w:p>
    <w:p w14:paraId="77FF6A0F" w14:textId="77777777" w:rsidR="000E556D" w:rsidRPr="000E556D" w:rsidRDefault="000E556D" w:rsidP="000E556D">
      <w:pPr>
        <w:pStyle w:val="ListParagraph"/>
      </w:pPr>
      <w:r w:rsidRPr="000E556D">
        <w:rPr>
          <w:rFonts w:cs="Open Sans"/>
        </w:rPr>
        <w:t>Climate and environment awareness and action.</w:t>
      </w:r>
      <w:r w:rsidRPr="000E556D">
        <w:rPr>
          <w:rFonts w:ascii="Arial" w:hAnsi="Arial" w:cs="Arial"/>
        </w:rPr>
        <w:t> </w:t>
      </w:r>
      <w:r w:rsidRPr="000E556D">
        <w:rPr>
          <w:rFonts w:cs="Open Sans"/>
        </w:rPr>
        <w:t> </w:t>
      </w:r>
    </w:p>
    <w:p w14:paraId="292B41A7" w14:textId="77777777" w:rsidR="000E556D" w:rsidRPr="000E556D" w:rsidRDefault="000E556D" w:rsidP="000E556D">
      <w:pPr>
        <w:pStyle w:val="ListParagraph"/>
      </w:pPr>
      <w:r w:rsidRPr="000E556D">
        <w:rPr>
          <w:rFonts w:cs="Open Sans"/>
        </w:rPr>
        <w:t>Reduced risk of engaging in anti-social behaviour and youth criminality.  </w:t>
      </w:r>
    </w:p>
    <w:p w14:paraId="613F41D0" w14:textId="24C809C3" w:rsidR="000E556D" w:rsidRPr="000E556D" w:rsidRDefault="000E556D" w:rsidP="000E556D">
      <w:pPr>
        <w:pStyle w:val="ListParagraph"/>
      </w:pPr>
      <w:r w:rsidRPr="000E556D">
        <w:rPr>
          <w:rFonts w:cs="Open Sans"/>
        </w:rPr>
        <w:t>Reduced risk of them being vulnerable to exploitation.  </w:t>
      </w:r>
    </w:p>
    <w:p w14:paraId="115C45A0" w14:textId="77777777" w:rsidR="000E556D" w:rsidRDefault="000E556D" w:rsidP="000E556D">
      <w:pPr>
        <w:rPr>
          <w:rFonts w:cs="Open Sans"/>
        </w:rPr>
      </w:pPr>
      <w:r w:rsidRPr="00055BF4">
        <w:rPr>
          <w:rFonts w:cs="Open Sans"/>
        </w:rPr>
        <w:t>For families </w:t>
      </w:r>
    </w:p>
    <w:p w14:paraId="7303AE68" w14:textId="77777777" w:rsidR="000E556D" w:rsidRPr="000E556D" w:rsidRDefault="000E556D" w:rsidP="000E556D">
      <w:pPr>
        <w:pStyle w:val="ListParagraph"/>
      </w:pPr>
      <w:r w:rsidRPr="000E556D">
        <w:rPr>
          <w:rFonts w:cs="Open Sans"/>
        </w:rPr>
        <w:t>Regular support for families who have been most impacted via Covid and the cost-of-living crisis. </w:t>
      </w:r>
    </w:p>
    <w:p w14:paraId="63D3550B" w14:textId="77777777" w:rsidR="000E556D" w:rsidRPr="000E556D" w:rsidRDefault="000E556D" w:rsidP="000E556D">
      <w:pPr>
        <w:pStyle w:val="ListParagraph"/>
      </w:pPr>
      <w:r w:rsidRPr="000E556D">
        <w:rPr>
          <w:rFonts w:cs="Open Sans"/>
        </w:rPr>
        <w:t>Families and young people becoming embedded in local community activity.</w:t>
      </w:r>
      <w:r w:rsidRPr="000E556D">
        <w:rPr>
          <w:rFonts w:ascii="Arial" w:hAnsi="Arial" w:cs="Arial"/>
        </w:rPr>
        <w:t>  </w:t>
      </w:r>
      <w:r w:rsidRPr="000E556D">
        <w:rPr>
          <w:rFonts w:cs="Open Sans"/>
        </w:rPr>
        <w:t> </w:t>
      </w:r>
    </w:p>
    <w:p w14:paraId="6742FC87" w14:textId="77777777" w:rsidR="000E556D" w:rsidRPr="000E556D" w:rsidRDefault="000E556D" w:rsidP="000E556D">
      <w:pPr>
        <w:pStyle w:val="ListParagraph"/>
      </w:pPr>
      <w:r w:rsidRPr="000E556D">
        <w:rPr>
          <w:rFonts w:cs="Open Sans"/>
        </w:rPr>
        <w:t>Families and young people becoming more aware of support available to them.</w:t>
      </w:r>
      <w:r w:rsidRPr="000E556D">
        <w:rPr>
          <w:rFonts w:ascii="Arial" w:hAnsi="Arial" w:cs="Arial"/>
        </w:rPr>
        <w:t> </w:t>
      </w:r>
      <w:r w:rsidRPr="000E556D">
        <w:rPr>
          <w:rFonts w:cs="Open Sans"/>
        </w:rPr>
        <w:t> </w:t>
      </w:r>
    </w:p>
    <w:p w14:paraId="36317A18" w14:textId="77777777" w:rsidR="000E556D" w:rsidRPr="000E556D" w:rsidRDefault="000E556D" w:rsidP="000E556D">
      <w:pPr>
        <w:pStyle w:val="ListParagraph"/>
      </w:pPr>
      <w:r w:rsidRPr="000E556D">
        <w:rPr>
          <w:rFonts w:cs="Open Sans"/>
        </w:rPr>
        <w:t>Families and young people becoming less reliant on statutory support.</w:t>
      </w:r>
    </w:p>
    <w:p w14:paraId="31B20B0B" w14:textId="77777777" w:rsidR="000E556D" w:rsidRPr="000E556D" w:rsidRDefault="000E556D" w:rsidP="000E556D">
      <w:pPr>
        <w:pStyle w:val="ListParagraph"/>
      </w:pPr>
      <w:r w:rsidRPr="000E556D">
        <w:rPr>
          <w:rFonts w:cs="Open Sans"/>
        </w:rPr>
        <w:t>Parents being able to work during school holidays.</w:t>
      </w:r>
      <w:r w:rsidRPr="000E556D">
        <w:rPr>
          <w:rFonts w:ascii="Arial" w:hAnsi="Arial" w:cs="Arial"/>
        </w:rPr>
        <w:t> </w:t>
      </w:r>
      <w:r w:rsidRPr="000E556D">
        <w:rPr>
          <w:rFonts w:cs="Open Sans"/>
        </w:rPr>
        <w:t> </w:t>
      </w:r>
    </w:p>
    <w:p w14:paraId="5319CDF6" w14:textId="77777777" w:rsidR="000E556D" w:rsidRPr="000E556D" w:rsidRDefault="000E556D" w:rsidP="000E556D">
      <w:pPr>
        <w:pStyle w:val="ListParagraph"/>
      </w:pPr>
      <w:r w:rsidRPr="000E556D">
        <w:rPr>
          <w:rFonts w:cs="Open Sans"/>
        </w:rPr>
        <w:t>Respite support for SEND families. </w:t>
      </w:r>
    </w:p>
    <w:p w14:paraId="4A28FFA5" w14:textId="77777777" w:rsidR="000E556D" w:rsidRPr="000E556D" w:rsidRDefault="000E556D" w:rsidP="000E556D">
      <w:pPr>
        <w:pStyle w:val="ListParagraph"/>
      </w:pPr>
      <w:r w:rsidRPr="000E556D">
        <w:rPr>
          <w:rFonts w:cs="Open Sans"/>
        </w:rPr>
        <w:t>Improved wellbeing – meaning a more cohesive household. </w:t>
      </w:r>
    </w:p>
    <w:p w14:paraId="0BA1DC70" w14:textId="77777777" w:rsidR="000E556D" w:rsidRPr="000E556D" w:rsidRDefault="000E556D" w:rsidP="000E556D">
      <w:pPr>
        <w:pStyle w:val="ListParagraph"/>
      </w:pPr>
      <w:r w:rsidRPr="000E556D">
        <w:rPr>
          <w:rFonts w:cs="Open Sans"/>
        </w:rPr>
        <w:t>Up-skilling parents through multiply and food education programme. </w:t>
      </w:r>
    </w:p>
    <w:p w14:paraId="71EDA8DF" w14:textId="77777777" w:rsidR="000E556D" w:rsidRPr="000E556D" w:rsidRDefault="000E556D" w:rsidP="000E556D">
      <w:pPr>
        <w:pStyle w:val="ListParagraph"/>
      </w:pPr>
      <w:r w:rsidRPr="000E556D">
        <w:rPr>
          <w:rFonts w:cs="Open Sans"/>
        </w:rPr>
        <w:t>Giving these families and young people a voice.  </w:t>
      </w:r>
    </w:p>
    <w:p w14:paraId="67814F58" w14:textId="77777777" w:rsidR="000E556D" w:rsidRPr="000E556D" w:rsidRDefault="000E556D" w:rsidP="000E556D">
      <w:pPr>
        <w:pStyle w:val="ListParagraph"/>
      </w:pPr>
      <w:r w:rsidRPr="000E556D">
        <w:rPr>
          <w:rFonts w:cs="Open Sans"/>
        </w:rPr>
        <w:t>Digital access through free sim cards. </w:t>
      </w:r>
    </w:p>
    <w:p w14:paraId="4A18767E" w14:textId="24F509AF" w:rsidR="000E556D" w:rsidRPr="000E556D" w:rsidRDefault="000E556D" w:rsidP="000E556D">
      <w:pPr>
        <w:pStyle w:val="ListParagraph"/>
      </w:pPr>
      <w:r w:rsidRPr="000E556D">
        <w:rPr>
          <w:rFonts w:cs="Open Sans"/>
        </w:rPr>
        <w:t>Building resilience rather than reliance / dependence.  </w:t>
      </w:r>
    </w:p>
    <w:p w14:paraId="715B523B" w14:textId="77777777" w:rsidR="000E556D" w:rsidRDefault="000E556D" w:rsidP="000E556D">
      <w:pPr>
        <w:rPr>
          <w:rFonts w:cs="Open Sans"/>
        </w:rPr>
      </w:pPr>
      <w:r w:rsidRPr="00055BF4">
        <w:rPr>
          <w:rFonts w:cs="Open Sans"/>
        </w:rPr>
        <w:t>For local delivery partners </w:t>
      </w:r>
    </w:p>
    <w:p w14:paraId="553FEEA9" w14:textId="77777777" w:rsidR="008A7A9E" w:rsidRPr="008A7A9E" w:rsidRDefault="000E556D" w:rsidP="008A7A9E">
      <w:pPr>
        <w:pStyle w:val="ListParagraph"/>
      </w:pPr>
      <w:r w:rsidRPr="008A7A9E">
        <w:rPr>
          <w:rFonts w:cs="Open Sans"/>
        </w:rPr>
        <w:t xml:space="preserve">Partnership work and a whole systems approach. </w:t>
      </w:r>
    </w:p>
    <w:p w14:paraId="1D4A8483" w14:textId="77777777" w:rsidR="008A7A9E" w:rsidRPr="008A7A9E" w:rsidRDefault="000E556D" w:rsidP="008A7A9E">
      <w:pPr>
        <w:pStyle w:val="ListParagraph"/>
      </w:pPr>
      <w:r w:rsidRPr="008A7A9E">
        <w:rPr>
          <w:rFonts w:cs="Open Sans"/>
        </w:rPr>
        <w:t>Capacity and governance support for LTOs.</w:t>
      </w:r>
      <w:r w:rsidRPr="008A7A9E">
        <w:rPr>
          <w:rFonts w:ascii="Arial" w:hAnsi="Arial" w:cs="Arial"/>
        </w:rPr>
        <w:t> </w:t>
      </w:r>
      <w:r w:rsidRPr="008A7A9E">
        <w:rPr>
          <w:rFonts w:cs="Open Sans"/>
        </w:rPr>
        <w:t> </w:t>
      </w:r>
    </w:p>
    <w:p w14:paraId="295896F4" w14:textId="77777777" w:rsidR="008A7A9E" w:rsidRPr="008A7A9E" w:rsidRDefault="000E556D" w:rsidP="008A7A9E">
      <w:pPr>
        <w:pStyle w:val="ListParagraph"/>
      </w:pPr>
      <w:r w:rsidRPr="008A7A9E">
        <w:rPr>
          <w:rFonts w:cs="Open Sans"/>
        </w:rPr>
        <w:t>Upskilling and training for staff and volunteers.</w:t>
      </w:r>
      <w:r w:rsidRPr="008A7A9E">
        <w:rPr>
          <w:rFonts w:ascii="Arial" w:hAnsi="Arial" w:cs="Arial"/>
        </w:rPr>
        <w:t> </w:t>
      </w:r>
      <w:r w:rsidRPr="008A7A9E">
        <w:rPr>
          <w:rFonts w:cs="Open Sans"/>
        </w:rPr>
        <w:t> </w:t>
      </w:r>
    </w:p>
    <w:p w14:paraId="4E0BCE63" w14:textId="77777777" w:rsidR="008A7A9E" w:rsidRPr="008A7A9E" w:rsidRDefault="000E556D" w:rsidP="008A7A9E">
      <w:pPr>
        <w:pStyle w:val="ListParagraph"/>
      </w:pPr>
      <w:r w:rsidRPr="008A7A9E">
        <w:rPr>
          <w:rFonts w:cs="Open Sans"/>
        </w:rPr>
        <w:t>Creating a supported network of LTOs who share learning and best practice.</w:t>
      </w:r>
      <w:r w:rsidRPr="008A7A9E">
        <w:rPr>
          <w:rFonts w:ascii="Arial" w:hAnsi="Arial" w:cs="Arial"/>
        </w:rPr>
        <w:t> </w:t>
      </w:r>
      <w:r w:rsidRPr="008A7A9E">
        <w:rPr>
          <w:rFonts w:cs="Open Sans"/>
        </w:rPr>
        <w:t> </w:t>
      </w:r>
    </w:p>
    <w:p w14:paraId="07745B66" w14:textId="77777777" w:rsidR="008A7A9E" w:rsidRPr="008A7A9E" w:rsidRDefault="000E556D" w:rsidP="008A7A9E">
      <w:pPr>
        <w:pStyle w:val="ListParagraph"/>
      </w:pPr>
      <w:r w:rsidRPr="008A7A9E">
        <w:rPr>
          <w:rFonts w:cs="Open Sans"/>
        </w:rPr>
        <w:t>Increased reach into local communities. </w:t>
      </w:r>
    </w:p>
    <w:p w14:paraId="023133EB" w14:textId="77777777" w:rsidR="008A7A9E" w:rsidRPr="008A7A9E" w:rsidRDefault="000E556D" w:rsidP="008A7A9E">
      <w:pPr>
        <w:pStyle w:val="ListParagraph"/>
      </w:pPr>
      <w:r w:rsidRPr="008A7A9E">
        <w:rPr>
          <w:rFonts w:cs="Open Sans"/>
        </w:rPr>
        <w:t>Wider support package to young people and families.</w:t>
      </w:r>
    </w:p>
    <w:p w14:paraId="4ADF07E1" w14:textId="77777777" w:rsidR="008A7A9E" w:rsidRPr="008A7A9E" w:rsidRDefault="000E556D" w:rsidP="008A7A9E">
      <w:pPr>
        <w:pStyle w:val="ListParagraph"/>
      </w:pPr>
      <w:r w:rsidRPr="008A7A9E">
        <w:rPr>
          <w:rFonts w:cs="Open Sans"/>
        </w:rPr>
        <w:t>Increased income and sustained business. </w:t>
      </w:r>
    </w:p>
    <w:p w14:paraId="046CFA2A" w14:textId="512EC291" w:rsidR="000E556D" w:rsidRPr="00556AF2" w:rsidRDefault="000E556D" w:rsidP="000E556D">
      <w:pPr>
        <w:pStyle w:val="ListParagraph"/>
      </w:pPr>
      <w:r w:rsidRPr="008A7A9E">
        <w:rPr>
          <w:rFonts w:cs="Open Sans"/>
        </w:rPr>
        <w:t>Relationship building with local schools / wrap around care. </w:t>
      </w:r>
    </w:p>
    <w:p w14:paraId="63C5DEF8" w14:textId="77777777" w:rsidR="000E556D" w:rsidRDefault="000E556D" w:rsidP="000E556D">
      <w:pPr>
        <w:rPr>
          <w:rFonts w:cs="Open Sans"/>
        </w:rPr>
      </w:pPr>
      <w:r w:rsidRPr="00055BF4">
        <w:rPr>
          <w:rFonts w:cs="Open Sans"/>
        </w:rPr>
        <w:t>For local communities </w:t>
      </w:r>
    </w:p>
    <w:p w14:paraId="6C6C1E93" w14:textId="77777777" w:rsidR="008A7A9E" w:rsidRPr="008A7A9E" w:rsidRDefault="000E556D" w:rsidP="008A7A9E">
      <w:pPr>
        <w:pStyle w:val="ListParagraph"/>
      </w:pPr>
      <w:r w:rsidRPr="008A7A9E">
        <w:rPr>
          <w:rFonts w:cs="Open Sans"/>
        </w:rPr>
        <w:t>Youth crime prevention.</w:t>
      </w:r>
      <w:r w:rsidRPr="008A7A9E">
        <w:rPr>
          <w:rFonts w:ascii="Arial" w:hAnsi="Arial" w:cs="Arial"/>
        </w:rPr>
        <w:t> </w:t>
      </w:r>
      <w:r w:rsidRPr="008A7A9E">
        <w:rPr>
          <w:rFonts w:cs="Open Sans"/>
        </w:rPr>
        <w:t> </w:t>
      </w:r>
    </w:p>
    <w:p w14:paraId="3FEF8156" w14:textId="77777777" w:rsidR="008A7A9E" w:rsidRPr="008A7A9E" w:rsidRDefault="000E556D" w:rsidP="008A7A9E">
      <w:pPr>
        <w:pStyle w:val="ListParagraph"/>
      </w:pPr>
      <w:r w:rsidRPr="008A7A9E">
        <w:rPr>
          <w:rFonts w:cs="Open Sans"/>
        </w:rPr>
        <w:t>Employment opportunities for local people.</w:t>
      </w:r>
      <w:r w:rsidRPr="008A7A9E">
        <w:rPr>
          <w:rFonts w:ascii="Arial" w:hAnsi="Arial" w:cs="Arial"/>
        </w:rPr>
        <w:t> </w:t>
      </w:r>
      <w:r w:rsidRPr="008A7A9E">
        <w:rPr>
          <w:rFonts w:cs="Open Sans"/>
        </w:rPr>
        <w:t> </w:t>
      </w:r>
    </w:p>
    <w:p w14:paraId="0B6BD27D" w14:textId="77777777" w:rsidR="008A7A9E" w:rsidRPr="008A7A9E" w:rsidRDefault="000E556D" w:rsidP="008A7A9E">
      <w:pPr>
        <w:pStyle w:val="ListParagraph"/>
      </w:pPr>
      <w:r w:rsidRPr="008A7A9E">
        <w:rPr>
          <w:rFonts w:cs="Open Sans"/>
        </w:rPr>
        <w:t>Economic benefits (local caterers, enrichment activity providers, schools, community venue hire).</w:t>
      </w:r>
      <w:r w:rsidRPr="008A7A9E">
        <w:rPr>
          <w:rFonts w:ascii="Arial" w:hAnsi="Arial" w:cs="Arial"/>
        </w:rPr>
        <w:t> </w:t>
      </w:r>
      <w:r w:rsidRPr="008A7A9E">
        <w:rPr>
          <w:rFonts w:cs="Open Sans"/>
        </w:rPr>
        <w:t> </w:t>
      </w:r>
    </w:p>
    <w:p w14:paraId="30B03446" w14:textId="77777777" w:rsidR="008A7A9E" w:rsidRPr="008A7A9E" w:rsidRDefault="000E556D" w:rsidP="008A7A9E">
      <w:pPr>
        <w:pStyle w:val="ListParagraph"/>
      </w:pPr>
      <w:r w:rsidRPr="008A7A9E">
        <w:rPr>
          <w:rFonts w:cs="Open Sans"/>
        </w:rPr>
        <w:t>Increase in families and young people playing a positive role in local communities.</w:t>
      </w:r>
    </w:p>
    <w:p w14:paraId="78CDF06E" w14:textId="77777777" w:rsidR="002518F7" w:rsidRPr="002518F7" w:rsidRDefault="000E556D" w:rsidP="002518F7">
      <w:pPr>
        <w:pStyle w:val="ListParagraph"/>
      </w:pPr>
      <w:r w:rsidRPr="008A7A9E">
        <w:rPr>
          <w:rFonts w:cs="Open Sans"/>
        </w:rPr>
        <w:t>Local community hubs developed. </w:t>
      </w:r>
    </w:p>
    <w:p w14:paraId="170A0F10" w14:textId="2296917C" w:rsidR="008A7A9E" w:rsidRPr="00556AF2" w:rsidRDefault="000E556D" w:rsidP="000E556D">
      <w:pPr>
        <w:pStyle w:val="ListParagraph"/>
      </w:pPr>
      <w:r w:rsidRPr="002518F7">
        <w:rPr>
          <w:rFonts w:cs="Open Sans"/>
        </w:rPr>
        <w:t>Increased community cohesion, social impact. </w:t>
      </w:r>
    </w:p>
    <w:p w14:paraId="0D21E6FD" w14:textId="77777777" w:rsidR="000E556D" w:rsidRDefault="000E556D" w:rsidP="000E556D">
      <w:pPr>
        <w:rPr>
          <w:rFonts w:cs="Open Sans"/>
        </w:rPr>
      </w:pPr>
      <w:r w:rsidRPr="00055BF4">
        <w:rPr>
          <w:rFonts w:cs="Open Sans"/>
        </w:rPr>
        <w:t>For Essex County Council – supporting Everyone’s Essex </w:t>
      </w:r>
    </w:p>
    <w:p w14:paraId="4892ADCC" w14:textId="77777777" w:rsidR="002518F7" w:rsidRPr="002518F7" w:rsidRDefault="000E556D" w:rsidP="002518F7">
      <w:pPr>
        <w:pStyle w:val="ListParagraph"/>
      </w:pPr>
      <w:r w:rsidRPr="002518F7">
        <w:rPr>
          <w:rFonts w:cs="Open Sans"/>
        </w:rPr>
        <w:t>Unique access and trusted relationships with over 40,000 families who are eligible for income related free school meals or vulnerable and in need of support. </w:t>
      </w:r>
    </w:p>
    <w:p w14:paraId="61827583" w14:textId="77777777" w:rsidR="002518F7" w:rsidRPr="002518F7" w:rsidRDefault="000E556D" w:rsidP="002518F7">
      <w:pPr>
        <w:pStyle w:val="ListParagraph"/>
      </w:pPr>
      <w:r w:rsidRPr="002518F7">
        <w:rPr>
          <w:rFonts w:cs="Open Sans"/>
        </w:rPr>
        <w:t>Better supported families who are less likely to need to access more expensive support / provisions. </w:t>
      </w:r>
    </w:p>
    <w:p w14:paraId="665739B4" w14:textId="77777777" w:rsidR="002518F7" w:rsidRPr="002518F7" w:rsidRDefault="000E556D" w:rsidP="002518F7">
      <w:pPr>
        <w:pStyle w:val="ListParagraph"/>
      </w:pPr>
      <w:r w:rsidRPr="002518F7">
        <w:rPr>
          <w:rFonts w:cs="Open Sans"/>
        </w:rPr>
        <w:lastRenderedPageBreak/>
        <w:t>Opportunity to build resilience of young people and families, as opposed to building reliance / dependence. </w:t>
      </w:r>
    </w:p>
    <w:p w14:paraId="5B4108A3" w14:textId="77777777" w:rsidR="002518F7" w:rsidRPr="002518F7" w:rsidRDefault="000E556D" w:rsidP="002518F7">
      <w:pPr>
        <w:pStyle w:val="ListParagraph"/>
      </w:pPr>
      <w:r w:rsidRPr="002518F7">
        <w:rPr>
          <w:rFonts w:cs="Open Sans"/>
        </w:rPr>
        <w:t>Greater community cohesion. </w:t>
      </w:r>
    </w:p>
    <w:p w14:paraId="407EB832" w14:textId="77777777" w:rsidR="002518F7" w:rsidRPr="002518F7" w:rsidRDefault="000E556D" w:rsidP="002518F7">
      <w:pPr>
        <w:pStyle w:val="ListParagraph"/>
      </w:pPr>
      <w:r w:rsidRPr="002518F7">
        <w:rPr>
          <w:rFonts w:cs="Open Sans"/>
        </w:rPr>
        <w:t>Partnership work with local authority areas. </w:t>
      </w:r>
    </w:p>
    <w:p w14:paraId="4DA0F83F" w14:textId="77777777" w:rsidR="002518F7" w:rsidRPr="002518F7" w:rsidRDefault="000E556D" w:rsidP="002518F7">
      <w:pPr>
        <w:pStyle w:val="ListParagraph"/>
      </w:pPr>
      <w:r w:rsidRPr="002518F7">
        <w:rPr>
          <w:rFonts w:cs="Open Sans"/>
        </w:rPr>
        <w:t xml:space="preserve">Reputation with other local authorities across the Country as Essex </w:t>
      </w:r>
      <w:proofErr w:type="spellStart"/>
      <w:r w:rsidRPr="002518F7">
        <w:rPr>
          <w:rFonts w:cs="Open Sans"/>
        </w:rPr>
        <w:t>ActivAte</w:t>
      </w:r>
      <w:proofErr w:type="spellEnd"/>
      <w:r w:rsidRPr="002518F7">
        <w:rPr>
          <w:rFonts w:cs="Open Sans"/>
        </w:rPr>
        <w:t xml:space="preserve"> is often seen as best practice in terms of HAF programmes and providing wider support for families. </w:t>
      </w:r>
    </w:p>
    <w:p w14:paraId="2FBCEBC9" w14:textId="77777777" w:rsidR="002518F7" w:rsidRPr="002518F7" w:rsidRDefault="000E556D" w:rsidP="002518F7">
      <w:pPr>
        <w:pStyle w:val="ListParagraph"/>
      </w:pPr>
      <w:r w:rsidRPr="002518F7">
        <w:rPr>
          <w:rFonts w:cs="Open Sans"/>
        </w:rPr>
        <w:t>Insight into local needs. </w:t>
      </w:r>
    </w:p>
    <w:p w14:paraId="1874953A" w14:textId="77777777" w:rsidR="002518F7" w:rsidRPr="002518F7" w:rsidRDefault="000E556D" w:rsidP="002518F7">
      <w:pPr>
        <w:pStyle w:val="ListParagraph"/>
      </w:pPr>
      <w:r w:rsidRPr="002518F7">
        <w:rPr>
          <w:rFonts w:cs="Open Sans"/>
        </w:rPr>
        <w:t>Relationships with locally trusted organisations. </w:t>
      </w:r>
    </w:p>
    <w:p w14:paraId="2FD4C45B" w14:textId="77777777" w:rsidR="002518F7" w:rsidRPr="002518F7" w:rsidRDefault="000E556D" w:rsidP="002518F7">
      <w:pPr>
        <w:pStyle w:val="ListParagraph"/>
      </w:pPr>
      <w:r w:rsidRPr="002518F7">
        <w:rPr>
          <w:rFonts w:cs="Open Sans"/>
        </w:rPr>
        <w:t>The development of levelling up projects via locally trusted organisations. </w:t>
      </w:r>
    </w:p>
    <w:p w14:paraId="37250D9E" w14:textId="77777777" w:rsidR="002518F7" w:rsidRPr="002518F7" w:rsidRDefault="000E556D" w:rsidP="002518F7">
      <w:pPr>
        <w:pStyle w:val="ListParagraph"/>
      </w:pPr>
      <w:r w:rsidRPr="002518F7">
        <w:rPr>
          <w:rFonts w:cs="Open Sans"/>
        </w:rPr>
        <w:t>General health improvements including, crucially, mental health and provision to families of the knowledge and support to live healthier, happier lives.  </w:t>
      </w:r>
    </w:p>
    <w:p w14:paraId="76EE1713" w14:textId="77777777" w:rsidR="002518F7" w:rsidRPr="002518F7" w:rsidRDefault="000E556D" w:rsidP="002518F7">
      <w:pPr>
        <w:pStyle w:val="ListParagraph"/>
      </w:pPr>
      <w:r w:rsidRPr="002518F7">
        <w:rPr>
          <w:rFonts w:cs="Open Sans"/>
        </w:rPr>
        <w:t>Better outcomes for vulnerable families and stability in their local community, ensuring that young people and their families have independence and an active role to play as a community member. </w:t>
      </w:r>
    </w:p>
    <w:p w14:paraId="13256884" w14:textId="5C6C8280" w:rsidR="000E556D" w:rsidRDefault="000E556D" w:rsidP="000E556D">
      <w:pPr>
        <w:pStyle w:val="ListParagraph"/>
      </w:pPr>
      <w:r w:rsidRPr="002518F7">
        <w:rPr>
          <w:rFonts w:cs="Open Sans"/>
        </w:rPr>
        <w:t>Neutral, and potentially beneficial, impact on ECC’s net zero ambitions. </w:t>
      </w:r>
    </w:p>
    <w:p w14:paraId="0A53B966" w14:textId="718837EC" w:rsidR="00860928" w:rsidRDefault="00860928" w:rsidP="00860928">
      <w:pPr>
        <w:pStyle w:val="Heading2"/>
      </w:pPr>
      <w:r>
        <w:t>4.2 Recently established impacts</w:t>
      </w:r>
    </w:p>
    <w:p w14:paraId="668F1111" w14:textId="0F699EBE" w:rsidR="009B43B4" w:rsidRDefault="009B43B4" w:rsidP="009B43B4">
      <w:pPr>
        <w:jc w:val="both"/>
        <w:rPr>
          <w:rFonts w:cs="Open Sans"/>
          <w:color w:val="000000" w:themeColor="text1"/>
        </w:rPr>
      </w:pPr>
      <w:r>
        <w:rPr>
          <w:rFonts w:cs="Open Sans"/>
          <w:color w:val="000000" w:themeColor="text1"/>
        </w:rPr>
        <w:t>As part of the social valuing exercise a range of data was gathered which included primary research with the parents/carers of young people accessing holiday clubs and the LTOs delivering them.</w:t>
      </w:r>
    </w:p>
    <w:p w14:paraId="10DE0D45" w14:textId="3A4C83C6" w:rsidR="009B43B4" w:rsidRPr="00B44BE8" w:rsidRDefault="009B43B4" w:rsidP="009B43B4">
      <w:pPr>
        <w:jc w:val="both"/>
        <w:rPr>
          <w:rFonts w:cs="Open Sans"/>
          <w:b/>
          <w:bCs/>
          <w:color w:val="000000" w:themeColor="text1"/>
        </w:rPr>
      </w:pPr>
      <w:r>
        <w:rPr>
          <w:rFonts w:cs="Open Sans"/>
          <w:color w:val="000000" w:themeColor="text1"/>
        </w:rPr>
        <w:t xml:space="preserve">Whilst the surveys were designed to collect information relating to the full range of evaluations, many questions were specifically related to Essex </w:t>
      </w:r>
      <w:proofErr w:type="spellStart"/>
      <w:r>
        <w:rPr>
          <w:rFonts w:cs="Open Sans"/>
          <w:color w:val="000000" w:themeColor="text1"/>
        </w:rPr>
        <w:t>ActivAte’s</w:t>
      </w:r>
      <w:proofErr w:type="spellEnd"/>
      <w:r>
        <w:rPr>
          <w:rFonts w:cs="Open Sans"/>
          <w:color w:val="000000" w:themeColor="text1"/>
        </w:rPr>
        <w:t xml:space="preserve"> social impact and value during the Easter 2024 provision.</w:t>
      </w:r>
    </w:p>
    <w:p w14:paraId="41128478" w14:textId="6B3A627A" w:rsidR="009B43B4" w:rsidRDefault="009B43B4" w:rsidP="009B43B4">
      <w:pPr>
        <w:rPr>
          <w:rFonts w:cs="Open Sans"/>
          <w:color w:val="000000" w:themeColor="text1"/>
        </w:rPr>
      </w:pPr>
      <w:r w:rsidRPr="007F28FB">
        <w:rPr>
          <w:rFonts w:cs="Open Sans"/>
          <w:color w:val="000000" w:themeColor="text1"/>
        </w:rPr>
        <w:t xml:space="preserve">For children and young </w:t>
      </w:r>
      <w:r>
        <w:rPr>
          <w:rFonts w:cs="Open Sans"/>
          <w:color w:val="000000" w:themeColor="text1"/>
        </w:rPr>
        <w:t>people, it is clear that, at least during this period of provision, the core aims of the programme were met.</w:t>
      </w:r>
    </w:p>
    <w:p w14:paraId="7E70B520" w14:textId="77777777" w:rsidR="009B43B4" w:rsidRDefault="009B43B4" w:rsidP="009B43B4">
      <w:pPr>
        <w:rPr>
          <w:rFonts w:cs="Open Sans"/>
          <w:color w:val="000000" w:themeColor="text1"/>
        </w:rPr>
      </w:pPr>
      <w:r>
        <w:rPr>
          <w:rFonts w:cs="Open Sans"/>
          <w:color w:val="000000" w:themeColor="text1"/>
        </w:rPr>
        <w:t>In terms of nutrition, of the 332 parents responding to the parent survey:</w:t>
      </w:r>
    </w:p>
    <w:p w14:paraId="69FE5418" w14:textId="77777777" w:rsidR="009B43B4" w:rsidRPr="009B43B4" w:rsidRDefault="009B43B4" w:rsidP="009B43B4">
      <w:pPr>
        <w:pStyle w:val="ListParagraph"/>
      </w:pPr>
      <w:r w:rsidRPr="009B43B4">
        <w:rPr>
          <w:rFonts w:cs="Open Sans"/>
          <w:color w:val="000000" w:themeColor="text1"/>
        </w:rPr>
        <w:t>72% reported that their children were eligible for income-based free school meals.</w:t>
      </w:r>
    </w:p>
    <w:p w14:paraId="6FA87CCB" w14:textId="77777777" w:rsidR="009B43B4" w:rsidRPr="009B43B4" w:rsidRDefault="009B43B4" w:rsidP="009B43B4">
      <w:pPr>
        <w:pStyle w:val="ListParagraph"/>
      </w:pPr>
      <w:r w:rsidRPr="009B43B4">
        <w:rPr>
          <w:rFonts w:cs="Open Sans"/>
          <w:color w:val="000000" w:themeColor="text1"/>
        </w:rPr>
        <w:t>83% reported that their children had been offered a hot meal.</w:t>
      </w:r>
    </w:p>
    <w:p w14:paraId="4E81036C" w14:textId="77777777" w:rsidR="009B43B4" w:rsidRPr="009B43B4" w:rsidRDefault="009B43B4" w:rsidP="009B43B4">
      <w:pPr>
        <w:pStyle w:val="ListParagraph"/>
      </w:pPr>
      <w:r w:rsidRPr="009B43B4">
        <w:rPr>
          <w:rFonts w:cs="Open Sans"/>
          <w:color w:val="000000" w:themeColor="text1"/>
        </w:rPr>
        <w:t>74% reported that their children took up the offer of a hot meal with 23% trying new foods at their holiday club and at home following attendance.</w:t>
      </w:r>
    </w:p>
    <w:p w14:paraId="42585C03" w14:textId="77777777" w:rsidR="009B43B4" w:rsidRPr="009B43B4" w:rsidRDefault="009B43B4" w:rsidP="009B43B4">
      <w:pPr>
        <w:pStyle w:val="ListParagraph"/>
      </w:pPr>
      <w:r w:rsidRPr="009B43B4">
        <w:rPr>
          <w:rFonts w:cs="Open Sans"/>
          <w:color w:val="000000" w:themeColor="text1"/>
        </w:rPr>
        <w:t>88% rated the food provided as either very satisfactory or satisfactory.</w:t>
      </w:r>
    </w:p>
    <w:p w14:paraId="3BF17FF7" w14:textId="77777777" w:rsidR="00660608" w:rsidRPr="00660608" w:rsidRDefault="009B43B4" w:rsidP="009B43B4">
      <w:pPr>
        <w:pStyle w:val="ListParagraph"/>
      </w:pPr>
      <w:r w:rsidRPr="009B43B4">
        <w:rPr>
          <w:rFonts w:cs="Open Sans"/>
          <w:color w:val="000000" w:themeColor="text1"/>
        </w:rPr>
        <w:t>40% highlighted nutritional value as the reason for their satisfaction.</w:t>
      </w:r>
    </w:p>
    <w:p w14:paraId="7ED55198" w14:textId="3A16F9A8" w:rsidR="009B43B4" w:rsidRDefault="009B43B4" w:rsidP="009B43B4"/>
    <w:p w14:paraId="69871893" w14:textId="77777777" w:rsidR="00660608" w:rsidRDefault="00660608" w:rsidP="009B43B4"/>
    <w:p w14:paraId="26CEB038" w14:textId="77777777" w:rsidR="00660608" w:rsidRDefault="00660608" w:rsidP="009B43B4"/>
    <w:p w14:paraId="76E76D62" w14:textId="77777777" w:rsidR="00660608" w:rsidRDefault="00660608" w:rsidP="009B43B4"/>
    <w:p w14:paraId="1B0E50D3" w14:textId="77777777" w:rsidR="00660608" w:rsidRDefault="00660608" w:rsidP="009B43B4"/>
    <w:tbl>
      <w:tblPr>
        <w:tblStyle w:val="TableGrid"/>
        <w:tblW w:w="0" w:type="auto"/>
        <w:tblLook w:val="04A0" w:firstRow="1" w:lastRow="0" w:firstColumn="1" w:lastColumn="0" w:noHBand="0" w:noVBand="1"/>
      </w:tblPr>
      <w:tblGrid>
        <w:gridCol w:w="9344"/>
      </w:tblGrid>
      <w:tr w:rsidR="00660608" w:rsidRPr="00660608" w14:paraId="775F5E16" w14:textId="77777777" w:rsidTr="00660608">
        <w:tc>
          <w:tcPr>
            <w:tcW w:w="9344" w:type="dxa"/>
            <w:shd w:val="clear" w:color="auto" w:fill="01615C"/>
          </w:tcPr>
          <w:p w14:paraId="7E3CA3A8" w14:textId="49645DF5" w:rsidR="00660608" w:rsidRPr="00660608" w:rsidRDefault="00660608" w:rsidP="009B43B4">
            <w:pPr>
              <w:rPr>
                <w:b/>
                <w:bCs/>
                <w:color w:val="FFFFFF" w:themeColor="background1"/>
                <w:sz w:val="24"/>
                <w:szCs w:val="24"/>
              </w:rPr>
            </w:pPr>
            <w:r w:rsidRPr="00660608">
              <w:rPr>
                <w:b/>
                <w:bCs/>
                <w:color w:val="FFFFFF" w:themeColor="background1"/>
                <w:sz w:val="24"/>
                <w:szCs w:val="24"/>
              </w:rPr>
              <w:lastRenderedPageBreak/>
              <w:t>Chart 1: Benefits of Attendance</w:t>
            </w:r>
          </w:p>
        </w:tc>
      </w:tr>
      <w:tr w:rsidR="00660608" w14:paraId="1EF380E6" w14:textId="77777777" w:rsidTr="00660608">
        <w:tc>
          <w:tcPr>
            <w:tcW w:w="9344" w:type="dxa"/>
          </w:tcPr>
          <w:p w14:paraId="20A96E27" w14:textId="1E748769" w:rsidR="00660608" w:rsidRDefault="00660608" w:rsidP="009B43B4">
            <w:r>
              <w:rPr>
                <w:noProof/>
              </w:rPr>
              <w:drawing>
                <wp:inline distT="0" distB="0" distL="0" distR="0" wp14:anchorId="777B97C4" wp14:editId="08BBDF02">
                  <wp:extent cx="5939790" cy="2432685"/>
                  <wp:effectExtent l="0" t="0" r="3810" b="5715"/>
                  <wp:docPr id="210808066" name="Picture 5" descr="A graph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08066" name="Picture 5" descr="A graph with text on it&#10;&#10;Description automatically generated"/>
                          <pic:cNvPicPr/>
                        </pic:nvPicPr>
                        <pic:blipFill rotWithShape="1">
                          <a:blip r:embed="rId18">
                            <a:extLst>
                              <a:ext uri="{28A0092B-C50C-407E-A947-70E740481C1C}">
                                <a14:useLocalDpi xmlns:a14="http://schemas.microsoft.com/office/drawing/2010/main" val="0"/>
                              </a:ext>
                            </a:extLst>
                          </a:blip>
                          <a:srcRect t="14315"/>
                          <a:stretch/>
                        </pic:blipFill>
                        <pic:spPr bwMode="auto">
                          <a:xfrm>
                            <a:off x="0" y="0"/>
                            <a:ext cx="5939790" cy="2432685"/>
                          </a:xfrm>
                          <a:prstGeom prst="rect">
                            <a:avLst/>
                          </a:prstGeom>
                          <a:ln>
                            <a:noFill/>
                          </a:ln>
                          <a:extLst>
                            <a:ext uri="{53640926-AAD7-44D8-BBD7-CCE9431645EC}">
                              <a14:shadowObscured xmlns:a14="http://schemas.microsoft.com/office/drawing/2010/main"/>
                            </a:ext>
                          </a:extLst>
                        </pic:spPr>
                      </pic:pic>
                    </a:graphicData>
                  </a:graphic>
                </wp:inline>
              </w:drawing>
            </w:r>
          </w:p>
        </w:tc>
      </w:tr>
    </w:tbl>
    <w:p w14:paraId="120167B9" w14:textId="77777777" w:rsidR="00660608" w:rsidRPr="00660608" w:rsidRDefault="00660608" w:rsidP="009B43B4"/>
    <w:p w14:paraId="58A82941" w14:textId="77777777" w:rsidR="009B43B4" w:rsidRDefault="009B43B4" w:rsidP="009B43B4">
      <w:pPr>
        <w:rPr>
          <w:rFonts w:cs="Open Sans"/>
          <w:color w:val="000000" w:themeColor="text1"/>
        </w:rPr>
      </w:pPr>
      <w:r>
        <w:rPr>
          <w:rFonts w:cs="Open Sans"/>
          <w:color w:val="000000" w:themeColor="text1"/>
        </w:rPr>
        <w:t>Parents reported a wide range of wider benefits of their children attending holiday clubs including:</w:t>
      </w:r>
    </w:p>
    <w:p w14:paraId="22745E33" w14:textId="77777777" w:rsidR="009B43B4" w:rsidRPr="009B43B4" w:rsidRDefault="009B43B4" w:rsidP="009B43B4">
      <w:pPr>
        <w:pStyle w:val="ListParagraph"/>
      </w:pPr>
      <w:r w:rsidRPr="009B43B4">
        <w:rPr>
          <w:rFonts w:cs="Open Sans"/>
          <w:color w:val="000000" w:themeColor="text1"/>
        </w:rPr>
        <w:t>94% ‘Socialising with other children’.</w:t>
      </w:r>
    </w:p>
    <w:p w14:paraId="4262784E" w14:textId="77777777" w:rsidR="009B43B4" w:rsidRPr="009B43B4" w:rsidRDefault="009B43B4" w:rsidP="009B43B4">
      <w:pPr>
        <w:pStyle w:val="ListParagraph"/>
      </w:pPr>
      <w:r w:rsidRPr="009B43B4">
        <w:rPr>
          <w:rFonts w:cs="Open Sans"/>
          <w:color w:val="000000" w:themeColor="text1"/>
        </w:rPr>
        <w:t>89% ‘Getting out of the house’.</w:t>
      </w:r>
    </w:p>
    <w:p w14:paraId="7F850299" w14:textId="77777777" w:rsidR="009B43B4" w:rsidRPr="009B43B4" w:rsidRDefault="009B43B4" w:rsidP="009B43B4">
      <w:pPr>
        <w:pStyle w:val="ListParagraph"/>
      </w:pPr>
      <w:r w:rsidRPr="009B43B4">
        <w:rPr>
          <w:rFonts w:cs="Open Sans"/>
          <w:color w:val="000000" w:themeColor="text1"/>
        </w:rPr>
        <w:t>87% ‘Taking part in physical activity’ with 10% recording an increase in levels of activity following attendance at holiday clubs and 6% more becoming physically active for more than 60 minutes a day.</w:t>
      </w:r>
    </w:p>
    <w:p w14:paraId="0F1274D3" w14:textId="77777777" w:rsidR="009B43B4" w:rsidRPr="009B43B4" w:rsidRDefault="009B43B4" w:rsidP="009B43B4">
      <w:pPr>
        <w:pStyle w:val="ListParagraph"/>
      </w:pPr>
      <w:r w:rsidRPr="009B43B4">
        <w:rPr>
          <w:rFonts w:cs="Open Sans"/>
          <w:color w:val="000000" w:themeColor="text1"/>
        </w:rPr>
        <w:t>69% ‘Improved emotional wellbeing’.</w:t>
      </w:r>
    </w:p>
    <w:p w14:paraId="53A40619" w14:textId="77777777" w:rsidR="009B43B4" w:rsidRPr="009B43B4" w:rsidRDefault="009B43B4" w:rsidP="009B43B4">
      <w:pPr>
        <w:pStyle w:val="ListParagraph"/>
      </w:pPr>
      <w:r w:rsidRPr="009B43B4">
        <w:rPr>
          <w:rFonts w:cs="Open Sans"/>
          <w:color w:val="000000" w:themeColor="text1"/>
        </w:rPr>
        <w:t xml:space="preserve">56% ‘Having a positive role model in the </w:t>
      </w:r>
      <w:proofErr w:type="gramStart"/>
      <w:r w:rsidRPr="009B43B4">
        <w:rPr>
          <w:rFonts w:cs="Open Sans"/>
          <w:color w:val="000000" w:themeColor="text1"/>
        </w:rPr>
        <w:t>coaches’</w:t>
      </w:r>
      <w:proofErr w:type="gramEnd"/>
      <w:r w:rsidRPr="009B43B4">
        <w:rPr>
          <w:rFonts w:cs="Open Sans"/>
          <w:color w:val="000000" w:themeColor="text1"/>
        </w:rPr>
        <w:t>.</w:t>
      </w:r>
    </w:p>
    <w:p w14:paraId="2F54FEAC" w14:textId="77777777" w:rsidR="009B43B4" w:rsidRPr="009B43B4" w:rsidRDefault="009B43B4" w:rsidP="009B43B4">
      <w:pPr>
        <w:pStyle w:val="ListParagraph"/>
      </w:pPr>
      <w:r w:rsidRPr="009B43B4">
        <w:rPr>
          <w:rFonts w:cs="Open Sans"/>
          <w:color w:val="000000" w:themeColor="text1"/>
        </w:rPr>
        <w:t>33% ‘Improved behaviour at home’.</w:t>
      </w:r>
    </w:p>
    <w:p w14:paraId="59B34022" w14:textId="77777777" w:rsidR="009B43B4" w:rsidRPr="009B43B4" w:rsidRDefault="009B43B4" w:rsidP="009B43B4">
      <w:pPr>
        <w:pStyle w:val="ListParagraph"/>
      </w:pPr>
      <w:r w:rsidRPr="009B43B4">
        <w:rPr>
          <w:rFonts w:cs="Open Sans"/>
          <w:color w:val="000000" w:themeColor="text1"/>
        </w:rPr>
        <w:t>29% ‘Helped with the transition back into school’.</w:t>
      </w:r>
    </w:p>
    <w:p w14:paraId="5951656D" w14:textId="77777777" w:rsidR="009B43B4" w:rsidRPr="009B43B4" w:rsidRDefault="009B43B4" w:rsidP="009B43B4">
      <w:pPr>
        <w:pStyle w:val="ListParagraph"/>
      </w:pPr>
      <w:r w:rsidRPr="009B43B4">
        <w:rPr>
          <w:rFonts w:cs="Open Sans"/>
          <w:color w:val="000000" w:themeColor="text1"/>
        </w:rPr>
        <w:t>12% ‘Improved behaviour at school’.</w:t>
      </w:r>
    </w:p>
    <w:p w14:paraId="34F0BA93" w14:textId="2C873036" w:rsidR="009B43B4" w:rsidRPr="009B43B4" w:rsidRDefault="009B43B4" w:rsidP="009B43B4">
      <w:pPr>
        <w:pStyle w:val="ListParagraph"/>
      </w:pPr>
      <w:r w:rsidRPr="009B43B4">
        <w:rPr>
          <w:rFonts w:cs="Open Sans"/>
          <w:color w:val="000000" w:themeColor="text1"/>
        </w:rPr>
        <w:t>11% ‘Improved attainment at school’.</w:t>
      </w:r>
    </w:p>
    <w:p w14:paraId="351CDBF4" w14:textId="18A53C0B" w:rsidR="009B43B4" w:rsidRDefault="009B43B4" w:rsidP="009B43B4">
      <w:pPr>
        <w:rPr>
          <w:rFonts w:cs="Open Sans"/>
          <w:color w:val="000000" w:themeColor="text1"/>
        </w:rPr>
      </w:pPr>
      <w:r>
        <w:rPr>
          <w:rFonts w:cs="Open Sans"/>
          <w:color w:val="000000" w:themeColor="text1"/>
        </w:rPr>
        <w:t>95% of parents also reported that the holiday clubs had helped with their child</w:t>
      </w:r>
      <w:r w:rsidR="00914859">
        <w:rPr>
          <w:rFonts w:cs="Open Sans"/>
          <w:color w:val="000000" w:themeColor="text1"/>
        </w:rPr>
        <w:t>ren’</w:t>
      </w:r>
      <w:r>
        <w:rPr>
          <w:rFonts w:cs="Open Sans"/>
          <w:color w:val="000000" w:themeColor="text1"/>
        </w:rPr>
        <w:t>s mental health and wellbeing, with more than 50% stating it had helped very much. They also reported on a scale of 0-10 the extent to which attendance at the holiday clubs had contributed to the development of the following skills with the results emphasising the greatest improvements in relation to teamwork (8.1), communication, creativity (7.6) and maintaining attention (7.6) but rather less development with curriculum skills such as Maths (4.9).</w:t>
      </w:r>
    </w:p>
    <w:p w14:paraId="2716A89E" w14:textId="342FA080" w:rsidR="00D0701D" w:rsidRDefault="00D0701D" w:rsidP="00D0701D">
      <w:pPr>
        <w:spacing w:before="0" w:after="0" w:line="240" w:lineRule="auto"/>
        <w:rPr>
          <w:rFonts w:ascii="Times New Roman" w:eastAsia="Times New Roman" w:hAnsi="Times New Roman" w:cs="Times New Roman"/>
          <w:sz w:val="24"/>
          <w:szCs w:val="24"/>
          <w:lang w:eastAsia="en-GB"/>
        </w:rPr>
      </w:pPr>
    </w:p>
    <w:p w14:paraId="05EDB785" w14:textId="77777777" w:rsidR="002168F9" w:rsidRDefault="002168F9" w:rsidP="00D0701D">
      <w:pPr>
        <w:spacing w:before="0" w:after="0" w:line="240" w:lineRule="auto"/>
        <w:rPr>
          <w:rFonts w:ascii="Times New Roman" w:eastAsia="Times New Roman" w:hAnsi="Times New Roman" w:cs="Times New Roman"/>
          <w:sz w:val="24"/>
          <w:szCs w:val="24"/>
          <w:lang w:eastAsia="en-GB"/>
        </w:rPr>
      </w:pPr>
    </w:p>
    <w:p w14:paraId="7CF39D34" w14:textId="77777777" w:rsidR="002168F9" w:rsidRDefault="002168F9" w:rsidP="00D0701D">
      <w:pPr>
        <w:spacing w:before="0" w:after="0" w:line="240" w:lineRule="auto"/>
        <w:rPr>
          <w:rFonts w:ascii="Times New Roman" w:eastAsia="Times New Roman" w:hAnsi="Times New Roman" w:cs="Times New Roman"/>
          <w:sz w:val="24"/>
          <w:szCs w:val="24"/>
          <w:lang w:eastAsia="en-GB"/>
        </w:rPr>
      </w:pPr>
    </w:p>
    <w:p w14:paraId="1D9F748B" w14:textId="77777777" w:rsidR="002168F9" w:rsidRDefault="002168F9" w:rsidP="00D0701D">
      <w:pPr>
        <w:spacing w:before="0" w:after="0" w:line="240" w:lineRule="auto"/>
        <w:rPr>
          <w:rFonts w:ascii="Times New Roman" w:eastAsia="Times New Roman" w:hAnsi="Times New Roman" w:cs="Times New Roman"/>
          <w:sz w:val="24"/>
          <w:szCs w:val="24"/>
          <w:lang w:eastAsia="en-GB"/>
        </w:rPr>
      </w:pPr>
    </w:p>
    <w:p w14:paraId="7B25B440" w14:textId="77777777" w:rsidR="002168F9" w:rsidRDefault="002168F9" w:rsidP="00D0701D">
      <w:pPr>
        <w:spacing w:before="0" w:after="0" w:line="240" w:lineRule="auto"/>
        <w:rPr>
          <w:rFonts w:ascii="Times New Roman" w:eastAsia="Times New Roman" w:hAnsi="Times New Roman" w:cs="Times New Roman"/>
          <w:sz w:val="24"/>
          <w:szCs w:val="24"/>
          <w:lang w:eastAsia="en-GB"/>
        </w:rPr>
      </w:pPr>
    </w:p>
    <w:p w14:paraId="1D94D5D3" w14:textId="77777777" w:rsidR="002168F9" w:rsidRDefault="002168F9" w:rsidP="00D0701D">
      <w:pPr>
        <w:spacing w:before="0" w:after="0" w:line="240" w:lineRule="auto"/>
        <w:rPr>
          <w:rFonts w:ascii="Times New Roman" w:eastAsia="Times New Roman" w:hAnsi="Times New Roman" w:cs="Times New Roman"/>
          <w:sz w:val="24"/>
          <w:szCs w:val="24"/>
          <w:lang w:eastAsia="en-GB"/>
        </w:rPr>
      </w:pPr>
    </w:p>
    <w:p w14:paraId="18F196EF" w14:textId="77777777" w:rsidR="002168F9" w:rsidRPr="00D0701D" w:rsidRDefault="002168F9" w:rsidP="00D0701D">
      <w:pPr>
        <w:spacing w:before="0" w:after="0" w:line="240" w:lineRule="auto"/>
        <w:rPr>
          <w:rFonts w:ascii="Times New Roman" w:eastAsia="Times New Roman" w:hAnsi="Times New Roman" w:cs="Times New Roman"/>
          <w:sz w:val="24"/>
          <w:szCs w:val="24"/>
          <w:lang w:eastAsia="en-GB"/>
        </w:rPr>
      </w:pPr>
    </w:p>
    <w:tbl>
      <w:tblPr>
        <w:tblStyle w:val="GridTable4-Accent61"/>
        <w:tblW w:w="0" w:type="auto"/>
        <w:tblLook w:val="04A0" w:firstRow="1" w:lastRow="0" w:firstColumn="1" w:lastColumn="0" w:noHBand="0" w:noVBand="1"/>
      </w:tblPr>
      <w:tblGrid>
        <w:gridCol w:w="9344"/>
      </w:tblGrid>
      <w:tr w:rsidR="00660608" w:rsidRPr="00660608" w14:paraId="45B56B38" w14:textId="77777777" w:rsidTr="00D95864">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344" w:type="dxa"/>
          </w:tcPr>
          <w:p w14:paraId="11CECDAF" w14:textId="4855F1A1" w:rsidR="002168F9" w:rsidRPr="002168F9" w:rsidRDefault="00660608" w:rsidP="00914859">
            <w:pPr>
              <w:spacing w:before="0" w:after="0"/>
              <w:rPr>
                <w:rFonts w:eastAsia="Times New Roman" w:cs="Open Sans"/>
                <w:b w:val="0"/>
                <w:bCs w:val="0"/>
                <w:sz w:val="24"/>
                <w:szCs w:val="24"/>
                <w:lang w:eastAsia="en-GB"/>
              </w:rPr>
            </w:pPr>
            <w:r w:rsidRPr="00660608">
              <w:rPr>
                <w:rFonts w:eastAsia="Times New Roman" w:cs="Open Sans"/>
                <w:sz w:val="24"/>
                <w:szCs w:val="24"/>
                <w:lang w:eastAsia="en-GB"/>
              </w:rPr>
              <w:lastRenderedPageBreak/>
              <w:t>Chart 2: Children’s Skill Development</w:t>
            </w:r>
          </w:p>
        </w:tc>
      </w:tr>
      <w:tr w:rsidR="00660608" w14:paraId="1B46D08A" w14:textId="77777777" w:rsidTr="00216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shd w:val="clear" w:color="auto" w:fill="auto"/>
          </w:tcPr>
          <w:p w14:paraId="5BDF2978" w14:textId="222D0F51" w:rsidR="00660608" w:rsidRDefault="002168F9" w:rsidP="00914859">
            <w:pPr>
              <w:spacing w:before="0" w:after="0"/>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14:anchorId="35B14E79" wp14:editId="272F41E1">
                  <wp:extent cx="5778500" cy="3094355"/>
                  <wp:effectExtent l="0" t="0" r="0" b="4445"/>
                  <wp:docPr id="748922293" name="Picture 3" descr="A graph of a graph of a child's sk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922293" name="Picture 3" descr="A graph of a graph of a child's skill&#10;&#10;Description automatically generated"/>
                          <pic:cNvPicPr/>
                        </pic:nvPicPr>
                        <pic:blipFill rotWithShape="1">
                          <a:blip r:embed="rId19">
                            <a:extLst>
                              <a:ext uri="{28A0092B-C50C-407E-A947-70E740481C1C}">
                                <a14:useLocalDpi xmlns:a14="http://schemas.microsoft.com/office/drawing/2010/main" val="0"/>
                              </a:ext>
                            </a:extLst>
                          </a:blip>
                          <a:srcRect l="1069" t="12873" r="1647"/>
                          <a:stretch/>
                        </pic:blipFill>
                        <pic:spPr bwMode="auto">
                          <a:xfrm>
                            <a:off x="0" y="0"/>
                            <a:ext cx="5778500" cy="3094355"/>
                          </a:xfrm>
                          <a:prstGeom prst="rect">
                            <a:avLst/>
                          </a:prstGeom>
                          <a:ln>
                            <a:noFill/>
                          </a:ln>
                          <a:extLst>
                            <a:ext uri="{53640926-AAD7-44D8-BBD7-CCE9431645EC}">
                              <a14:shadowObscured xmlns:a14="http://schemas.microsoft.com/office/drawing/2010/main"/>
                            </a:ext>
                          </a:extLst>
                        </pic:spPr>
                      </pic:pic>
                    </a:graphicData>
                  </a:graphic>
                </wp:inline>
              </w:drawing>
            </w:r>
          </w:p>
        </w:tc>
      </w:tr>
    </w:tbl>
    <w:p w14:paraId="6CBDEDB8" w14:textId="5546FC92" w:rsidR="00914859" w:rsidRDefault="00914859" w:rsidP="00914859">
      <w:pPr>
        <w:spacing w:before="0" w:after="0" w:line="240" w:lineRule="auto"/>
        <w:rPr>
          <w:rFonts w:ascii="Times New Roman" w:eastAsia="Times New Roman" w:hAnsi="Times New Roman" w:cs="Times New Roman"/>
          <w:sz w:val="24"/>
          <w:szCs w:val="24"/>
          <w:lang w:eastAsia="en-GB"/>
        </w:rPr>
      </w:pPr>
    </w:p>
    <w:p w14:paraId="06FD844C" w14:textId="77777777" w:rsidR="002168F9" w:rsidRPr="00914859" w:rsidRDefault="002168F9" w:rsidP="00914859">
      <w:pPr>
        <w:spacing w:before="0" w:after="0" w:line="240" w:lineRule="auto"/>
        <w:rPr>
          <w:rFonts w:ascii="Times New Roman" w:eastAsia="Times New Roman" w:hAnsi="Times New Roman" w:cs="Times New Roman"/>
          <w:sz w:val="24"/>
          <w:szCs w:val="24"/>
          <w:lang w:eastAsia="en-GB"/>
        </w:rPr>
      </w:pPr>
    </w:p>
    <w:p w14:paraId="2F2EF86F" w14:textId="77777777" w:rsidR="009B43B4" w:rsidRDefault="009B43B4" w:rsidP="009B43B4">
      <w:pPr>
        <w:rPr>
          <w:rFonts w:cs="Open Sans"/>
          <w:color w:val="000000" w:themeColor="text1"/>
        </w:rPr>
      </w:pPr>
      <w:r>
        <w:rPr>
          <w:rFonts w:cs="Open Sans"/>
          <w:color w:val="000000" w:themeColor="text1"/>
        </w:rPr>
        <w:t>For parents there were a range of other impacts including:</w:t>
      </w:r>
    </w:p>
    <w:p w14:paraId="5A73B8B8" w14:textId="77777777" w:rsidR="009B43B4" w:rsidRPr="009B43B4" w:rsidRDefault="009B43B4" w:rsidP="009B43B4">
      <w:pPr>
        <w:pStyle w:val="ListParagraph"/>
      </w:pPr>
      <w:r w:rsidRPr="009B43B4">
        <w:rPr>
          <w:rFonts w:cs="Open Sans"/>
          <w:color w:val="000000" w:themeColor="text1"/>
        </w:rPr>
        <w:t xml:space="preserve">64% who stated that they were able to work an average of more than five hours or gain an average of more than four hours of respite </w:t>
      </w:r>
      <w:proofErr w:type="gramStart"/>
      <w:r w:rsidRPr="009B43B4">
        <w:rPr>
          <w:rFonts w:cs="Open Sans"/>
          <w:color w:val="000000" w:themeColor="text1"/>
        </w:rPr>
        <w:t>as a result of</w:t>
      </w:r>
      <w:proofErr w:type="gramEnd"/>
      <w:r w:rsidRPr="009B43B4">
        <w:rPr>
          <w:rFonts w:cs="Open Sans"/>
          <w:color w:val="000000" w:themeColor="text1"/>
        </w:rPr>
        <w:t xml:space="preserve"> the holiday clubs. </w:t>
      </w:r>
    </w:p>
    <w:p w14:paraId="5B3D72EF" w14:textId="77777777" w:rsidR="009B43B4" w:rsidRPr="009B43B4" w:rsidRDefault="009B43B4" w:rsidP="009B43B4">
      <w:pPr>
        <w:pStyle w:val="ListParagraph"/>
      </w:pPr>
      <w:r w:rsidRPr="009B43B4">
        <w:rPr>
          <w:rFonts w:cs="Open Sans"/>
          <w:color w:val="000000" w:themeColor="text1"/>
        </w:rPr>
        <w:t>Help with parent’s own mental health and wellbeing with an average of the club’s contribution of more than 8 on a scale of 0 to 10.</w:t>
      </w:r>
    </w:p>
    <w:p w14:paraId="2422B1F4" w14:textId="3CEC95D9" w:rsidR="009B43B4" w:rsidRPr="00556AF2" w:rsidRDefault="009B43B4" w:rsidP="009B43B4">
      <w:pPr>
        <w:pStyle w:val="ListParagraph"/>
      </w:pPr>
      <w:r w:rsidRPr="009B43B4">
        <w:rPr>
          <w:rFonts w:cs="Open Sans"/>
          <w:color w:val="000000" w:themeColor="text1"/>
        </w:rPr>
        <w:t>The number of parents accessing other services through their contact with holiday clubs was more modest, with just 12% indicating they had received information about or a referral to other services, although the range of services highlighted was broad and tailored to children’s needs.</w:t>
      </w:r>
    </w:p>
    <w:p w14:paraId="6211972F" w14:textId="08131FB1" w:rsidR="009B43B4" w:rsidRDefault="009B43B4" w:rsidP="009B43B4">
      <w:pPr>
        <w:rPr>
          <w:rFonts w:cs="Open Sans"/>
          <w:color w:val="000000" w:themeColor="text1"/>
        </w:rPr>
      </w:pPr>
      <w:r>
        <w:rPr>
          <w:rFonts w:cs="Open Sans"/>
          <w:color w:val="000000" w:themeColor="text1"/>
        </w:rPr>
        <w:t>The 84 respondents to the provider survey also reported benefits including</w:t>
      </w:r>
      <w:r w:rsidR="002168F9">
        <w:rPr>
          <w:rFonts w:cs="Open Sans"/>
          <w:color w:val="000000" w:themeColor="text1"/>
        </w:rPr>
        <w:t xml:space="preserve"> those with economic value such as</w:t>
      </w:r>
      <w:r>
        <w:rPr>
          <w:rFonts w:cs="Open Sans"/>
          <w:color w:val="000000" w:themeColor="text1"/>
        </w:rPr>
        <w:t>:</w:t>
      </w:r>
    </w:p>
    <w:p w14:paraId="7CD72C36" w14:textId="77777777" w:rsidR="009B43B4" w:rsidRPr="009B43B4" w:rsidRDefault="009B43B4" w:rsidP="009B43B4">
      <w:pPr>
        <w:pStyle w:val="ListParagraph"/>
      </w:pPr>
      <w:r w:rsidRPr="009B43B4">
        <w:rPr>
          <w:rFonts w:cs="Open Sans"/>
          <w:color w:val="000000" w:themeColor="text1"/>
        </w:rPr>
        <w:t>An average of more than 10 staff employed on holiday club provision for an average of more than 250 hours.</w:t>
      </w:r>
    </w:p>
    <w:p w14:paraId="3F80E81B" w14:textId="77777777" w:rsidR="009B43B4" w:rsidRPr="009B43B4" w:rsidRDefault="009B43B4" w:rsidP="009B43B4">
      <w:pPr>
        <w:pStyle w:val="ListParagraph"/>
      </w:pPr>
      <w:r w:rsidRPr="009B43B4">
        <w:rPr>
          <w:rFonts w:cs="Open Sans"/>
          <w:color w:val="000000" w:themeColor="text1"/>
        </w:rPr>
        <w:t>34.5%being able to involve young leaders.</w:t>
      </w:r>
    </w:p>
    <w:p w14:paraId="2B5CF347" w14:textId="77777777" w:rsidR="009B43B4" w:rsidRPr="009B43B4" w:rsidRDefault="009B43B4" w:rsidP="009B43B4">
      <w:pPr>
        <w:pStyle w:val="ListParagraph"/>
      </w:pPr>
      <w:r w:rsidRPr="009B43B4">
        <w:rPr>
          <w:rFonts w:cs="Open Sans"/>
          <w:color w:val="000000" w:themeColor="text1"/>
        </w:rPr>
        <w:t>16.7% engaging parents as volunteers with an average of 20 volunteer hours being given up to each LTO</w:t>
      </w:r>
    </w:p>
    <w:p w14:paraId="36F08133" w14:textId="4109ADCA" w:rsidR="009B43B4" w:rsidRPr="009B43B4" w:rsidRDefault="009B43B4" w:rsidP="009B43B4">
      <w:pPr>
        <w:pStyle w:val="ListParagraph"/>
      </w:pPr>
      <w:r w:rsidRPr="009B43B4">
        <w:rPr>
          <w:rFonts w:cs="Open Sans"/>
          <w:color w:val="000000" w:themeColor="text1"/>
        </w:rPr>
        <w:t>Additional funding being secured. Whilst not every LTO benefited in this way, the average level of new funding secured amongst respondents was more than £2227.</w:t>
      </w:r>
    </w:p>
    <w:p w14:paraId="12AA5B57" w14:textId="653FD8A6" w:rsidR="000E556D" w:rsidRDefault="009B43B4" w:rsidP="000E556D">
      <w:pPr>
        <w:rPr>
          <w:rFonts w:cs="Open Sans"/>
          <w:color w:val="000000" w:themeColor="text1"/>
        </w:rPr>
      </w:pPr>
      <w:r>
        <w:rPr>
          <w:rFonts w:cs="Open Sans"/>
          <w:color w:val="000000" w:themeColor="text1"/>
        </w:rPr>
        <w:t>Wider community economic benefits included the engagement of local food providers and other community organisations with the delivery of enrichment activities and other offsite onward support.</w:t>
      </w:r>
    </w:p>
    <w:p w14:paraId="46C2E5EC" w14:textId="5571D75E" w:rsidR="002168F9" w:rsidRDefault="002168F9" w:rsidP="000E556D">
      <w:pPr>
        <w:rPr>
          <w:rFonts w:cs="Open Sans"/>
          <w:color w:val="000000" w:themeColor="text1"/>
        </w:rPr>
      </w:pPr>
      <w:r>
        <w:rPr>
          <w:rFonts w:cs="Open Sans"/>
          <w:color w:val="000000" w:themeColor="text1"/>
        </w:rPr>
        <w:t>Providers also reported a range of other benefits to them as organisations as illustrated in Chart 3 below.</w:t>
      </w:r>
    </w:p>
    <w:tbl>
      <w:tblPr>
        <w:tblStyle w:val="GridTable4-Accent62"/>
        <w:tblW w:w="0" w:type="auto"/>
        <w:tblLook w:val="04A0" w:firstRow="1" w:lastRow="0" w:firstColumn="1" w:lastColumn="0" w:noHBand="0" w:noVBand="1"/>
      </w:tblPr>
      <w:tblGrid>
        <w:gridCol w:w="9344"/>
      </w:tblGrid>
      <w:tr w:rsidR="002168F9" w:rsidRPr="002168F9" w14:paraId="1A712B2B" w14:textId="77777777" w:rsidTr="002168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Pr>
          <w:p w14:paraId="60D65B15" w14:textId="136D41A9" w:rsidR="002168F9" w:rsidRPr="002168F9" w:rsidRDefault="002168F9" w:rsidP="000E556D">
            <w:pPr>
              <w:rPr>
                <w:rFonts w:cs="Open Sans"/>
                <w:color w:val="FFFFFF" w:themeColor="background1"/>
                <w:sz w:val="24"/>
                <w:szCs w:val="24"/>
              </w:rPr>
            </w:pPr>
            <w:r w:rsidRPr="002168F9">
              <w:rPr>
                <w:rFonts w:cs="Open Sans"/>
                <w:color w:val="FFFFFF" w:themeColor="background1"/>
                <w:sz w:val="24"/>
                <w:szCs w:val="24"/>
              </w:rPr>
              <w:lastRenderedPageBreak/>
              <w:t>Chart 3: Wider Provider Benefits</w:t>
            </w:r>
          </w:p>
        </w:tc>
      </w:tr>
      <w:tr w:rsidR="002168F9" w14:paraId="2F27ED38" w14:textId="77777777" w:rsidTr="00216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shd w:val="clear" w:color="auto" w:fill="auto"/>
          </w:tcPr>
          <w:p w14:paraId="0291D1BD" w14:textId="4D4D23BC" w:rsidR="002168F9" w:rsidRDefault="002168F9" w:rsidP="000E556D">
            <w:pPr>
              <w:rPr>
                <w:rFonts w:cs="Open Sans"/>
                <w:color w:val="000000" w:themeColor="text1"/>
              </w:rPr>
            </w:pPr>
            <w:r>
              <w:rPr>
                <w:rFonts w:ascii="Lexend SemiBold" w:eastAsiaTheme="majorEastAsia" w:hAnsi="Lexend SemiBold" w:cstheme="majorBidi"/>
                <w:noProof/>
                <w:sz w:val="28"/>
                <w:szCs w:val="28"/>
              </w:rPr>
              <w:drawing>
                <wp:inline distT="0" distB="0" distL="0" distR="0" wp14:anchorId="2360D258" wp14:editId="547234C9">
                  <wp:extent cx="5939790" cy="3529330"/>
                  <wp:effectExtent l="0" t="0" r="3810" b="1270"/>
                  <wp:docPr id="877080445" name="Picture 6" descr="A graph of a bar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599918" name="Picture 6" descr="A graph of a bar graph&#10;&#10;Description automatically generated with medium confidence"/>
                          <pic:cNvPicPr/>
                        </pic:nvPicPr>
                        <pic:blipFill>
                          <a:blip r:embed="rId20">
                            <a:extLst>
                              <a:ext uri="{28A0092B-C50C-407E-A947-70E740481C1C}">
                                <a14:useLocalDpi xmlns:a14="http://schemas.microsoft.com/office/drawing/2010/main" val="0"/>
                              </a:ext>
                            </a:extLst>
                          </a:blip>
                          <a:stretch>
                            <a:fillRect/>
                          </a:stretch>
                        </pic:blipFill>
                        <pic:spPr>
                          <a:xfrm>
                            <a:off x="0" y="0"/>
                            <a:ext cx="5939790" cy="3529330"/>
                          </a:xfrm>
                          <a:prstGeom prst="rect">
                            <a:avLst/>
                          </a:prstGeom>
                        </pic:spPr>
                      </pic:pic>
                    </a:graphicData>
                  </a:graphic>
                </wp:inline>
              </w:drawing>
            </w:r>
          </w:p>
        </w:tc>
      </w:tr>
    </w:tbl>
    <w:p w14:paraId="7F197780" w14:textId="35A07650" w:rsidR="002168F9" w:rsidRDefault="002168F9" w:rsidP="000E556D">
      <w:pPr>
        <w:rPr>
          <w:rFonts w:ascii="Lexend SemiBold" w:eastAsiaTheme="majorEastAsia" w:hAnsi="Lexend SemiBold" w:cstheme="majorBidi"/>
          <w:color w:val="01615C"/>
          <w:sz w:val="28"/>
          <w:szCs w:val="28"/>
        </w:rPr>
      </w:pPr>
    </w:p>
    <w:p w14:paraId="55BC7468" w14:textId="77777777" w:rsidR="002168F9" w:rsidRDefault="002168F9">
      <w:pPr>
        <w:spacing w:before="0" w:after="160"/>
        <w:rPr>
          <w:rFonts w:ascii="Lexend SemiBold" w:eastAsiaTheme="majorEastAsia" w:hAnsi="Lexend SemiBold" w:cstheme="majorBidi"/>
          <w:color w:val="01615C"/>
          <w:sz w:val="32"/>
          <w:szCs w:val="32"/>
        </w:rPr>
      </w:pPr>
      <w:r>
        <w:br w:type="page"/>
      </w:r>
    </w:p>
    <w:p w14:paraId="6D28BBA2" w14:textId="4A526368" w:rsidR="000E556D" w:rsidRDefault="00E67465" w:rsidP="000F0A54">
      <w:pPr>
        <w:pStyle w:val="Heading1"/>
      </w:pPr>
      <w:r>
        <w:lastRenderedPageBreak/>
        <w:t>5.0 Valuations</w:t>
      </w:r>
    </w:p>
    <w:p w14:paraId="1B11C71B" w14:textId="6264CD72" w:rsidR="00412735" w:rsidRDefault="000F0A54" w:rsidP="000E556D">
      <w:pPr>
        <w:rPr>
          <w:rFonts w:cs="Open Sans"/>
          <w:color w:val="000000" w:themeColor="text1"/>
        </w:rPr>
      </w:pPr>
      <w:r w:rsidRPr="00BD77F7">
        <w:rPr>
          <w:rFonts w:cs="Open Sans"/>
          <w:color w:val="000000" w:themeColor="text1"/>
        </w:rPr>
        <w:t>Within Section 5</w:t>
      </w:r>
      <w:r>
        <w:rPr>
          <w:rFonts w:cs="Open Sans"/>
          <w:color w:val="000000" w:themeColor="text1"/>
        </w:rPr>
        <w:t>,</w:t>
      </w:r>
      <w:r w:rsidRPr="00BD77F7">
        <w:rPr>
          <w:rFonts w:cs="Open Sans"/>
          <w:color w:val="000000" w:themeColor="text1"/>
        </w:rPr>
        <w:t xml:space="preserve"> </w:t>
      </w:r>
      <w:r>
        <w:rPr>
          <w:rFonts w:cs="Open Sans"/>
          <w:color w:val="000000" w:themeColor="text1"/>
        </w:rPr>
        <w:t>the valuations across the provisions have been provided and broken down by year and outcome.</w:t>
      </w:r>
    </w:p>
    <w:tbl>
      <w:tblPr>
        <w:tblStyle w:val="GridTable4-Accent61"/>
        <w:tblW w:w="0" w:type="auto"/>
        <w:tblLook w:val="04A0" w:firstRow="1" w:lastRow="0" w:firstColumn="1" w:lastColumn="0" w:noHBand="0" w:noVBand="1"/>
      </w:tblPr>
      <w:tblGrid>
        <w:gridCol w:w="4505"/>
        <w:gridCol w:w="2252"/>
        <w:gridCol w:w="2253"/>
      </w:tblGrid>
      <w:tr w:rsidR="00412735" w:rsidRPr="00412735" w14:paraId="5E01F8F7" w14:textId="77777777" w:rsidTr="002425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tcPr>
          <w:p w14:paraId="05F9DF8E" w14:textId="6E024D34" w:rsidR="00412735" w:rsidRPr="00412735" w:rsidRDefault="00327466" w:rsidP="00412735">
            <w:pPr>
              <w:spacing w:before="0" w:after="0"/>
              <w:rPr>
                <w:rFonts w:eastAsia="Times New Roman" w:cs="Open Sans"/>
                <w:sz w:val="24"/>
                <w:szCs w:val="24"/>
                <w:lang w:eastAsia="en-GB"/>
              </w:rPr>
            </w:pPr>
            <w:r>
              <w:rPr>
                <w:rFonts w:eastAsia="Times New Roman" w:cs="Open Sans"/>
                <w:sz w:val="24"/>
                <w:szCs w:val="24"/>
                <w:lang w:eastAsia="en-GB"/>
              </w:rPr>
              <w:t xml:space="preserve">Table 2: </w:t>
            </w:r>
            <w:r w:rsidR="00412735" w:rsidRPr="00412735">
              <w:rPr>
                <w:rFonts w:eastAsia="Times New Roman" w:cs="Open Sans"/>
                <w:sz w:val="24"/>
                <w:szCs w:val="24"/>
                <w:lang w:eastAsia="en-GB"/>
              </w:rPr>
              <w:t xml:space="preserve">Easter 2024 </w:t>
            </w:r>
            <w:r>
              <w:rPr>
                <w:rFonts w:eastAsia="Times New Roman" w:cs="Open Sans"/>
                <w:sz w:val="24"/>
                <w:szCs w:val="24"/>
                <w:lang w:eastAsia="en-GB"/>
              </w:rPr>
              <w:t>Valuation</w:t>
            </w:r>
          </w:p>
        </w:tc>
      </w:tr>
      <w:tr w:rsidR="00412735" w:rsidRPr="00327466" w14:paraId="3132B6DF" w14:textId="77777777" w:rsidTr="00242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tcPr>
          <w:p w14:paraId="0CB90648" w14:textId="77777777" w:rsidR="00412735" w:rsidRPr="00327466" w:rsidRDefault="00412735" w:rsidP="00412735">
            <w:pPr>
              <w:spacing w:before="0" w:after="0"/>
              <w:rPr>
                <w:rFonts w:eastAsia="Times New Roman" w:cs="Open Sans"/>
                <w:b/>
                <w:color w:val="06625D"/>
                <w:sz w:val="24"/>
                <w:szCs w:val="24"/>
                <w:lang w:eastAsia="en-GB"/>
              </w:rPr>
            </w:pPr>
            <w:r w:rsidRPr="00327466">
              <w:rPr>
                <w:rFonts w:eastAsia="Times New Roman" w:cs="Open Sans"/>
                <w:b/>
                <w:color w:val="06625D"/>
                <w:sz w:val="24"/>
                <w:szCs w:val="24"/>
                <w:lang w:eastAsia="en-GB"/>
              </w:rPr>
              <w:t xml:space="preserve">Health and Wellbeing </w:t>
            </w:r>
          </w:p>
        </w:tc>
      </w:tr>
      <w:tr w:rsidR="008C62DE" w:rsidRPr="00327466" w14:paraId="5F7E242E" w14:textId="77777777" w:rsidTr="005E79FA">
        <w:trPr>
          <w:cnfStyle w:val="000000010000" w:firstRow="0" w:lastRow="0" w:firstColumn="0" w:lastColumn="0" w:oddVBand="0" w:evenVBand="0" w:oddHBand="0" w:evenHBand="1"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4505" w:type="dxa"/>
          </w:tcPr>
          <w:p w14:paraId="019E6421" w14:textId="77777777" w:rsidR="008C62DE" w:rsidRPr="00327466" w:rsidRDefault="008C62DE" w:rsidP="00412735">
            <w:pPr>
              <w:spacing w:before="0" w:after="0"/>
              <w:rPr>
                <w:rFonts w:eastAsia="Times New Roman" w:cs="Open Sans"/>
                <w:b/>
                <w:color w:val="06625D"/>
                <w:sz w:val="24"/>
                <w:szCs w:val="24"/>
                <w:lang w:eastAsia="en-GB"/>
              </w:rPr>
            </w:pPr>
            <w:r w:rsidRPr="00327466">
              <w:rPr>
                <w:rFonts w:eastAsia="Times New Roman" w:cs="Open Sans"/>
                <w:b/>
                <w:color w:val="06625D"/>
                <w:sz w:val="24"/>
                <w:szCs w:val="24"/>
                <w:lang w:eastAsia="en-GB"/>
              </w:rPr>
              <w:t>Outcome</w:t>
            </w:r>
          </w:p>
        </w:tc>
        <w:tc>
          <w:tcPr>
            <w:tcW w:w="2252" w:type="dxa"/>
          </w:tcPr>
          <w:p w14:paraId="24E68635" w14:textId="77777777" w:rsidR="008C62DE" w:rsidRPr="00327466" w:rsidRDefault="008C62DE" w:rsidP="00412735">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b/>
                <w:bCs/>
                <w:color w:val="06625D"/>
                <w:sz w:val="24"/>
                <w:szCs w:val="24"/>
                <w:lang w:eastAsia="en-GB"/>
              </w:rPr>
            </w:pPr>
            <w:r w:rsidRPr="00327466">
              <w:rPr>
                <w:rFonts w:eastAsia="Times New Roman" w:cs="Open Sans"/>
                <w:b/>
                <w:bCs/>
                <w:color w:val="06625D"/>
                <w:sz w:val="24"/>
                <w:szCs w:val="24"/>
                <w:lang w:eastAsia="en-GB"/>
              </w:rPr>
              <w:t xml:space="preserve">Valuation </w:t>
            </w:r>
          </w:p>
        </w:tc>
        <w:tc>
          <w:tcPr>
            <w:tcW w:w="2253" w:type="dxa"/>
          </w:tcPr>
          <w:p w14:paraId="3473F4AB" w14:textId="3CF5C559" w:rsidR="008C62DE" w:rsidRPr="00327466" w:rsidRDefault="008C62DE" w:rsidP="00412735">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b/>
                <w:bCs/>
                <w:color w:val="06625D"/>
                <w:sz w:val="24"/>
                <w:szCs w:val="24"/>
                <w:lang w:eastAsia="en-GB"/>
              </w:rPr>
            </w:pPr>
            <w:r>
              <w:rPr>
                <w:rFonts w:eastAsia="Times New Roman" w:cs="Open Sans"/>
                <w:b/>
                <w:bCs/>
                <w:color w:val="06625D"/>
                <w:sz w:val="24"/>
                <w:szCs w:val="24"/>
                <w:lang w:eastAsia="en-GB"/>
              </w:rPr>
              <w:t>Beneficiaries</w:t>
            </w:r>
          </w:p>
        </w:tc>
      </w:tr>
      <w:tr w:rsidR="008C62DE" w:rsidRPr="00327466" w14:paraId="25C5F063" w14:textId="77777777" w:rsidTr="00F957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053ED8CF" w14:textId="77777777" w:rsidR="008C62DE" w:rsidRPr="00327466" w:rsidRDefault="008C62DE" w:rsidP="008C62DE">
            <w:pPr>
              <w:spacing w:before="0" w:after="0"/>
              <w:rPr>
                <w:rFonts w:eastAsia="Times New Roman" w:cs="Open Sans"/>
                <w:lang w:eastAsia="en-GB"/>
              </w:rPr>
            </w:pPr>
            <w:r w:rsidRPr="00327466">
              <w:rPr>
                <w:rFonts w:eastAsia="Times New Roman" w:cs="Open Sans"/>
                <w:lang w:eastAsia="en-GB"/>
              </w:rPr>
              <w:t xml:space="preserve">Physical Health </w:t>
            </w:r>
          </w:p>
        </w:tc>
        <w:tc>
          <w:tcPr>
            <w:tcW w:w="2252" w:type="dxa"/>
          </w:tcPr>
          <w:p w14:paraId="6C39AEF7" w14:textId="6EC6130A" w:rsidR="008C62DE" w:rsidRPr="00327466" w:rsidRDefault="008C62DE"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sidRPr="00327466">
              <w:rPr>
                <w:rFonts w:eastAsia="Times New Roman" w:cs="Open Sans"/>
                <w:lang w:eastAsia="en-GB"/>
              </w:rPr>
              <w:t>£14.24k</w:t>
            </w:r>
          </w:p>
        </w:tc>
        <w:tc>
          <w:tcPr>
            <w:tcW w:w="2253" w:type="dxa"/>
          </w:tcPr>
          <w:p w14:paraId="57104222" w14:textId="47CDD347" w:rsidR="008C62DE" w:rsidRPr="00327466" w:rsidRDefault="00FE2561"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Pr>
                <w:rFonts w:eastAsia="Times New Roman" w:cs="Open Sans"/>
                <w:lang w:eastAsia="en-GB"/>
              </w:rPr>
              <w:t>1,350</w:t>
            </w:r>
          </w:p>
        </w:tc>
      </w:tr>
      <w:tr w:rsidR="008C62DE" w:rsidRPr="00327466" w14:paraId="64A5ABE9" w14:textId="77777777" w:rsidTr="00F957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35A3DE3B" w14:textId="77777777" w:rsidR="008C62DE" w:rsidRPr="00327466" w:rsidRDefault="008C62DE" w:rsidP="008C62DE">
            <w:pPr>
              <w:spacing w:before="0" w:after="0"/>
              <w:rPr>
                <w:rFonts w:eastAsia="Times New Roman" w:cs="Open Sans"/>
                <w:lang w:eastAsia="en-GB"/>
              </w:rPr>
            </w:pPr>
            <w:r w:rsidRPr="00327466">
              <w:rPr>
                <w:rFonts w:eastAsia="Times New Roman" w:cs="Open Sans"/>
                <w:lang w:eastAsia="en-GB"/>
              </w:rPr>
              <w:t xml:space="preserve">Mental Health </w:t>
            </w:r>
          </w:p>
        </w:tc>
        <w:tc>
          <w:tcPr>
            <w:tcW w:w="2252" w:type="dxa"/>
          </w:tcPr>
          <w:p w14:paraId="2F742DBA" w14:textId="3FD56915" w:rsidR="008C62DE" w:rsidRPr="00327466" w:rsidRDefault="008C62DE" w:rsidP="008C62DE">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sidRPr="00327466">
              <w:rPr>
                <w:rFonts w:eastAsia="Times New Roman" w:cs="Open Sans"/>
                <w:lang w:eastAsia="en-GB"/>
              </w:rPr>
              <w:t>£47.28k</w:t>
            </w:r>
          </w:p>
        </w:tc>
        <w:tc>
          <w:tcPr>
            <w:tcW w:w="2253" w:type="dxa"/>
          </w:tcPr>
          <w:p w14:paraId="6A915639" w14:textId="58BE58AF" w:rsidR="008C62DE" w:rsidRPr="00327466" w:rsidRDefault="006652BC" w:rsidP="008C62DE">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Pr>
                <w:rFonts w:eastAsia="Times New Roman" w:cs="Open Sans"/>
                <w:lang w:eastAsia="en-GB"/>
              </w:rPr>
              <w:t>4,437</w:t>
            </w:r>
          </w:p>
        </w:tc>
      </w:tr>
      <w:tr w:rsidR="008C62DE" w:rsidRPr="00327466" w14:paraId="5A0DF1AE" w14:textId="77777777" w:rsidTr="00F957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42C0F65E" w14:textId="77777777" w:rsidR="008C62DE" w:rsidRPr="00327466" w:rsidRDefault="008C62DE" w:rsidP="008C62DE">
            <w:pPr>
              <w:spacing w:before="0" w:after="0"/>
              <w:rPr>
                <w:rFonts w:eastAsia="Times New Roman" w:cs="Open Sans"/>
                <w:lang w:eastAsia="en-GB"/>
              </w:rPr>
            </w:pPr>
            <w:r w:rsidRPr="00327466">
              <w:rPr>
                <w:rFonts w:eastAsia="Times New Roman" w:cs="Open Sans"/>
                <w:lang w:eastAsia="en-GB"/>
              </w:rPr>
              <w:t>Improved nutrition</w:t>
            </w:r>
          </w:p>
        </w:tc>
        <w:tc>
          <w:tcPr>
            <w:tcW w:w="2252" w:type="dxa"/>
          </w:tcPr>
          <w:p w14:paraId="537C0917" w14:textId="792D2D9B" w:rsidR="008C62DE" w:rsidRPr="00327466" w:rsidRDefault="008C62DE"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sidRPr="00327466">
              <w:rPr>
                <w:rFonts w:eastAsia="Times New Roman" w:cs="Open Sans"/>
                <w:lang w:eastAsia="en-GB"/>
              </w:rPr>
              <w:t>£144.01k</w:t>
            </w:r>
          </w:p>
        </w:tc>
        <w:tc>
          <w:tcPr>
            <w:tcW w:w="2253" w:type="dxa"/>
          </w:tcPr>
          <w:p w14:paraId="7FB83D20" w14:textId="1D8B819F" w:rsidR="008C62DE" w:rsidRPr="00327466" w:rsidRDefault="0070194E"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Pr>
                <w:rFonts w:eastAsia="Times New Roman" w:cs="Open Sans"/>
                <w:lang w:eastAsia="en-GB"/>
              </w:rPr>
              <w:t>3,533</w:t>
            </w:r>
          </w:p>
        </w:tc>
      </w:tr>
      <w:tr w:rsidR="008C62DE" w:rsidRPr="00327466" w14:paraId="1E35E51E" w14:textId="77777777" w:rsidTr="00F957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63FD8031" w14:textId="77777777" w:rsidR="008C62DE" w:rsidRPr="00327466" w:rsidRDefault="008C62DE" w:rsidP="008C62DE">
            <w:pPr>
              <w:spacing w:before="0" w:after="0"/>
              <w:rPr>
                <w:rFonts w:eastAsia="Times New Roman" w:cs="Open Sans"/>
                <w:lang w:eastAsia="en-GB"/>
              </w:rPr>
            </w:pPr>
            <w:r w:rsidRPr="00327466">
              <w:rPr>
                <w:rFonts w:eastAsia="Times New Roman" w:cs="Open Sans"/>
                <w:lang w:eastAsia="en-GB"/>
              </w:rPr>
              <w:t>Better food choices</w:t>
            </w:r>
          </w:p>
        </w:tc>
        <w:tc>
          <w:tcPr>
            <w:tcW w:w="2252" w:type="dxa"/>
          </w:tcPr>
          <w:p w14:paraId="4B146477" w14:textId="553B917D" w:rsidR="008C62DE" w:rsidRPr="00327466" w:rsidRDefault="008C62DE" w:rsidP="008C62DE">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sidRPr="00327466">
              <w:rPr>
                <w:rFonts w:eastAsia="Times New Roman" w:cs="Open Sans"/>
                <w:lang w:eastAsia="en-GB"/>
              </w:rPr>
              <w:t>N/A</w:t>
            </w:r>
          </w:p>
        </w:tc>
        <w:tc>
          <w:tcPr>
            <w:tcW w:w="2253" w:type="dxa"/>
          </w:tcPr>
          <w:p w14:paraId="0F2BCBCB" w14:textId="35B850C5" w:rsidR="008C62DE" w:rsidRPr="00327466" w:rsidRDefault="007C1D45" w:rsidP="008C62DE">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Pr>
                <w:rFonts w:eastAsia="Times New Roman" w:cs="Open Sans"/>
                <w:lang w:eastAsia="en-GB"/>
              </w:rPr>
              <w:t>2,029</w:t>
            </w:r>
          </w:p>
        </w:tc>
      </w:tr>
      <w:tr w:rsidR="008C62DE" w:rsidRPr="00327466" w14:paraId="073EED5F" w14:textId="77777777" w:rsidTr="00F957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14A3767C" w14:textId="77777777" w:rsidR="008C62DE" w:rsidRPr="00327466" w:rsidRDefault="008C62DE" w:rsidP="008C62DE">
            <w:pPr>
              <w:spacing w:before="0" w:after="0"/>
              <w:rPr>
                <w:rFonts w:eastAsia="Times New Roman" w:cs="Open Sans"/>
                <w:lang w:eastAsia="en-GB"/>
              </w:rPr>
            </w:pPr>
            <w:r w:rsidRPr="00327466">
              <w:rPr>
                <w:rFonts w:eastAsia="Times New Roman" w:cs="Open Sans"/>
                <w:lang w:eastAsia="en-GB"/>
              </w:rPr>
              <w:t>Parents’ wellbeing</w:t>
            </w:r>
          </w:p>
        </w:tc>
        <w:tc>
          <w:tcPr>
            <w:tcW w:w="2252" w:type="dxa"/>
          </w:tcPr>
          <w:p w14:paraId="78D25B6F" w14:textId="69493DC0" w:rsidR="008C62DE" w:rsidRPr="00327466" w:rsidRDefault="008C62DE"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sidRPr="00327466">
              <w:rPr>
                <w:rFonts w:eastAsia="Times New Roman" w:cs="Open Sans"/>
                <w:lang w:eastAsia="en-GB"/>
              </w:rPr>
              <w:t>£1.67m</w:t>
            </w:r>
          </w:p>
        </w:tc>
        <w:tc>
          <w:tcPr>
            <w:tcW w:w="2253" w:type="dxa"/>
          </w:tcPr>
          <w:p w14:paraId="5E052A91" w14:textId="3437C4BD" w:rsidR="007E0D0E" w:rsidRPr="00327466" w:rsidRDefault="007E0D0E"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Pr>
                <w:rFonts w:eastAsia="Times New Roman" w:cs="Open Sans"/>
                <w:lang w:eastAsia="en-GB"/>
              </w:rPr>
              <w:t>N/A</w:t>
            </w:r>
          </w:p>
        </w:tc>
      </w:tr>
      <w:tr w:rsidR="008C62DE" w:rsidRPr="00327466" w14:paraId="7EB61A05" w14:textId="77777777" w:rsidTr="00F957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1425102F" w14:textId="77777777" w:rsidR="008C62DE" w:rsidRPr="00327466" w:rsidRDefault="008C62DE" w:rsidP="008C62DE">
            <w:pPr>
              <w:spacing w:before="0" w:after="0"/>
              <w:rPr>
                <w:rFonts w:eastAsia="Times New Roman" w:cs="Open Sans"/>
                <w:lang w:eastAsia="en-GB"/>
              </w:rPr>
            </w:pPr>
            <w:r w:rsidRPr="00327466">
              <w:rPr>
                <w:rFonts w:eastAsia="Times New Roman" w:cs="Open Sans"/>
                <w:lang w:eastAsia="en-GB"/>
              </w:rPr>
              <w:t>Children’s wellbeing</w:t>
            </w:r>
          </w:p>
        </w:tc>
        <w:tc>
          <w:tcPr>
            <w:tcW w:w="2252" w:type="dxa"/>
          </w:tcPr>
          <w:p w14:paraId="745ED12C" w14:textId="39D2EAAF" w:rsidR="008C62DE" w:rsidRPr="00327466" w:rsidRDefault="008C62DE" w:rsidP="008C62DE">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sidRPr="00327466">
              <w:rPr>
                <w:rFonts w:eastAsia="Times New Roman" w:cs="Open Sans"/>
                <w:lang w:eastAsia="en-GB"/>
              </w:rPr>
              <w:t>£1.56m</w:t>
            </w:r>
          </w:p>
        </w:tc>
        <w:tc>
          <w:tcPr>
            <w:tcW w:w="2253" w:type="dxa"/>
          </w:tcPr>
          <w:p w14:paraId="6CEA972A" w14:textId="709F9E2F" w:rsidR="008C62DE" w:rsidRPr="00327466" w:rsidRDefault="007E0D0E" w:rsidP="008C62DE">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Pr>
                <w:rFonts w:eastAsia="Times New Roman" w:cs="Open Sans"/>
                <w:lang w:eastAsia="en-GB"/>
              </w:rPr>
              <w:t>N/A</w:t>
            </w:r>
          </w:p>
        </w:tc>
      </w:tr>
      <w:tr w:rsidR="008C62DE" w:rsidRPr="00327466" w14:paraId="23D77402" w14:textId="77777777" w:rsidTr="00F957E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05" w:type="dxa"/>
          </w:tcPr>
          <w:p w14:paraId="2B112415" w14:textId="77777777" w:rsidR="008C62DE" w:rsidRPr="00327466" w:rsidRDefault="008C62DE" w:rsidP="008C62DE">
            <w:pPr>
              <w:spacing w:before="0" w:after="0"/>
              <w:rPr>
                <w:rFonts w:eastAsia="Times New Roman" w:cs="Open Sans"/>
                <w:lang w:eastAsia="en-GB"/>
              </w:rPr>
            </w:pPr>
            <w:r w:rsidRPr="00327466">
              <w:rPr>
                <w:rFonts w:eastAsia="Times New Roman" w:cs="Open Sans"/>
                <w:lang w:eastAsia="en-GB"/>
              </w:rPr>
              <w:t>Respite care</w:t>
            </w:r>
          </w:p>
        </w:tc>
        <w:tc>
          <w:tcPr>
            <w:tcW w:w="2252" w:type="dxa"/>
          </w:tcPr>
          <w:p w14:paraId="17AE6EDD" w14:textId="6B81FFAF" w:rsidR="008C62DE" w:rsidRPr="00327466" w:rsidRDefault="008C62DE"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sidRPr="00327466">
              <w:rPr>
                <w:rFonts w:eastAsia="Times New Roman" w:cs="Open Sans"/>
                <w:lang w:eastAsia="en-GB"/>
              </w:rPr>
              <w:t>£102.90k</w:t>
            </w:r>
          </w:p>
        </w:tc>
        <w:tc>
          <w:tcPr>
            <w:tcW w:w="2253" w:type="dxa"/>
          </w:tcPr>
          <w:p w14:paraId="4BA2139E" w14:textId="35B62EA4" w:rsidR="008C62DE" w:rsidRPr="00327466" w:rsidRDefault="003F7B75"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Pr>
                <w:rFonts w:eastAsia="Times New Roman" w:cs="Open Sans"/>
                <w:lang w:eastAsia="en-GB"/>
              </w:rPr>
              <w:t>3,790</w:t>
            </w:r>
          </w:p>
        </w:tc>
      </w:tr>
      <w:tr w:rsidR="00412735" w:rsidRPr="00327466" w14:paraId="220DFD5A" w14:textId="77777777" w:rsidTr="002425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tcPr>
          <w:p w14:paraId="1B8A41E0" w14:textId="77777777" w:rsidR="00412735" w:rsidRPr="00327466" w:rsidRDefault="00412735" w:rsidP="00412735">
            <w:pPr>
              <w:spacing w:before="0" w:after="0"/>
              <w:rPr>
                <w:rFonts w:eastAsia="Times New Roman" w:cs="Open Sans"/>
                <w:b/>
                <w:color w:val="06625D"/>
                <w:sz w:val="24"/>
                <w:szCs w:val="24"/>
                <w:lang w:eastAsia="en-GB"/>
              </w:rPr>
            </w:pPr>
            <w:r w:rsidRPr="00327466">
              <w:rPr>
                <w:rFonts w:eastAsia="Times New Roman" w:cs="Open Sans"/>
                <w:b/>
                <w:color w:val="06625D"/>
                <w:sz w:val="24"/>
                <w:szCs w:val="24"/>
                <w:lang w:eastAsia="en-GB"/>
              </w:rPr>
              <w:t xml:space="preserve">Social Impact </w:t>
            </w:r>
          </w:p>
        </w:tc>
      </w:tr>
      <w:tr w:rsidR="008C62DE" w:rsidRPr="00327466" w14:paraId="71F9EF45" w14:textId="77777777" w:rsidTr="00C64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0DBD2A68" w14:textId="77777777" w:rsidR="008C62DE" w:rsidRPr="00327466" w:rsidRDefault="008C62DE" w:rsidP="008C62DE">
            <w:pPr>
              <w:spacing w:before="0" w:after="0"/>
              <w:rPr>
                <w:rFonts w:eastAsia="Times New Roman" w:cs="Open Sans"/>
                <w:lang w:eastAsia="en-GB"/>
              </w:rPr>
            </w:pPr>
            <w:r w:rsidRPr="00327466">
              <w:rPr>
                <w:rFonts w:eastAsia="Times New Roman" w:cs="Open Sans"/>
                <w:lang w:eastAsia="en-GB"/>
              </w:rPr>
              <w:t>Educational engagement</w:t>
            </w:r>
            <w:r w:rsidRPr="00327466">
              <w:rPr>
                <w:rFonts w:eastAsia="Times New Roman" w:cs="Open Sans"/>
                <w:lang w:eastAsia="en-GB"/>
              </w:rPr>
              <w:tab/>
            </w:r>
          </w:p>
        </w:tc>
        <w:tc>
          <w:tcPr>
            <w:tcW w:w="2252" w:type="dxa"/>
          </w:tcPr>
          <w:p w14:paraId="7D9ED27C" w14:textId="723859FD" w:rsidR="008C62DE" w:rsidRPr="00327466" w:rsidRDefault="008C62DE"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b/>
                <w:bCs/>
                <w:sz w:val="24"/>
                <w:szCs w:val="24"/>
                <w:lang w:eastAsia="en-GB"/>
              </w:rPr>
            </w:pPr>
            <w:r w:rsidRPr="00327466">
              <w:rPr>
                <w:rFonts w:eastAsia="Times New Roman" w:cs="Open Sans"/>
                <w:lang w:eastAsia="en-GB"/>
              </w:rPr>
              <w:t>£68.60k</w:t>
            </w:r>
          </w:p>
        </w:tc>
        <w:tc>
          <w:tcPr>
            <w:tcW w:w="2253" w:type="dxa"/>
          </w:tcPr>
          <w:p w14:paraId="2D10A0EA" w14:textId="4A3E09D5" w:rsidR="008C62DE" w:rsidRPr="00401E46" w:rsidRDefault="00401E46"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sz w:val="24"/>
                <w:szCs w:val="24"/>
                <w:lang w:eastAsia="en-GB"/>
              </w:rPr>
            </w:pPr>
            <w:r w:rsidRPr="00401E46">
              <w:rPr>
                <w:rFonts w:eastAsia="Times New Roman" w:cs="Open Sans"/>
                <w:sz w:val="24"/>
                <w:szCs w:val="24"/>
                <w:lang w:eastAsia="en-GB"/>
              </w:rPr>
              <w:t>2,948</w:t>
            </w:r>
          </w:p>
        </w:tc>
      </w:tr>
      <w:tr w:rsidR="008C62DE" w:rsidRPr="00327466" w14:paraId="47B66EF6" w14:textId="77777777" w:rsidTr="00C645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1C5D2819" w14:textId="77777777" w:rsidR="008C62DE" w:rsidRPr="00327466" w:rsidRDefault="008C62DE" w:rsidP="008C62DE">
            <w:pPr>
              <w:spacing w:before="0" w:after="0"/>
              <w:rPr>
                <w:rFonts w:eastAsia="Times New Roman" w:cs="Open Sans"/>
                <w:lang w:eastAsia="en-GB"/>
              </w:rPr>
            </w:pPr>
            <w:r w:rsidRPr="00327466">
              <w:rPr>
                <w:rFonts w:eastAsia="Times New Roman" w:cs="Open Sans"/>
                <w:lang w:eastAsia="en-GB"/>
              </w:rPr>
              <w:t>Educational attainment</w:t>
            </w:r>
          </w:p>
        </w:tc>
        <w:tc>
          <w:tcPr>
            <w:tcW w:w="2252" w:type="dxa"/>
          </w:tcPr>
          <w:p w14:paraId="0DFA200F" w14:textId="76E1440E" w:rsidR="008C62DE" w:rsidRPr="00327466" w:rsidRDefault="008C62DE" w:rsidP="008C62DE">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b/>
                <w:bCs/>
                <w:sz w:val="24"/>
                <w:szCs w:val="24"/>
                <w:lang w:eastAsia="en-GB"/>
              </w:rPr>
            </w:pPr>
            <w:r w:rsidRPr="00327466">
              <w:rPr>
                <w:rFonts w:eastAsia="Times New Roman" w:cs="Open Sans"/>
                <w:lang w:eastAsia="en-GB"/>
              </w:rPr>
              <w:t>£8.07k</w:t>
            </w:r>
          </w:p>
        </w:tc>
        <w:tc>
          <w:tcPr>
            <w:tcW w:w="2253" w:type="dxa"/>
          </w:tcPr>
          <w:p w14:paraId="3CD80EA4" w14:textId="7A718674" w:rsidR="008C62DE" w:rsidRPr="006C3E07" w:rsidRDefault="006C3E07" w:rsidP="008C62DE">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sz w:val="24"/>
                <w:szCs w:val="24"/>
                <w:lang w:eastAsia="en-GB"/>
              </w:rPr>
            </w:pPr>
            <w:r w:rsidRPr="006C3E07">
              <w:rPr>
                <w:rFonts w:eastAsia="Times New Roman" w:cs="Open Sans"/>
                <w:sz w:val="24"/>
                <w:szCs w:val="24"/>
                <w:lang w:eastAsia="en-GB"/>
              </w:rPr>
              <w:t>1,089</w:t>
            </w:r>
          </w:p>
        </w:tc>
      </w:tr>
      <w:tr w:rsidR="008C62DE" w:rsidRPr="00327466" w14:paraId="2438DD56" w14:textId="77777777" w:rsidTr="00C64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3CCBB4D9" w14:textId="77777777" w:rsidR="008C62DE" w:rsidRPr="00327466" w:rsidRDefault="008C62DE" w:rsidP="008C62DE">
            <w:pPr>
              <w:spacing w:before="0" w:after="0"/>
              <w:rPr>
                <w:rFonts w:eastAsia="Times New Roman" w:cs="Open Sans"/>
                <w:lang w:eastAsia="en-GB"/>
              </w:rPr>
            </w:pPr>
            <w:r w:rsidRPr="00327466">
              <w:rPr>
                <w:rFonts w:eastAsia="Times New Roman" w:cs="Open Sans"/>
                <w:lang w:eastAsia="en-GB"/>
              </w:rPr>
              <w:t>Access to public services</w:t>
            </w:r>
            <w:r w:rsidRPr="00327466">
              <w:rPr>
                <w:rFonts w:eastAsia="Times New Roman" w:cs="Open Sans"/>
                <w:lang w:eastAsia="en-GB"/>
              </w:rPr>
              <w:tab/>
            </w:r>
          </w:p>
        </w:tc>
        <w:tc>
          <w:tcPr>
            <w:tcW w:w="2252" w:type="dxa"/>
          </w:tcPr>
          <w:p w14:paraId="0B621B00" w14:textId="3AFCC4BF" w:rsidR="008C62DE" w:rsidRPr="00327466" w:rsidRDefault="008C62DE"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b/>
                <w:bCs/>
                <w:sz w:val="24"/>
                <w:szCs w:val="24"/>
                <w:lang w:eastAsia="en-GB"/>
              </w:rPr>
            </w:pPr>
            <w:r w:rsidRPr="00327466">
              <w:rPr>
                <w:rFonts w:eastAsia="Times New Roman" w:cs="Open Sans"/>
                <w:lang w:eastAsia="en-GB"/>
              </w:rPr>
              <w:t>£96.16k</w:t>
            </w:r>
          </w:p>
        </w:tc>
        <w:tc>
          <w:tcPr>
            <w:tcW w:w="2253" w:type="dxa"/>
          </w:tcPr>
          <w:p w14:paraId="6DE5CEBB" w14:textId="236EFBF6" w:rsidR="008C62DE" w:rsidRPr="006C3E07" w:rsidRDefault="0032009A"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sz w:val="24"/>
                <w:szCs w:val="24"/>
                <w:lang w:eastAsia="en-GB"/>
              </w:rPr>
            </w:pPr>
            <w:r>
              <w:rPr>
                <w:rFonts w:eastAsia="Times New Roman" w:cs="Open Sans"/>
                <w:sz w:val="24"/>
                <w:szCs w:val="24"/>
                <w:lang w:eastAsia="en-GB"/>
              </w:rPr>
              <w:t>1,031</w:t>
            </w:r>
          </w:p>
        </w:tc>
      </w:tr>
      <w:tr w:rsidR="008C62DE" w:rsidRPr="00327466" w14:paraId="2F294D6C" w14:textId="77777777" w:rsidTr="00C645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348FFA65" w14:textId="77777777" w:rsidR="008C62DE" w:rsidRPr="00327466" w:rsidRDefault="008C62DE" w:rsidP="008C62DE">
            <w:pPr>
              <w:spacing w:before="0" w:after="0"/>
              <w:rPr>
                <w:rFonts w:eastAsia="Times New Roman" w:cs="Open Sans"/>
                <w:lang w:eastAsia="en-GB"/>
              </w:rPr>
            </w:pPr>
            <w:r w:rsidRPr="00327466">
              <w:rPr>
                <w:rFonts w:eastAsia="Times New Roman" w:cs="Open Sans"/>
                <w:lang w:eastAsia="en-GB"/>
              </w:rPr>
              <w:t>Improved attitudes and aspirations</w:t>
            </w:r>
          </w:p>
        </w:tc>
        <w:tc>
          <w:tcPr>
            <w:tcW w:w="2252" w:type="dxa"/>
          </w:tcPr>
          <w:p w14:paraId="054D9404" w14:textId="0E14B060" w:rsidR="008C62DE" w:rsidRPr="00327466" w:rsidRDefault="008C62DE" w:rsidP="008C62DE">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sz w:val="24"/>
                <w:szCs w:val="24"/>
                <w:lang w:eastAsia="en-GB"/>
              </w:rPr>
            </w:pPr>
            <w:r w:rsidRPr="00327466">
              <w:rPr>
                <w:rFonts w:eastAsia="Times New Roman" w:cs="Open Sans"/>
                <w:sz w:val="24"/>
                <w:szCs w:val="24"/>
                <w:lang w:eastAsia="en-GB"/>
              </w:rPr>
              <w:t>N/A</w:t>
            </w:r>
          </w:p>
        </w:tc>
        <w:tc>
          <w:tcPr>
            <w:tcW w:w="2253" w:type="dxa"/>
          </w:tcPr>
          <w:p w14:paraId="1285B97B" w14:textId="26E838B8" w:rsidR="008C62DE" w:rsidRPr="006C3E07" w:rsidRDefault="00743447" w:rsidP="008C62DE">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sz w:val="24"/>
                <w:szCs w:val="24"/>
                <w:lang w:eastAsia="en-GB"/>
              </w:rPr>
            </w:pPr>
            <w:r>
              <w:rPr>
                <w:rFonts w:eastAsia="Times New Roman" w:cs="Open Sans"/>
                <w:sz w:val="24"/>
                <w:szCs w:val="24"/>
                <w:lang w:eastAsia="en-GB"/>
              </w:rPr>
              <w:t>2,577</w:t>
            </w:r>
          </w:p>
        </w:tc>
      </w:tr>
      <w:tr w:rsidR="008C62DE" w:rsidRPr="00327466" w14:paraId="241E3D0B" w14:textId="77777777" w:rsidTr="00C64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5E8BE261" w14:textId="77777777" w:rsidR="008C62DE" w:rsidRPr="00327466" w:rsidRDefault="008C62DE" w:rsidP="008C62DE">
            <w:pPr>
              <w:spacing w:before="0" w:after="0"/>
              <w:rPr>
                <w:rFonts w:eastAsia="Times New Roman" w:cs="Open Sans"/>
                <w:lang w:eastAsia="en-GB"/>
              </w:rPr>
            </w:pPr>
            <w:r w:rsidRPr="00327466">
              <w:rPr>
                <w:rFonts w:eastAsia="Times New Roman" w:cs="Open Sans"/>
                <w:lang w:eastAsia="en-GB"/>
              </w:rPr>
              <w:t>Volunteering</w:t>
            </w:r>
            <w:r w:rsidRPr="00327466">
              <w:rPr>
                <w:rFonts w:eastAsia="Times New Roman" w:cs="Open Sans"/>
                <w:lang w:eastAsia="en-GB"/>
              </w:rPr>
              <w:tab/>
            </w:r>
          </w:p>
        </w:tc>
        <w:tc>
          <w:tcPr>
            <w:tcW w:w="2252" w:type="dxa"/>
          </w:tcPr>
          <w:p w14:paraId="320D1F0E" w14:textId="4ABF164F" w:rsidR="008C62DE" w:rsidRPr="00327466" w:rsidRDefault="008C62DE"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b/>
                <w:bCs/>
                <w:sz w:val="24"/>
                <w:szCs w:val="24"/>
                <w:lang w:eastAsia="en-GB"/>
              </w:rPr>
            </w:pPr>
            <w:r w:rsidRPr="00327466">
              <w:rPr>
                <w:rFonts w:eastAsia="Times New Roman" w:cs="Open Sans"/>
                <w:lang w:eastAsia="en-GB"/>
              </w:rPr>
              <w:t>£24.48k</w:t>
            </w:r>
          </w:p>
        </w:tc>
        <w:tc>
          <w:tcPr>
            <w:tcW w:w="2253" w:type="dxa"/>
          </w:tcPr>
          <w:p w14:paraId="37787B48" w14:textId="39D015B1" w:rsidR="008C62DE" w:rsidRPr="006C3E07" w:rsidRDefault="00743447"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sz w:val="24"/>
                <w:szCs w:val="24"/>
                <w:lang w:eastAsia="en-GB"/>
              </w:rPr>
            </w:pPr>
            <w:r>
              <w:rPr>
                <w:rFonts w:eastAsia="Times New Roman" w:cs="Open Sans"/>
                <w:sz w:val="24"/>
                <w:szCs w:val="24"/>
                <w:lang w:eastAsia="en-GB"/>
              </w:rPr>
              <w:t>33</w:t>
            </w:r>
          </w:p>
        </w:tc>
      </w:tr>
      <w:tr w:rsidR="008C62DE" w:rsidRPr="00327466" w14:paraId="5171472B" w14:textId="77777777" w:rsidTr="00C645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37189834" w14:textId="77777777" w:rsidR="008C62DE" w:rsidRPr="00327466" w:rsidRDefault="008C62DE" w:rsidP="008C62DE">
            <w:pPr>
              <w:spacing w:before="0" w:after="0"/>
              <w:rPr>
                <w:rFonts w:eastAsia="Times New Roman" w:cs="Open Sans"/>
                <w:lang w:eastAsia="en-GB"/>
              </w:rPr>
            </w:pPr>
            <w:r w:rsidRPr="00327466">
              <w:rPr>
                <w:rFonts w:eastAsia="Times New Roman" w:cs="Open Sans"/>
                <w:lang w:eastAsia="en-GB"/>
              </w:rPr>
              <w:t>Access to training</w:t>
            </w:r>
            <w:r w:rsidRPr="00327466">
              <w:rPr>
                <w:rFonts w:eastAsia="Times New Roman" w:cs="Open Sans"/>
                <w:lang w:eastAsia="en-GB"/>
              </w:rPr>
              <w:tab/>
            </w:r>
          </w:p>
        </w:tc>
        <w:tc>
          <w:tcPr>
            <w:tcW w:w="2252" w:type="dxa"/>
          </w:tcPr>
          <w:p w14:paraId="6C207C75" w14:textId="1FC7C0D3" w:rsidR="008C62DE" w:rsidRPr="00327466" w:rsidRDefault="008C62DE" w:rsidP="008C62DE">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b/>
                <w:bCs/>
                <w:sz w:val="24"/>
                <w:szCs w:val="24"/>
                <w:lang w:eastAsia="en-GB"/>
              </w:rPr>
            </w:pPr>
            <w:r w:rsidRPr="00327466">
              <w:rPr>
                <w:rFonts w:eastAsia="Times New Roman" w:cs="Open Sans"/>
                <w:lang w:eastAsia="en-GB"/>
              </w:rPr>
              <w:t>£23.10k</w:t>
            </w:r>
          </w:p>
        </w:tc>
        <w:tc>
          <w:tcPr>
            <w:tcW w:w="2253" w:type="dxa"/>
          </w:tcPr>
          <w:p w14:paraId="4593C820" w14:textId="52D89A9D" w:rsidR="008C62DE" w:rsidRPr="006C3E07" w:rsidRDefault="00172395" w:rsidP="008C62DE">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sz w:val="24"/>
                <w:szCs w:val="24"/>
                <w:lang w:eastAsia="en-GB"/>
              </w:rPr>
            </w:pPr>
            <w:r>
              <w:rPr>
                <w:rFonts w:eastAsia="Times New Roman" w:cs="Open Sans"/>
                <w:sz w:val="24"/>
                <w:szCs w:val="24"/>
                <w:lang w:eastAsia="en-GB"/>
              </w:rPr>
              <w:t>660</w:t>
            </w:r>
          </w:p>
        </w:tc>
      </w:tr>
      <w:tr w:rsidR="008C62DE" w:rsidRPr="00327466" w14:paraId="49F365E5" w14:textId="77777777" w:rsidTr="00C64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01C42AC5" w14:textId="77777777" w:rsidR="008C62DE" w:rsidRPr="00327466" w:rsidRDefault="008C62DE" w:rsidP="008C62DE">
            <w:pPr>
              <w:spacing w:before="0" w:after="0"/>
              <w:rPr>
                <w:rFonts w:eastAsia="Times New Roman" w:cs="Open Sans"/>
                <w:lang w:eastAsia="en-GB"/>
              </w:rPr>
            </w:pPr>
            <w:r w:rsidRPr="00327466">
              <w:rPr>
                <w:rFonts w:eastAsia="Times New Roman" w:cs="Open Sans"/>
                <w:lang w:eastAsia="en-GB"/>
              </w:rPr>
              <w:t>Reduced NEET status</w:t>
            </w:r>
            <w:r w:rsidRPr="00327466">
              <w:rPr>
                <w:rFonts w:eastAsia="Times New Roman" w:cs="Open Sans"/>
                <w:lang w:eastAsia="en-GB"/>
              </w:rPr>
              <w:tab/>
            </w:r>
          </w:p>
        </w:tc>
        <w:tc>
          <w:tcPr>
            <w:tcW w:w="2252" w:type="dxa"/>
          </w:tcPr>
          <w:p w14:paraId="13174AB0" w14:textId="4D3D1640" w:rsidR="008C62DE" w:rsidRPr="00327466" w:rsidRDefault="008C62DE"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b/>
                <w:bCs/>
                <w:sz w:val="24"/>
                <w:szCs w:val="24"/>
                <w:lang w:eastAsia="en-GB"/>
              </w:rPr>
            </w:pPr>
            <w:r w:rsidRPr="00327466">
              <w:rPr>
                <w:rFonts w:eastAsia="Times New Roman" w:cs="Open Sans"/>
                <w:lang w:eastAsia="en-GB"/>
              </w:rPr>
              <w:t>£38.30k</w:t>
            </w:r>
          </w:p>
        </w:tc>
        <w:tc>
          <w:tcPr>
            <w:tcW w:w="2253" w:type="dxa"/>
          </w:tcPr>
          <w:p w14:paraId="5DA97B7D" w14:textId="73C76BC2" w:rsidR="008C62DE" w:rsidRPr="006C3E07" w:rsidRDefault="002462DF"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sz w:val="24"/>
                <w:szCs w:val="24"/>
                <w:lang w:eastAsia="en-GB"/>
              </w:rPr>
            </w:pPr>
            <w:r>
              <w:rPr>
                <w:rFonts w:eastAsia="Times New Roman" w:cs="Open Sans"/>
                <w:sz w:val="24"/>
                <w:szCs w:val="24"/>
                <w:lang w:eastAsia="en-GB"/>
              </w:rPr>
              <w:t>37</w:t>
            </w:r>
          </w:p>
        </w:tc>
      </w:tr>
      <w:tr w:rsidR="008C62DE" w:rsidRPr="00327466" w14:paraId="1D493854" w14:textId="77777777" w:rsidTr="00C645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1998D9DC" w14:textId="77777777" w:rsidR="008C62DE" w:rsidRPr="00327466" w:rsidRDefault="008C62DE" w:rsidP="008C62DE">
            <w:pPr>
              <w:spacing w:before="0" w:after="0"/>
              <w:rPr>
                <w:rFonts w:eastAsia="Times New Roman" w:cs="Open Sans"/>
                <w:lang w:eastAsia="en-GB"/>
              </w:rPr>
            </w:pPr>
            <w:r w:rsidRPr="00327466">
              <w:rPr>
                <w:rFonts w:eastAsia="Times New Roman" w:cs="Open Sans"/>
                <w:lang w:eastAsia="en-GB"/>
              </w:rPr>
              <w:t>Increased connections and belonging</w:t>
            </w:r>
          </w:p>
        </w:tc>
        <w:tc>
          <w:tcPr>
            <w:tcW w:w="2252" w:type="dxa"/>
          </w:tcPr>
          <w:p w14:paraId="023B30FC" w14:textId="3B8B668C" w:rsidR="008C62DE" w:rsidRPr="00327466" w:rsidRDefault="008C62DE" w:rsidP="008C62DE">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b/>
                <w:bCs/>
                <w:sz w:val="24"/>
                <w:szCs w:val="24"/>
                <w:lang w:eastAsia="en-GB"/>
              </w:rPr>
            </w:pPr>
            <w:r w:rsidRPr="00327466">
              <w:rPr>
                <w:rFonts w:eastAsia="Times New Roman" w:cs="Open Sans"/>
                <w:sz w:val="24"/>
                <w:szCs w:val="24"/>
                <w:lang w:eastAsia="en-GB"/>
              </w:rPr>
              <w:t>N/A</w:t>
            </w:r>
          </w:p>
        </w:tc>
        <w:tc>
          <w:tcPr>
            <w:tcW w:w="2253" w:type="dxa"/>
          </w:tcPr>
          <w:p w14:paraId="17EA9455" w14:textId="0881299B" w:rsidR="008C62DE" w:rsidRPr="006C3E07" w:rsidRDefault="002462DF" w:rsidP="008C62DE">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sz w:val="24"/>
                <w:szCs w:val="24"/>
                <w:lang w:eastAsia="en-GB"/>
              </w:rPr>
            </w:pPr>
            <w:r>
              <w:rPr>
                <w:rFonts w:eastAsia="Times New Roman" w:cs="Open Sans"/>
                <w:sz w:val="24"/>
                <w:szCs w:val="24"/>
                <w:lang w:eastAsia="en-GB"/>
              </w:rPr>
              <w:t>4,134</w:t>
            </w:r>
          </w:p>
        </w:tc>
      </w:tr>
      <w:tr w:rsidR="00412735" w:rsidRPr="00327466" w14:paraId="0B6EC388" w14:textId="77777777" w:rsidTr="00242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tcPr>
          <w:p w14:paraId="1D02B1E1" w14:textId="77777777" w:rsidR="00412735" w:rsidRPr="00327466" w:rsidRDefault="00412735" w:rsidP="00412735">
            <w:pPr>
              <w:spacing w:before="0" w:after="0"/>
              <w:rPr>
                <w:rFonts w:eastAsia="Times New Roman" w:cs="Open Sans"/>
                <w:b/>
                <w:color w:val="FFFFFF"/>
                <w:sz w:val="24"/>
                <w:szCs w:val="24"/>
                <w:lang w:eastAsia="en-GB"/>
              </w:rPr>
            </w:pPr>
            <w:r w:rsidRPr="00327466">
              <w:rPr>
                <w:rFonts w:eastAsia="Times New Roman" w:cs="Open Sans"/>
                <w:b/>
                <w:color w:val="06625D"/>
                <w:sz w:val="24"/>
                <w:szCs w:val="24"/>
                <w:lang w:eastAsia="en-GB"/>
              </w:rPr>
              <w:t>Economic Impact</w:t>
            </w:r>
          </w:p>
        </w:tc>
      </w:tr>
      <w:tr w:rsidR="008C62DE" w:rsidRPr="00412735" w14:paraId="6A9A1B4A" w14:textId="77777777" w:rsidTr="004007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334FF420" w14:textId="77777777" w:rsidR="008C62DE" w:rsidRPr="00412735" w:rsidRDefault="008C62DE" w:rsidP="008C62DE">
            <w:pPr>
              <w:spacing w:before="0" w:after="0"/>
              <w:rPr>
                <w:rFonts w:eastAsia="Times New Roman" w:cs="Open Sans"/>
                <w:lang w:eastAsia="en-GB"/>
              </w:rPr>
            </w:pPr>
            <w:r w:rsidRPr="00412735">
              <w:rPr>
                <w:rFonts w:eastAsia="Times New Roman" w:cs="Open Sans"/>
                <w:lang w:eastAsia="en-GB"/>
              </w:rPr>
              <w:t>Job creation</w:t>
            </w:r>
            <w:r w:rsidRPr="00412735">
              <w:rPr>
                <w:rFonts w:eastAsia="Times New Roman" w:cs="Open Sans"/>
                <w:lang w:eastAsia="en-GB"/>
              </w:rPr>
              <w:tab/>
            </w:r>
          </w:p>
        </w:tc>
        <w:tc>
          <w:tcPr>
            <w:tcW w:w="2252" w:type="dxa"/>
          </w:tcPr>
          <w:p w14:paraId="20BC38F2" w14:textId="3242EC73" w:rsidR="008C62DE" w:rsidRPr="00412735" w:rsidRDefault="008C62DE" w:rsidP="008C62DE">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sidRPr="00412735">
              <w:rPr>
                <w:rFonts w:eastAsia="Times New Roman" w:cs="Open Sans"/>
                <w:sz w:val="24"/>
                <w:szCs w:val="24"/>
                <w:lang w:eastAsia="en-GB"/>
              </w:rPr>
              <w:t>N/A</w:t>
            </w:r>
          </w:p>
        </w:tc>
        <w:tc>
          <w:tcPr>
            <w:tcW w:w="2253" w:type="dxa"/>
          </w:tcPr>
          <w:p w14:paraId="1D55408D" w14:textId="237BAFC8" w:rsidR="008C62DE" w:rsidRPr="00412735" w:rsidRDefault="00611D73" w:rsidP="008C62DE">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Pr>
                <w:rFonts w:eastAsia="Times New Roman" w:cs="Open Sans"/>
                <w:lang w:eastAsia="en-GB"/>
              </w:rPr>
              <w:t>1,109</w:t>
            </w:r>
          </w:p>
        </w:tc>
      </w:tr>
      <w:tr w:rsidR="008C62DE" w:rsidRPr="00412735" w14:paraId="61200CF0" w14:textId="77777777" w:rsidTr="004007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3515DD52" w14:textId="77777777" w:rsidR="008C62DE" w:rsidRPr="00412735" w:rsidRDefault="008C62DE" w:rsidP="008C62DE">
            <w:pPr>
              <w:spacing w:before="0" w:after="0"/>
              <w:rPr>
                <w:rFonts w:eastAsia="Times New Roman" w:cs="Open Sans"/>
                <w:lang w:eastAsia="en-GB"/>
              </w:rPr>
            </w:pPr>
            <w:r w:rsidRPr="00412735">
              <w:rPr>
                <w:rFonts w:eastAsia="Times New Roman" w:cs="Open Sans"/>
                <w:lang w:eastAsia="en-GB"/>
              </w:rPr>
              <w:t>Increased work hours</w:t>
            </w:r>
          </w:p>
        </w:tc>
        <w:tc>
          <w:tcPr>
            <w:tcW w:w="2252" w:type="dxa"/>
          </w:tcPr>
          <w:p w14:paraId="12DF2F36" w14:textId="4C75CD6C" w:rsidR="008C62DE" w:rsidRPr="00412735" w:rsidRDefault="008C62DE"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sidRPr="00412735">
              <w:rPr>
                <w:rFonts w:eastAsia="Times New Roman" w:cs="Open Sans"/>
                <w:lang w:eastAsia="en-GB"/>
              </w:rPr>
              <w:t>£179.58k</w:t>
            </w:r>
          </w:p>
        </w:tc>
        <w:tc>
          <w:tcPr>
            <w:tcW w:w="2253" w:type="dxa"/>
          </w:tcPr>
          <w:p w14:paraId="22D85ACC" w14:textId="37813BAA" w:rsidR="008C62DE" w:rsidRPr="00412735" w:rsidRDefault="00611D73"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Pr>
                <w:rFonts w:eastAsia="Times New Roman" w:cs="Open Sans"/>
                <w:lang w:eastAsia="en-GB"/>
              </w:rPr>
              <w:t>3,790</w:t>
            </w:r>
          </w:p>
        </w:tc>
      </w:tr>
      <w:tr w:rsidR="008C62DE" w:rsidRPr="00412735" w14:paraId="79D18B51" w14:textId="77777777" w:rsidTr="004007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259D424F" w14:textId="77777777" w:rsidR="008C62DE" w:rsidRPr="00412735" w:rsidRDefault="008C62DE" w:rsidP="008C62DE">
            <w:pPr>
              <w:spacing w:before="0" w:after="0"/>
              <w:rPr>
                <w:rFonts w:eastAsia="Times New Roman" w:cs="Open Sans"/>
                <w:lang w:eastAsia="en-GB"/>
              </w:rPr>
            </w:pPr>
            <w:r w:rsidRPr="00412735">
              <w:rPr>
                <w:rFonts w:eastAsia="Times New Roman" w:cs="Open Sans"/>
                <w:lang w:eastAsia="en-GB"/>
              </w:rPr>
              <w:t>Local provider spending</w:t>
            </w:r>
          </w:p>
        </w:tc>
        <w:tc>
          <w:tcPr>
            <w:tcW w:w="2252" w:type="dxa"/>
          </w:tcPr>
          <w:p w14:paraId="5B8EC150" w14:textId="5E567350" w:rsidR="008C62DE" w:rsidRPr="00412735" w:rsidRDefault="008C62DE" w:rsidP="008C62DE">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sidRPr="00412735">
              <w:rPr>
                <w:rFonts w:eastAsia="Times New Roman" w:cs="Open Sans"/>
                <w:lang w:eastAsia="en-GB"/>
              </w:rPr>
              <w:t>£35.15k</w:t>
            </w:r>
          </w:p>
        </w:tc>
        <w:tc>
          <w:tcPr>
            <w:tcW w:w="2253" w:type="dxa"/>
          </w:tcPr>
          <w:p w14:paraId="1D05927D" w14:textId="7991E390" w:rsidR="008C62DE" w:rsidRPr="00412735" w:rsidRDefault="00DB32B7" w:rsidP="008C62DE">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Pr>
                <w:rFonts w:eastAsia="Times New Roman" w:cs="Open Sans"/>
                <w:lang w:eastAsia="en-GB"/>
              </w:rPr>
              <w:t>67</w:t>
            </w:r>
          </w:p>
        </w:tc>
      </w:tr>
      <w:tr w:rsidR="008C62DE" w:rsidRPr="00412735" w14:paraId="72D35DF0" w14:textId="77777777" w:rsidTr="004007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76DA8E52" w14:textId="77777777" w:rsidR="008C62DE" w:rsidRPr="00412735" w:rsidRDefault="008C62DE" w:rsidP="008C62DE">
            <w:pPr>
              <w:spacing w:before="0" w:after="0"/>
              <w:rPr>
                <w:rFonts w:eastAsia="Times New Roman" w:cs="Open Sans"/>
                <w:lang w:eastAsia="en-GB"/>
              </w:rPr>
            </w:pPr>
            <w:r w:rsidRPr="00412735">
              <w:rPr>
                <w:rFonts w:eastAsia="Times New Roman" w:cs="Open Sans"/>
                <w:lang w:eastAsia="en-GB"/>
              </w:rPr>
              <w:t xml:space="preserve">Local parent spending: </w:t>
            </w:r>
          </w:p>
          <w:p w14:paraId="3992CF35" w14:textId="77777777" w:rsidR="008C62DE" w:rsidRPr="00412735" w:rsidRDefault="008C62DE" w:rsidP="008C62DE">
            <w:pPr>
              <w:numPr>
                <w:ilvl w:val="0"/>
                <w:numId w:val="24"/>
              </w:numPr>
              <w:spacing w:before="0" w:after="0"/>
              <w:contextualSpacing/>
              <w:rPr>
                <w:rFonts w:eastAsia="Times New Roman" w:cs="Open Sans"/>
                <w:lang w:eastAsia="en-GB"/>
              </w:rPr>
            </w:pPr>
            <w:r w:rsidRPr="00412735">
              <w:rPr>
                <w:rFonts w:eastAsia="Times New Roman" w:cs="Open Sans"/>
                <w:lang w:eastAsia="en-GB"/>
              </w:rPr>
              <w:t xml:space="preserve">Food and Drink </w:t>
            </w:r>
          </w:p>
          <w:p w14:paraId="502401FD" w14:textId="77777777" w:rsidR="008C62DE" w:rsidRPr="00412735" w:rsidRDefault="008C62DE" w:rsidP="008C62DE">
            <w:pPr>
              <w:numPr>
                <w:ilvl w:val="0"/>
                <w:numId w:val="24"/>
              </w:numPr>
              <w:spacing w:before="0" w:after="0"/>
              <w:contextualSpacing/>
              <w:rPr>
                <w:rFonts w:eastAsia="Times New Roman" w:cs="Open Sans"/>
                <w:lang w:eastAsia="en-GB"/>
              </w:rPr>
            </w:pPr>
            <w:r w:rsidRPr="00412735">
              <w:rPr>
                <w:rFonts w:eastAsia="Times New Roman" w:cs="Open Sans"/>
                <w:lang w:eastAsia="en-GB"/>
              </w:rPr>
              <w:t>Transport</w:t>
            </w:r>
          </w:p>
          <w:p w14:paraId="106D29AB" w14:textId="77777777" w:rsidR="008C62DE" w:rsidRPr="00412735" w:rsidRDefault="008C62DE" w:rsidP="008C62DE">
            <w:pPr>
              <w:numPr>
                <w:ilvl w:val="0"/>
                <w:numId w:val="24"/>
              </w:numPr>
              <w:spacing w:before="0" w:after="0"/>
              <w:contextualSpacing/>
              <w:rPr>
                <w:rFonts w:eastAsia="Times New Roman" w:cs="Open Sans"/>
                <w:lang w:eastAsia="en-GB"/>
              </w:rPr>
            </w:pPr>
            <w:r w:rsidRPr="00412735">
              <w:rPr>
                <w:rFonts w:eastAsia="Times New Roman" w:cs="Open Sans"/>
                <w:lang w:eastAsia="en-GB"/>
              </w:rPr>
              <w:t xml:space="preserve">Clothing and Equipment </w:t>
            </w:r>
          </w:p>
          <w:p w14:paraId="46E44808" w14:textId="77777777" w:rsidR="008C62DE" w:rsidRPr="00412735" w:rsidRDefault="008C62DE" w:rsidP="008C62DE">
            <w:pPr>
              <w:numPr>
                <w:ilvl w:val="0"/>
                <w:numId w:val="24"/>
              </w:numPr>
              <w:spacing w:before="0" w:after="0"/>
              <w:contextualSpacing/>
              <w:rPr>
                <w:rFonts w:eastAsia="Times New Roman" w:cs="Open Sans"/>
                <w:lang w:eastAsia="en-GB"/>
              </w:rPr>
            </w:pPr>
            <w:r w:rsidRPr="00412735">
              <w:rPr>
                <w:rFonts w:eastAsia="Times New Roman" w:cs="Open Sans"/>
                <w:lang w:eastAsia="en-GB"/>
              </w:rPr>
              <w:t>Childcare</w:t>
            </w:r>
          </w:p>
          <w:p w14:paraId="3EAC3C9D" w14:textId="77777777" w:rsidR="008C62DE" w:rsidRPr="00412735" w:rsidRDefault="008C62DE" w:rsidP="008C62DE">
            <w:pPr>
              <w:numPr>
                <w:ilvl w:val="0"/>
                <w:numId w:val="24"/>
              </w:numPr>
              <w:spacing w:before="0" w:after="0"/>
              <w:contextualSpacing/>
              <w:rPr>
                <w:rFonts w:eastAsia="Times New Roman" w:cs="Open Sans"/>
                <w:lang w:eastAsia="en-GB"/>
              </w:rPr>
            </w:pPr>
            <w:r w:rsidRPr="00412735">
              <w:rPr>
                <w:rFonts w:eastAsia="Times New Roman" w:cs="Open Sans"/>
                <w:lang w:eastAsia="en-GB"/>
              </w:rPr>
              <w:t>Other</w:t>
            </w:r>
          </w:p>
        </w:tc>
        <w:tc>
          <w:tcPr>
            <w:tcW w:w="2252" w:type="dxa"/>
          </w:tcPr>
          <w:p w14:paraId="35929E0D" w14:textId="77777777" w:rsidR="008C62DE" w:rsidRPr="00412735" w:rsidRDefault="008C62DE"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p>
          <w:p w14:paraId="54C63855" w14:textId="77777777" w:rsidR="008C62DE" w:rsidRPr="00412735" w:rsidRDefault="008C62DE"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sidRPr="00412735">
              <w:rPr>
                <w:rFonts w:eastAsia="Times New Roman" w:cs="Open Sans"/>
                <w:lang w:eastAsia="en-GB"/>
              </w:rPr>
              <w:t>£127.29k</w:t>
            </w:r>
          </w:p>
          <w:p w14:paraId="536BE606" w14:textId="77777777" w:rsidR="008C62DE" w:rsidRPr="00412735" w:rsidRDefault="008C62DE"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sidRPr="00412735">
              <w:rPr>
                <w:rFonts w:eastAsia="Times New Roman" w:cs="Open Sans"/>
                <w:lang w:eastAsia="en-GB"/>
              </w:rPr>
              <w:t>£188.61k</w:t>
            </w:r>
          </w:p>
          <w:p w14:paraId="6D646984" w14:textId="77777777" w:rsidR="008C62DE" w:rsidRPr="00412735" w:rsidRDefault="008C62DE"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sidRPr="00412735">
              <w:rPr>
                <w:rFonts w:eastAsia="Times New Roman" w:cs="Open Sans"/>
                <w:lang w:eastAsia="en-GB"/>
              </w:rPr>
              <w:t>£99.39k</w:t>
            </w:r>
          </w:p>
          <w:p w14:paraId="4030D807" w14:textId="77777777" w:rsidR="008C62DE" w:rsidRPr="00412735" w:rsidRDefault="008C62DE"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sidRPr="00412735">
              <w:rPr>
                <w:rFonts w:eastAsia="Times New Roman" w:cs="Open Sans"/>
                <w:lang w:eastAsia="en-GB"/>
              </w:rPr>
              <w:t>£15.35k</w:t>
            </w:r>
          </w:p>
          <w:p w14:paraId="310C16A1" w14:textId="2CDC4DC0" w:rsidR="008C62DE" w:rsidRPr="00412735" w:rsidRDefault="008C62DE"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sidRPr="00412735">
              <w:rPr>
                <w:rFonts w:eastAsia="Times New Roman" w:cs="Open Sans"/>
                <w:lang w:eastAsia="en-GB"/>
              </w:rPr>
              <w:t>£10.33k</w:t>
            </w:r>
          </w:p>
        </w:tc>
        <w:tc>
          <w:tcPr>
            <w:tcW w:w="2253" w:type="dxa"/>
          </w:tcPr>
          <w:p w14:paraId="411C396A" w14:textId="1DAF344C" w:rsidR="008C62DE" w:rsidRPr="00412735" w:rsidRDefault="00DB32B7"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Pr>
                <w:rFonts w:eastAsia="Times New Roman" w:cs="Open Sans"/>
                <w:lang w:eastAsia="en-GB"/>
              </w:rPr>
              <w:t>N/A</w:t>
            </w:r>
          </w:p>
        </w:tc>
      </w:tr>
      <w:tr w:rsidR="008C62DE" w:rsidRPr="00412735" w14:paraId="0704B5B2" w14:textId="77777777" w:rsidTr="004007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31C7B680" w14:textId="77777777" w:rsidR="008C62DE" w:rsidRPr="00412735" w:rsidRDefault="008C62DE" w:rsidP="008C62DE">
            <w:pPr>
              <w:spacing w:before="0" w:after="0"/>
              <w:rPr>
                <w:rFonts w:eastAsia="Times New Roman" w:cs="Open Sans"/>
                <w:lang w:eastAsia="en-GB"/>
              </w:rPr>
            </w:pPr>
            <w:r w:rsidRPr="00412735">
              <w:rPr>
                <w:rFonts w:eastAsia="Times New Roman" w:cs="Open Sans"/>
                <w:lang w:eastAsia="en-GB"/>
              </w:rPr>
              <w:t>Leveraged provider funding</w:t>
            </w:r>
          </w:p>
        </w:tc>
        <w:tc>
          <w:tcPr>
            <w:tcW w:w="2252" w:type="dxa"/>
          </w:tcPr>
          <w:p w14:paraId="0BED99C5" w14:textId="1A9F83FD" w:rsidR="008C62DE" w:rsidRPr="00412735" w:rsidRDefault="008C62DE" w:rsidP="008C62DE">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sidRPr="00412735">
              <w:rPr>
                <w:rFonts w:eastAsia="Times New Roman" w:cs="Open Sans"/>
                <w:lang w:eastAsia="en-GB"/>
              </w:rPr>
              <w:t>£28.93k</w:t>
            </w:r>
          </w:p>
        </w:tc>
        <w:tc>
          <w:tcPr>
            <w:tcW w:w="2253" w:type="dxa"/>
          </w:tcPr>
          <w:p w14:paraId="55B11F25" w14:textId="7E41BDB7" w:rsidR="008C62DE" w:rsidRPr="00412735" w:rsidRDefault="00DB32B7" w:rsidP="008C62DE">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Pr>
                <w:rFonts w:eastAsia="Times New Roman" w:cs="Open Sans"/>
                <w:lang w:eastAsia="en-GB"/>
              </w:rPr>
              <w:t>13</w:t>
            </w:r>
          </w:p>
        </w:tc>
      </w:tr>
    </w:tbl>
    <w:p w14:paraId="0169D66E" w14:textId="5218D872" w:rsidR="002425E6" w:rsidRPr="002316B6" w:rsidRDefault="00B26C9A" w:rsidP="000E556D">
      <w:pPr>
        <w:rPr>
          <w:rFonts w:cs="Open Sans"/>
          <w:sz w:val="18"/>
          <w:szCs w:val="18"/>
        </w:rPr>
      </w:pPr>
      <w:r w:rsidRPr="00C20CD2">
        <w:rPr>
          <w:rFonts w:cs="Open Sans"/>
          <w:sz w:val="18"/>
          <w:szCs w:val="18"/>
        </w:rPr>
        <w:t>Please note values have been rounded</w:t>
      </w:r>
      <w:r>
        <w:rPr>
          <w:rFonts w:cs="Open Sans"/>
          <w:sz w:val="18"/>
          <w:szCs w:val="18"/>
        </w:rPr>
        <w:t xml:space="preserve"> where applicable. </w:t>
      </w:r>
    </w:p>
    <w:p w14:paraId="30E5C917" w14:textId="621777CB" w:rsidR="002425E6" w:rsidRPr="00814022" w:rsidRDefault="002425E6" w:rsidP="002425E6">
      <w:pPr>
        <w:rPr>
          <w:rFonts w:cs="Open Sans"/>
        </w:rPr>
      </w:pPr>
      <w:r w:rsidRPr="00814022">
        <w:rPr>
          <w:rFonts w:cs="Open Sans"/>
        </w:rPr>
        <w:t xml:space="preserve">Overall Social Value derived for Easter 2024 Provision = </w:t>
      </w:r>
      <w:r w:rsidRPr="0061537E">
        <w:rPr>
          <w:rFonts w:cs="Open Sans"/>
          <w:b/>
          <w:bCs/>
        </w:rPr>
        <w:t>£4,479,268 (£4.48m)</w:t>
      </w:r>
    </w:p>
    <w:p w14:paraId="241E38BA" w14:textId="175AF5AB" w:rsidR="00AD19B4" w:rsidRDefault="00AD19B4" w:rsidP="002425E6">
      <w:pPr>
        <w:rPr>
          <w:rFonts w:cs="Open Sans"/>
        </w:rPr>
      </w:pPr>
      <w:r>
        <w:rPr>
          <w:rFonts w:cs="Open Sans"/>
        </w:rPr>
        <w:t>Total expenditure to support delivery = £</w:t>
      </w:r>
      <w:r w:rsidR="006F4791">
        <w:rPr>
          <w:rFonts w:cs="Open Sans"/>
        </w:rPr>
        <w:t>996,838</w:t>
      </w:r>
    </w:p>
    <w:p w14:paraId="7A6037A4" w14:textId="15C47EC6" w:rsidR="002425E6" w:rsidRPr="00CE5BF5" w:rsidRDefault="002425E6" w:rsidP="002425E6">
      <w:pPr>
        <w:rPr>
          <w:rFonts w:cs="Open Sans"/>
          <w:b/>
          <w:bCs/>
        </w:rPr>
      </w:pPr>
      <w:r w:rsidRPr="00CE5BF5">
        <w:rPr>
          <w:rFonts w:cs="Open Sans"/>
          <w:b/>
          <w:bCs/>
        </w:rPr>
        <w:t>Social Return on Investment Ratio = £1:</w:t>
      </w:r>
      <w:r w:rsidR="00A62DC9" w:rsidRPr="00CE5BF5">
        <w:rPr>
          <w:rFonts w:cs="Open Sans"/>
          <w:b/>
          <w:bCs/>
        </w:rPr>
        <w:t xml:space="preserve"> </w:t>
      </w:r>
      <w:r w:rsidR="006F4791" w:rsidRPr="00CE5BF5">
        <w:rPr>
          <w:rFonts w:cs="Open Sans"/>
          <w:b/>
          <w:bCs/>
        </w:rPr>
        <w:t>4.49</w:t>
      </w:r>
    </w:p>
    <w:p w14:paraId="584388EF" w14:textId="77777777" w:rsidR="002425E6" w:rsidRDefault="002425E6" w:rsidP="002425E6">
      <w:pPr>
        <w:rPr>
          <w:rFonts w:cs="Open Sans"/>
          <w:b/>
          <w:bCs/>
          <w:color w:val="000000" w:themeColor="text1"/>
        </w:rPr>
      </w:pPr>
      <w:r>
        <w:rPr>
          <w:rFonts w:cs="Open Sans"/>
          <w:b/>
          <w:bCs/>
          <w:color w:val="000000" w:themeColor="text1"/>
        </w:rPr>
        <w:br w:type="page"/>
      </w:r>
    </w:p>
    <w:p w14:paraId="3DDBB422" w14:textId="1A0CC1D6" w:rsidR="002425E6" w:rsidRPr="00412735" w:rsidRDefault="002425E6" w:rsidP="000E556D">
      <w:pPr>
        <w:rPr>
          <w:rFonts w:cs="Open Sans"/>
          <w:color w:val="000000" w:themeColor="text1"/>
        </w:rPr>
        <w:sectPr w:rsidR="002425E6" w:rsidRPr="00412735" w:rsidSect="00134E78">
          <w:pgSz w:w="11906" w:h="16838"/>
          <w:pgMar w:top="1418" w:right="1418" w:bottom="1134" w:left="1134" w:header="709" w:footer="709" w:gutter="0"/>
          <w:cols w:space="708"/>
          <w:titlePg/>
          <w:docGrid w:linePitch="360"/>
        </w:sectPr>
      </w:pPr>
    </w:p>
    <w:p w14:paraId="2B75E737" w14:textId="77777777" w:rsidR="0020511E" w:rsidRDefault="0020511E" w:rsidP="004A554E"/>
    <w:tbl>
      <w:tblPr>
        <w:tblStyle w:val="GridTable4-Accent61"/>
        <w:tblW w:w="0" w:type="auto"/>
        <w:tblLook w:val="04A0" w:firstRow="1" w:lastRow="0" w:firstColumn="1" w:lastColumn="0" w:noHBand="0" w:noVBand="1"/>
      </w:tblPr>
      <w:tblGrid>
        <w:gridCol w:w="4505"/>
        <w:gridCol w:w="2252"/>
        <w:gridCol w:w="2253"/>
      </w:tblGrid>
      <w:tr w:rsidR="007343A7" w:rsidRPr="007343A7" w14:paraId="22CD2603" w14:textId="77777777" w:rsidTr="007343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tcPr>
          <w:p w14:paraId="6E508A0E" w14:textId="307C5C5E" w:rsidR="007343A7" w:rsidRPr="007343A7" w:rsidRDefault="00327466" w:rsidP="007343A7">
            <w:pPr>
              <w:spacing w:before="0" w:after="0"/>
              <w:rPr>
                <w:rFonts w:eastAsia="Times New Roman" w:cs="Open Sans"/>
                <w:sz w:val="24"/>
                <w:szCs w:val="24"/>
                <w:lang w:eastAsia="en-GB"/>
              </w:rPr>
            </w:pPr>
            <w:r>
              <w:rPr>
                <w:rFonts w:eastAsia="Times New Roman" w:cs="Open Sans"/>
                <w:sz w:val="24"/>
                <w:szCs w:val="24"/>
                <w:lang w:eastAsia="en-GB"/>
              </w:rPr>
              <w:t xml:space="preserve">Table 3: </w:t>
            </w:r>
            <w:r w:rsidR="007343A7" w:rsidRPr="007343A7">
              <w:rPr>
                <w:rFonts w:eastAsia="Times New Roman" w:cs="Open Sans"/>
                <w:sz w:val="24"/>
                <w:szCs w:val="24"/>
                <w:lang w:eastAsia="en-GB"/>
              </w:rPr>
              <w:t xml:space="preserve">2023 </w:t>
            </w:r>
            <w:r>
              <w:rPr>
                <w:rFonts w:eastAsia="Times New Roman" w:cs="Open Sans"/>
                <w:sz w:val="24"/>
                <w:szCs w:val="24"/>
                <w:lang w:eastAsia="en-GB"/>
              </w:rPr>
              <w:t>Valuation (including half term provision)</w:t>
            </w:r>
          </w:p>
        </w:tc>
      </w:tr>
      <w:tr w:rsidR="007343A7" w:rsidRPr="00327466" w14:paraId="05D922E7" w14:textId="77777777" w:rsidTr="007343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tcPr>
          <w:p w14:paraId="3337FC5C" w14:textId="77777777" w:rsidR="007343A7" w:rsidRPr="00327466" w:rsidRDefault="007343A7" w:rsidP="007343A7">
            <w:pPr>
              <w:spacing w:before="0" w:after="0"/>
              <w:rPr>
                <w:rFonts w:eastAsia="Times New Roman" w:cs="Open Sans"/>
                <w:b/>
                <w:color w:val="06625D"/>
                <w:sz w:val="24"/>
                <w:szCs w:val="24"/>
                <w:lang w:eastAsia="en-GB"/>
              </w:rPr>
            </w:pPr>
            <w:r w:rsidRPr="00327466">
              <w:rPr>
                <w:rFonts w:eastAsia="Times New Roman" w:cs="Open Sans"/>
                <w:b/>
                <w:color w:val="06625D"/>
                <w:sz w:val="24"/>
                <w:szCs w:val="24"/>
                <w:lang w:eastAsia="en-GB"/>
              </w:rPr>
              <w:t xml:space="preserve">Health and Wellbeing </w:t>
            </w:r>
          </w:p>
        </w:tc>
      </w:tr>
      <w:tr w:rsidR="008C62DE" w:rsidRPr="00327466" w14:paraId="1860CE74" w14:textId="77777777" w:rsidTr="00077ED3">
        <w:trPr>
          <w:cnfStyle w:val="000000010000" w:firstRow="0" w:lastRow="0" w:firstColumn="0" w:lastColumn="0" w:oddVBand="0" w:evenVBand="0" w:oddHBand="0" w:evenHBand="1"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4505" w:type="dxa"/>
          </w:tcPr>
          <w:p w14:paraId="761CA459" w14:textId="77777777" w:rsidR="008C62DE" w:rsidRPr="00327466" w:rsidRDefault="008C62DE" w:rsidP="007343A7">
            <w:pPr>
              <w:spacing w:before="0" w:after="0"/>
              <w:rPr>
                <w:rFonts w:eastAsia="Times New Roman" w:cs="Open Sans"/>
                <w:b/>
                <w:color w:val="06625D"/>
                <w:sz w:val="24"/>
                <w:szCs w:val="24"/>
                <w:lang w:eastAsia="en-GB"/>
              </w:rPr>
            </w:pPr>
            <w:r w:rsidRPr="00327466">
              <w:rPr>
                <w:rFonts w:eastAsia="Times New Roman" w:cs="Open Sans"/>
                <w:b/>
                <w:color w:val="06625D"/>
                <w:sz w:val="24"/>
                <w:szCs w:val="24"/>
                <w:lang w:eastAsia="en-GB"/>
              </w:rPr>
              <w:t>Outcome</w:t>
            </w:r>
          </w:p>
        </w:tc>
        <w:tc>
          <w:tcPr>
            <w:tcW w:w="2252" w:type="dxa"/>
          </w:tcPr>
          <w:p w14:paraId="0C763225" w14:textId="77777777" w:rsidR="008C62DE" w:rsidRPr="00327466" w:rsidRDefault="008C62DE" w:rsidP="007343A7">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b/>
                <w:bCs/>
                <w:color w:val="06625D"/>
                <w:sz w:val="24"/>
                <w:szCs w:val="24"/>
                <w:lang w:eastAsia="en-GB"/>
              </w:rPr>
            </w:pPr>
            <w:r w:rsidRPr="00327466">
              <w:rPr>
                <w:rFonts w:eastAsia="Times New Roman" w:cs="Open Sans"/>
                <w:b/>
                <w:bCs/>
                <w:color w:val="06625D"/>
                <w:sz w:val="24"/>
                <w:szCs w:val="24"/>
                <w:lang w:eastAsia="en-GB"/>
              </w:rPr>
              <w:t xml:space="preserve">Valuation </w:t>
            </w:r>
          </w:p>
        </w:tc>
        <w:tc>
          <w:tcPr>
            <w:tcW w:w="2253" w:type="dxa"/>
          </w:tcPr>
          <w:p w14:paraId="43D9DF85" w14:textId="43960D81" w:rsidR="008C62DE" w:rsidRPr="00DB32B7" w:rsidRDefault="008C62DE" w:rsidP="007343A7">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b/>
                <w:bCs/>
                <w:color w:val="06625D"/>
                <w:sz w:val="24"/>
                <w:szCs w:val="24"/>
                <w:highlight w:val="yellow"/>
                <w:lang w:eastAsia="en-GB"/>
              </w:rPr>
            </w:pPr>
            <w:r w:rsidRPr="003F7B75">
              <w:rPr>
                <w:rFonts w:eastAsia="Times New Roman" w:cs="Open Sans"/>
                <w:b/>
                <w:bCs/>
                <w:color w:val="06625D"/>
                <w:sz w:val="24"/>
                <w:szCs w:val="24"/>
                <w:lang w:eastAsia="en-GB"/>
              </w:rPr>
              <w:t>Beneficiaries</w:t>
            </w:r>
          </w:p>
        </w:tc>
      </w:tr>
      <w:tr w:rsidR="006238FB" w:rsidRPr="00327466" w14:paraId="51DE3C4D" w14:textId="77777777" w:rsidTr="00A50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54DD0983" w14:textId="77777777" w:rsidR="006238FB" w:rsidRPr="00327466" w:rsidRDefault="006238FB" w:rsidP="007343A7">
            <w:pPr>
              <w:spacing w:before="0" w:after="0"/>
              <w:rPr>
                <w:rFonts w:eastAsia="Times New Roman" w:cs="Open Sans"/>
                <w:lang w:eastAsia="en-GB"/>
              </w:rPr>
            </w:pPr>
            <w:r w:rsidRPr="00327466">
              <w:rPr>
                <w:rFonts w:eastAsia="Times New Roman" w:cs="Open Sans"/>
                <w:lang w:eastAsia="en-GB"/>
              </w:rPr>
              <w:t xml:space="preserve">Physical Health </w:t>
            </w:r>
          </w:p>
        </w:tc>
        <w:tc>
          <w:tcPr>
            <w:tcW w:w="2252" w:type="dxa"/>
          </w:tcPr>
          <w:p w14:paraId="726CB12B" w14:textId="77777777" w:rsidR="006238FB" w:rsidRPr="00327466" w:rsidRDefault="006238FB" w:rsidP="007343A7">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sidRPr="00327466">
              <w:rPr>
                <w:rFonts w:eastAsia="Times New Roman" w:cs="Open Sans"/>
                <w:lang w:eastAsia="en-GB"/>
              </w:rPr>
              <w:t>£36.96k</w:t>
            </w:r>
          </w:p>
        </w:tc>
        <w:tc>
          <w:tcPr>
            <w:tcW w:w="2253" w:type="dxa"/>
          </w:tcPr>
          <w:p w14:paraId="3EC2CA78" w14:textId="697D9C24" w:rsidR="006238FB" w:rsidRPr="00327466" w:rsidRDefault="00D95864" w:rsidP="007343A7">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Pr>
                <w:rFonts w:eastAsia="Times New Roman" w:cs="Open Sans"/>
                <w:lang w:eastAsia="en-GB"/>
              </w:rPr>
              <w:t>4,604</w:t>
            </w:r>
          </w:p>
        </w:tc>
      </w:tr>
      <w:tr w:rsidR="006238FB" w:rsidRPr="00327466" w14:paraId="45B065F3" w14:textId="77777777" w:rsidTr="00F51B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55BC4697" w14:textId="77777777" w:rsidR="006238FB" w:rsidRPr="00327466" w:rsidRDefault="006238FB" w:rsidP="007343A7">
            <w:pPr>
              <w:spacing w:before="0" w:after="0"/>
              <w:rPr>
                <w:rFonts w:eastAsia="Times New Roman" w:cs="Open Sans"/>
                <w:lang w:eastAsia="en-GB"/>
              </w:rPr>
            </w:pPr>
            <w:r w:rsidRPr="00327466">
              <w:rPr>
                <w:rFonts w:eastAsia="Times New Roman" w:cs="Open Sans"/>
                <w:lang w:eastAsia="en-GB"/>
              </w:rPr>
              <w:t xml:space="preserve">Mental Health </w:t>
            </w:r>
          </w:p>
        </w:tc>
        <w:tc>
          <w:tcPr>
            <w:tcW w:w="2252" w:type="dxa"/>
          </w:tcPr>
          <w:p w14:paraId="62F6D8A9" w14:textId="77777777" w:rsidR="006238FB" w:rsidRPr="00327466" w:rsidRDefault="006238FB" w:rsidP="007343A7">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sidRPr="00327466">
              <w:rPr>
                <w:rFonts w:eastAsia="Times New Roman" w:cs="Open Sans"/>
                <w:lang w:eastAsia="en-GB"/>
              </w:rPr>
              <w:t>£96.99k</w:t>
            </w:r>
          </w:p>
        </w:tc>
        <w:tc>
          <w:tcPr>
            <w:tcW w:w="2253" w:type="dxa"/>
          </w:tcPr>
          <w:p w14:paraId="32ECE8EC" w14:textId="668CCD0C" w:rsidR="006238FB" w:rsidRPr="00327466" w:rsidRDefault="00D95864" w:rsidP="007343A7">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Pr>
                <w:rFonts w:eastAsia="Times New Roman" w:cs="Open Sans"/>
                <w:lang w:eastAsia="en-GB"/>
              </w:rPr>
              <w:t>11,391</w:t>
            </w:r>
          </w:p>
        </w:tc>
      </w:tr>
      <w:tr w:rsidR="00D53C74" w:rsidRPr="00327466" w14:paraId="38806C20" w14:textId="77777777" w:rsidTr="006925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1B43E84E" w14:textId="77777777" w:rsidR="00D53C74" w:rsidRPr="00327466" w:rsidRDefault="00D53C74" w:rsidP="007343A7">
            <w:pPr>
              <w:spacing w:before="0" w:after="0"/>
              <w:rPr>
                <w:rFonts w:eastAsia="Times New Roman" w:cs="Open Sans"/>
                <w:lang w:eastAsia="en-GB"/>
              </w:rPr>
            </w:pPr>
            <w:r w:rsidRPr="00327466">
              <w:rPr>
                <w:rFonts w:eastAsia="Times New Roman" w:cs="Open Sans"/>
                <w:lang w:eastAsia="en-GB"/>
              </w:rPr>
              <w:t>Improved nutrition</w:t>
            </w:r>
          </w:p>
        </w:tc>
        <w:tc>
          <w:tcPr>
            <w:tcW w:w="2252" w:type="dxa"/>
          </w:tcPr>
          <w:p w14:paraId="4D19071E" w14:textId="77777777" w:rsidR="00D53C74" w:rsidRPr="00327466" w:rsidRDefault="00D53C74" w:rsidP="007343A7">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sidRPr="00327466">
              <w:rPr>
                <w:rFonts w:eastAsia="Times New Roman" w:cs="Open Sans"/>
                <w:lang w:eastAsia="en-GB"/>
              </w:rPr>
              <w:t>£119.66k</w:t>
            </w:r>
          </w:p>
        </w:tc>
        <w:tc>
          <w:tcPr>
            <w:tcW w:w="2253" w:type="dxa"/>
          </w:tcPr>
          <w:p w14:paraId="1733C7B0" w14:textId="5C9C5A6E" w:rsidR="00D53C74" w:rsidRPr="00327466" w:rsidRDefault="000362EA" w:rsidP="007343A7">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Pr>
                <w:rFonts w:eastAsia="Times New Roman" w:cs="Open Sans"/>
                <w:lang w:eastAsia="en-GB"/>
              </w:rPr>
              <w:t>9,070</w:t>
            </w:r>
          </w:p>
        </w:tc>
      </w:tr>
      <w:tr w:rsidR="00D53C74" w:rsidRPr="00327466" w14:paraId="7DF9BCDC" w14:textId="77777777" w:rsidTr="00AA57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1657FDC4" w14:textId="77777777" w:rsidR="00D53C74" w:rsidRPr="00327466" w:rsidRDefault="00D53C74" w:rsidP="007343A7">
            <w:pPr>
              <w:spacing w:before="0" w:after="0"/>
              <w:rPr>
                <w:rFonts w:eastAsia="Times New Roman" w:cs="Open Sans"/>
                <w:lang w:eastAsia="en-GB"/>
              </w:rPr>
            </w:pPr>
            <w:r w:rsidRPr="00327466">
              <w:rPr>
                <w:rFonts w:eastAsia="Times New Roman" w:cs="Open Sans"/>
                <w:lang w:eastAsia="en-GB"/>
              </w:rPr>
              <w:t>Parents’ wellbeing</w:t>
            </w:r>
          </w:p>
        </w:tc>
        <w:tc>
          <w:tcPr>
            <w:tcW w:w="2252" w:type="dxa"/>
          </w:tcPr>
          <w:p w14:paraId="0785EED3" w14:textId="77777777" w:rsidR="00D53C74" w:rsidRPr="00327466" w:rsidRDefault="00D53C74" w:rsidP="007343A7">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sidRPr="00327466">
              <w:rPr>
                <w:rFonts w:eastAsia="Times New Roman" w:cs="Open Sans"/>
                <w:lang w:eastAsia="en-GB"/>
              </w:rPr>
              <w:t>£4.46m</w:t>
            </w:r>
          </w:p>
        </w:tc>
        <w:tc>
          <w:tcPr>
            <w:tcW w:w="2253" w:type="dxa"/>
          </w:tcPr>
          <w:p w14:paraId="48AF0904" w14:textId="03FFD9D9" w:rsidR="00D53C74" w:rsidRPr="00327466" w:rsidRDefault="00DB7875" w:rsidP="007343A7">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Pr>
                <w:rFonts w:eastAsia="Times New Roman" w:cs="Open Sans"/>
                <w:lang w:eastAsia="en-GB"/>
              </w:rPr>
              <w:t>N/A</w:t>
            </w:r>
          </w:p>
        </w:tc>
      </w:tr>
      <w:tr w:rsidR="00D11388" w:rsidRPr="00327466" w14:paraId="170B6962" w14:textId="77777777" w:rsidTr="00685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70CF3F07" w14:textId="77777777" w:rsidR="00D11388" w:rsidRPr="00327466" w:rsidRDefault="00D11388" w:rsidP="007343A7">
            <w:pPr>
              <w:spacing w:before="0" w:after="0"/>
              <w:rPr>
                <w:rFonts w:eastAsia="Times New Roman" w:cs="Open Sans"/>
                <w:lang w:eastAsia="en-GB"/>
              </w:rPr>
            </w:pPr>
            <w:r w:rsidRPr="00327466">
              <w:rPr>
                <w:rFonts w:eastAsia="Times New Roman" w:cs="Open Sans"/>
                <w:lang w:eastAsia="en-GB"/>
              </w:rPr>
              <w:t>Children’s wellbeing</w:t>
            </w:r>
          </w:p>
        </w:tc>
        <w:tc>
          <w:tcPr>
            <w:tcW w:w="2252" w:type="dxa"/>
          </w:tcPr>
          <w:p w14:paraId="0540BAE2" w14:textId="77777777" w:rsidR="00D11388" w:rsidRPr="00327466" w:rsidRDefault="00D11388" w:rsidP="007343A7">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sidRPr="00327466">
              <w:rPr>
                <w:rFonts w:eastAsia="Times New Roman" w:cs="Open Sans"/>
                <w:lang w:eastAsia="en-GB"/>
              </w:rPr>
              <w:t>£6.46m</w:t>
            </w:r>
          </w:p>
        </w:tc>
        <w:tc>
          <w:tcPr>
            <w:tcW w:w="2253" w:type="dxa"/>
          </w:tcPr>
          <w:p w14:paraId="59B1DA2A" w14:textId="79461FB5" w:rsidR="00D11388" w:rsidRPr="00327466" w:rsidRDefault="00DB7875" w:rsidP="007343A7">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Pr>
                <w:rFonts w:eastAsia="Times New Roman" w:cs="Open Sans"/>
                <w:lang w:eastAsia="en-GB"/>
              </w:rPr>
              <w:t>N/A</w:t>
            </w:r>
          </w:p>
        </w:tc>
      </w:tr>
      <w:tr w:rsidR="00D11388" w:rsidRPr="00327466" w14:paraId="3FC8E890" w14:textId="77777777" w:rsidTr="00C710E5">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05" w:type="dxa"/>
          </w:tcPr>
          <w:p w14:paraId="2BD68C33" w14:textId="77777777" w:rsidR="00D11388" w:rsidRPr="00327466" w:rsidRDefault="00D11388" w:rsidP="007343A7">
            <w:pPr>
              <w:spacing w:before="0" w:after="0"/>
              <w:rPr>
                <w:rFonts w:eastAsia="Times New Roman" w:cs="Open Sans"/>
                <w:lang w:eastAsia="en-GB"/>
              </w:rPr>
            </w:pPr>
            <w:r w:rsidRPr="00327466">
              <w:rPr>
                <w:rFonts w:eastAsia="Times New Roman" w:cs="Open Sans"/>
                <w:lang w:eastAsia="en-GB"/>
              </w:rPr>
              <w:t>Respite care</w:t>
            </w:r>
          </w:p>
        </w:tc>
        <w:tc>
          <w:tcPr>
            <w:tcW w:w="2252" w:type="dxa"/>
          </w:tcPr>
          <w:p w14:paraId="10AA78C4" w14:textId="77777777" w:rsidR="00D11388" w:rsidRPr="00327466" w:rsidRDefault="00D11388" w:rsidP="007343A7">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sidRPr="00327466">
              <w:rPr>
                <w:rFonts w:eastAsia="Times New Roman" w:cs="Open Sans"/>
                <w:lang w:eastAsia="en-GB"/>
              </w:rPr>
              <w:t>£174.35k</w:t>
            </w:r>
          </w:p>
        </w:tc>
        <w:tc>
          <w:tcPr>
            <w:tcW w:w="2253" w:type="dxa"/>
          </w:tcPr>
          <w:p w14:paraId="60CD51D3" w14:textId="1AE13A3D" w:rsidR="003F7B75" w:rsidRPr="00327466" w:rsidRDefault="00EC76FC" w:rsidP="007343A7">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Pr>
                <w:rFonts w:eastAsia="Times New Roman" w:cs="Open Sans"/>
                <w:lang w:eastAsia="en-GB"/>
              </w:rPr>
              <w:t>5,207</w:t>
            </w:r>
          </w:p>
        </w:tc>
      </w:tr>
      <w:tr w:rsidR="007343A7" w:rsidRPr="00327466" w14:paraId="1447B853" w14:textId="77777777" w:rsidTr="007343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tcPr>
          <w:p w14:paraId="198EBF25" w14:textId="77777777" w:rsidR="007343A7" w:rsidRPr="00327466" w:rsidRDefault="007343A7" w:rsidP="007343A7">
            <w:pPr>
              <w:spacing w:before="0" w:after="0"/>
              <w:rPr>
                <w:rFonts w:eastAsia="Times New Roman" w:cs="Open Sans"/>
                <w:b/>
                <w:color w:val="FFFFFF"/>
                <w:sz w:val="24"/>
                <w:szCs w:val="24"/>
                <w:lang w:eastAsia="en-GB"/>
              </w:rPr>
            </w:pPr>
            <w:r w:rsidRPr="00327466">
              <w:rPr>
                <w:rFonts w:eastAsia="Times New Roman" w:cs="Open Sans"/>
                <w:b/>
                <w:color w:val="06625D"/>
                <w:sz w:val="24"/>
                <w:szCs w:val="24"/>
                <w:lang w:eastAsia="en-GB"/>
              </w:rPr>
              <w:t xml:space="preserve">Social Impact </w:t>
            </w:r>
          </w:p>
        </w:tc>
      </w:tr>
      <w:tr w:rsidR="00D11388" w:rsidRPr="00327466" w14:paraId="04E5A9D2" w14:textId="77777777" w:rsidTr="00B659B4">
        <w:trPr>
          <w:cnfStyle w:val="000000010000" w:firstRow="0" w:lastRow="0" w:firstColumn="0" w:lastColumn="0" w:oddVBand="0" w:evenVBand="0" w:oddHBand="0" w:evenHBand="1"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4505" w:type="dxa"/>
          </w:tcPr>
          <w:p w14:paraId="1E76FF60" w14:textId="77777777" w:rsidR="00D11388" w:rsidRPr="00327466" w:rsidRDefault="00D11388" w:rsidP="00D11388">
            <w:pPr>
              <w:spacing w:before="0" w:after="0"/>
              <w:rPr>
                <w:rFonts w:eastAsia="Times New Roman" w:cs="Open Sans"/>
                <w:lang w:eastAsia="en-GB"/>
              </w:rPr>
            </w:pPr>
            <w:r w:rsidRPr="00327466">
              <w:rPr>
                <w:rFonts w:eastAsia="Times New Roman" w:cs="Open Sans"/>
                <w:lang w:eastAsia="en-GB"/>
              </w:rPr>
              <w:t>Educational engagement</w:t>
            </w:r>
            <w:r w:rsidRPr="00327466">
              <w:rPr>
                <w:rFonts w:eastAsia="Times New Roman" w:cs="Open Sans"/>
                <w:lang w:eastAsia="en-GB"/>
              </w:rPr>
              <w:tab/>
            </w:r>
          </w:p>
        </w:tc>
        <w:tc>
          <w:tcPr>
            <w:tcW w:w="2252" w:type="dxa"/>
          </w:tcPr>
          <w:p w14:paraId="298DDF6F" w14:textId="2BE1EFCB" w:rsidR="00D11388" w:rsidRPr="00327466" w:rsidRDefault="00D11388" w:rsidP="00D11388">
            <w:pPr>
              <w:spacing w:before="0" w:after="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24"/>
                <w:szCs w:val="24"/>
                <w:lang w:eastAsia="en-GB"/>
              </w:rPr>
            </w:pPr>
            <w:r w:rsidRPr="00327466">
              <w:rPr>
                <w:rFonts w:eastAsia="Times New Roman" w:cs="Open Sans"/>
                <w:lang w:eastAsia="en-GB"/>
              </w:rPr>
              <w:t>£176.98k</w:t>
            </w:r>
          </w:p>
        </w:tc>
        <w:tc>
          <w:tcPr>
            <w:tcW w:w="2253" w:type="dxa"/>
          </w:tcPr>
          <w:p w14:paraId="562FDAB1" w14:textId="0793A505" w:rsidR="00D11388" w:rsidRPr="00733B5B" w:rsidRDefault="00733B5B" w:rsidP="000362EA">
            <w:pPr>
              <w:spacing w:before="0" w:after="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lang w:eastAsia="en-GB"/>
              </w:rPr>
            </w:pPr>
            <w:r w:rsidRPr="00733B5B">
              <w:rPr>
                <w:rFonts w:ascii="Arial" w:eastAsia="Times New Roman" w:hAnsi="Arial" w:cs="Arial"/>
                <w:sz w:val="24"/>
                <w:szCs w:val="24"/>
                <w:lang w:eastAsia="en-GB"/>
              </w:rPr>
              <w:t>5,213</w:t>
            </w:r>
          </w:p>
        </w:tc>
      </w:tr>
      <w:tr w:rsidR="00D11388" w:rsidRPr="00327466" w14:paraId="7EB43673" w14:textId="77777777" w:rsidTr="00BD1B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79B097E1" w14:textId="77777777" w:rsidR="00D11388" w:rsidRPr="00327466" w:rsidRDefault="00D11388" w:rsidP="00D11388">
            <w:pPr>
              <w:spacing w:before="0" w:after="0"/>
              <w:rPr>
                <w:rFonts w:eastAsia="Times New Roman" w:cs="Open Sans"/>
                <w:lang w:eastAsia="en-GB"/>
              </w:rPr>
            </w:pPr>
            <w:r w:rsidRPr="00327466">
              <w:rPr>
                <w:rFonts w:eastAsia="Times New Roman" w:cs="Open Sans"/>
                <w:lang w:eastAsia="en-GB"/>
              </w:rPr>
              <w:t>Educational attainment</w:t>
            </w:r>
          </w:p>
        </w:tc>
        <w:tc>
          <w:tcPr>
            <w:tcW w:w="2252" w:type="dxa"/>
          </w:tcPr>
          <w:p w14:paraId="7946C370" w14:textId="15B8FD8A" w:rsidR="00D11388" w:rsidRPr="00327466" w:rsidRDefault="00D11388" w:rsidP="00D11388">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eastAsia="en-GB"/>
              </w:rPr>
            </w:pPr>
            <w:r w:rsidRPr="00327466">
              <w:rPr>
                <w:rFonts w:eastAsia="Times New Roman" w:cs="Open Sans"/>
                <w:lang w:eastAsia="en-GB"/>
              </w:rPr>
              <w:t>£28.81k</w:t>
            </w:r>
          </w:p>
        </w:tc>
        <w:tc>
          <w:tcPr>
            <w:tcW w:w="2253" w:type="dxa"/>
          </w:tcPr>
          <w:p w14:paraId="06BF9498" w14:textId="47427775" w:rsidR="00D11388" w:rsidRPr="00733B5B" w:rsidRDefault="00733B5B" w:rsidP="00D11388">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733B5B">
              <w:rPr>
                <w:rFonts w:ascii="Arial" w:eastAsia="Times New Roman" w:hAnsi="Arial" w:cs="Arial"/>
                <w:sz w:val="24"/>
                <w:szCs w:val="24"/>
                <w:lang w:eastAsia="en-GB"/>
              </w:rPr>
              <w:t>2,796</w:t>
            </w:r>
          </w:p>
        </w:tc>
      </w:tr>
      <w:tr w:rsidR="00D11388" w:rsidRPr="00327466" w14:paraId="3A990EC6" w14:textId="77777777" w:rsidTr="00BD1B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6299D28F" w14:textId="77777777" w:rsidR="00D11388" w:rsidRPr="00327466" w:rsidRDefault="00D11388" w:rsidP="00D11388">
            <w:pPr>
              <w:spacing w:before="0" w:after="0"/>
              <w:rPr>
                <w:rFonts w:eastAsia="Times New Roman" w:cs="Open Sans"/>
                <w:lang w:eastAsia="en-GB"/>
              </w:rPr>
            </w:pPr>
            <w:r w:rsidRPr="00327466">
              <w:rPr>
                <w:rFonts w:eastAsia="Times New Roman" w:cs="Open Sans"/>
                <w:lang w:eastAsia="en-GB"/>
              </w:rPr>
              <w:t>Access to public services</w:t>
            </w:r>
            <w:r w:rsidRPr="00327466">
              <w:rPr>
                <w:rFonts w:eastAsia="Times New Roman" w:cs="Open Sans"/>
                <w:lang w:eastAsia="en-GB"/>
              </w:rPr>
              <w:tab/>
            </w:r>
          </w:p>
        </w:tc>
        <w:tc>
          <w:tcPr>
            <w:tcW w:w="2252" w:type="dxa"/>
          </w:tcPr>
          <w:p w14:paraId="333E3E48" w14:textId="74E352D9" w:rsidR="00D11388" w:rsidRPr="00327466" w:rsidRDefault="00D11388" w:rsidP="00D11388">
            <w:pPr>
              <w:spacing w:before="0" w:after="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24"/>
                <w:szCs w:val="24"/>
                <w:lang w:eastAsia="en-GB"/>
              </w:rPr>
            </w:pPr>
            <w:r w:rsidRPr="00327466">
              <w:rPr>
                <w:rFonts w:eastAsia="Times New Roman" w:cs="Open Sans"/>
                <w:lang w:eastAsia="en-GB"/>
              </w:rPr>
              <w:t>£360.02k</w:t>
            </w:r>
          </w:p>
        </w:tc>
        <w:tc>
          <w:tcPr>
            <w:tcW w:w="2253" w:type="dxa"/>
          </w:tcPr>
          <w:p w14:paraId="422FB0A9" w14:textId="1C8164E6" w:rsidR="00D11388" w:rsidRPr="00E224B1" w:rsidRDefault="00E224B1" w:rsidP="00D11388">
            <w:pPr>
              <w:spacing w:before="0" w:after="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lang w:eastAsia="en-GB"/>
              </w:rPr>
            </w:pPr>
            <w:r w:rsidRPr="00E224B1">
              <w:rPr>
                <w:rFonts w:ascii="Arial" w:eastAsia="Times New Roman" w:hAnsi="Arial" w:cs="Arial"/>
                <w:sz w:val="24"/>
                <w:szCs w:val="24"/>
                <w:lang w:eastAsia="en-GB"/>
              </w:rPr>
              <w:t>2,646</w:t>
            </w:r>
          </w:p>
        </w:tc>
      </w:tr>
      <w:tr w:rsidR="00D11388" w:rsidRPr="00327466" w14:paraId="020EC560" w14:textId="77777777" w:rsidTr="00BD1B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7855F277" w14:textId="77777777" w:rsidR="00D11388" w:rsidRPr="00327466" w:rsidRDefault="00D11388" w:rsidP="00D11388">
            <w:pPr>
              <w:spacing w:before="0" w:after="0"/>
              <w:rPr>
                <w:rFonts w:eastAsia="Times New Roman" w:cs="Open Sans"/>
                <w:lang w:eastAsia="en-GB"/>
              </w:rPr>
            </w:pPr>
            <w:r w:rsidRPr="00327466">
              <w:rPr>
                <w:rFonts w:eastAsia="Times New Roman" w:cs="Open Sans"/>
                <w:lang w:eastAsia="en-GB"/>
              </w:rPr>
              <w:t>Volunteering</w:t>
            </w:r>
            <w:r w:rsidRPr="00327466">
              <w:rPr>
                <w:rFonts w:eastAsia="Times New Roman" w:cs="Open Sans"/>
                <w:lang w:eastAsia="en-GB"/>
              </w:rPr>
              <w:tab/>
            </w:r>
          </w:p>
        </w:tc>
        <w:tc>
          <w:tcPr>
            <w:tcW w:w="2252" w:type="dxa"/>
          </w:tcPr>
          <w:p w14:paraId="7465799C" w14:textId="0304CD56" w:rsidR="00D11388" w:rsidRPr="00327466" w:rsidRDefault="00D11388" w:rsidP="00D11388">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eastAsia="en-GB"/>
              </w:rPr>
            </w:pPr>
            <w:r w:rsidRPr="00327466">
              <w:rPr>
                <w:rFonts w:eastAsia="Times New Roman" w:cs="Open Sans"/>
                <w:lang w:eastAsia="en-GB"/>
              </w:rPr>
              <w:t>£202.49k</w:t>
            </w:r>
          </w:p>
        </w:tc>
        <w:tc>
          <w:tcPr>
            <w:tcW w:w="2253" w:type="dxa"/>
          </w:tcPr>
          <w:p w14:paraId="1443A49D" w14:textId="00C47590" w:rsidR="00D11388" w:rsidRPr="00733B5B" w:rsidRDefault="00733B5B" w:rsidP="00D11388">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531</w:t>
            </w:r>
          </w:p>
        </w:tc>
      </w:tr>
      <w:tr w:rsidR="00D11388" w:rsidRPr="00327466" w14:paraId="39687A6A" w14:textId="77777777" w:rsidTr="00BD1B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0BB6990B" w14:textId="77777777" w:rsidR="00D11388" w:rsidRPr="00327466" w:rsidRDefault="00D11388" w:rsidP="00D11388">
            <w:pPr>
              <w:spacing w:before="0" w:after="0"/>
              <w:rPr>
                <w:rFonts w:eastAsia="Times New Roman" w:cs="Open Sans"/>
                <w:lang w:eastAsia="en-GB"/>
              </w:rPr>
            </w:pPr>
            <w:r w:rsidRPr="00327466">
              <w:rPr>
                <w:rFonts w:eastAsia="Times New Roman" w:cs="Open Sans"/>
                <w:lang w:eastAsia="en-GB"/>
              </w:rPr>
              <w:t>Access to training</w:t>
            </w:r>
            <w:r w:rsidRPr="00327466">
              <w:rPr>
                <w:rFonts w:eastAsia="Times New Roman" w:cs="Open Sans"/>
                <w:lang w:eastAsia="en-GB"/>
              </w:rPr>
              <w:tab/>
            </w:r>
          </w:p>
        </w:tc>
        <w:tc>
          <w:tcPr>
            <w:tcW w:w="2252" w:type="dxa"/>
          </w:tcPr>
          <w:p w14:paraId="02A5DEA2" w14:textId="6A4606F3" w:rsidR="00D11388" w:rsidRPr="00327466" w:rsidRDefault="00D11388" w:rsidP="00D11388">
            <w:pPr>
              <w:spacing w:before="0" w:after="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24"/>
                <w:szCs w:val="24"/>
                <w:lang w:eastAsia="en-GB"/>
              </w:rPr>
            </w:pPr>
            <w:r w:rsidRPr="00327466">
              <w:rPr>
                <w:rFonts w:eastAsia="Times New Roman" w:cs="Open Sans"/>
                <w:lang w:eastAsia="en-GB"/>
              </w:rPr>
              <w:t>£109.65k</w:t>
            </w:r>
          </w:p>
        </w:tc>
        <w:tc>
          <w:tcPr>
            <w:tcW w:w="2253" w:type="dxa"/>
          </w:tcPr>
          <w:p w14:paraId="7719F211" w14:textId="6C2AD7BB" w:rsidR="00D11388" w:rsidRPr="00733B5B" w:rsidRDefault="007426EC" w:rsidP="00D11388">
            <w:pPr>
              <w:spacing w:before="0" w:after="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3,132</w:t>
            </w:r>
          </w:p>
        </w:tc>
      </w:tr>
      <w:tr w:rsidR="00D11388" w:rsidRPr="00327466" w14:paraId="5641B699" w14:textId="77777777" w:rsidTr="00BD1B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782D15FD" w14:textId="77777777" w:rsidR="00D11388" w:rsidRPr="00327466" w:rsidRDefault="00D11388" w:rsidP="00D11388">
            <w:pPr>
              <w:spacing w:before="0" w:after="0"/>
              <w:rPr>
                <w:rFonts w:eastAsia="Times New Roman" w:cs="Open Sans"/>
                <w:lang w:eastAsia="en-GB"/>
              </w:rPr>
            </w:pPr>
            <w:r w:rsidRPr="00327466">
              <w:rPr>
                <w:rFonts w:eastAsia="Times New Roman" w:cs="Open Sans"/>
                <w:lang w:eastAsia="en-GB"/>
              </w:rPr>
              <w:t>Reduced NEET status</w:t>
            </w:r>
            <w:r w:rsidRPr="00327466">
              <w:rPr>
                <w:rFonts w:eastAsia="Times New Roman" w:cs="Open Sans"/>
                <w:lang w:eastAsia="en-GB"/>
              </w:rPr>
              <w:tab/>
            </w:r>
          </w:p>
        </w:tc>
        <w:tc>
          <w:tcPr>
            <w:tcW w:w="2252" w:type="dxa"/>
          </w:tcPr>
          <w:p w14:paraId="1C80B198" w14:textId="1B8586A7" w:rsidR="00D11388" w:rsidRPr="00327466" w:rsidRDefault="00D11388" w:rsidP="00D11388">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eastAsia="en-GB"/>
              </w:rPr>
            </w:pPr>
            <w:r w:rsidRPr="00327466">
              <w:rPr>
                <w:rFonts w:eastAsia="Times New Roman" w:cs="Open Sans"/>
                <w:lang w:eastAsia="en-GB"/>
              </w:rPr>
              <w:t>£188.39k</w:t>
            </w:r>
          </w:p>
        </w:tc>
        <w:tc>
          <w:tcPr>
            <w:tcW w:w="2253" w:type="dxa"/>
          </w:tcPr>
          <w:p w14:paraId="74B170CF" w14:textId="73F4F2DC" w:rsidR="00D11388" w:rsidRPr="00733B5B" w:rsidRDefault="007426EC" w:rsidP="00D11388">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153</w:t>
            </w:r>
          </w:p>
        </w:tc>
      </w:tr>
      <w:tr w:rsidR="007343A7" w:rsidRPr="00327466" w14:paraId="796F8F3B" w14:textId="77777777" w:rsidTr="007343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tcPr>
          <w:p w14:paraId="71AF9EE4" w14:textId="77777777" w:rsidR="007343A7" w:rsidRPr="007426EC" w:rsidRDefault="007343A7" w:rsidP="007343A7">
            <w:pPr>
              <w:spacing w:before="0" w:after="0"/>
              <w:rPr>
                <w:rFonts w:eastAsia="Times New Roman" w:cs="Open Sans"/>
                <w:b/>
                <w:color w:val="FFFFFF"/>
                <w:sz w:val="24"/>
                <w:szCs w:val="24"/>
                <w:lang w:eastAsia="en-GB"/>
              </w:rPr>
            </w:pPr>
            <w:r w:rsidRPr="007426EC">
              <w:rPr>
                <w:rFonts w:eastAsia="Times New Roman" w:cs="Open Sans"/>
                <w:b/>
                <w:color w:val="06625D"/>
                <w:sz w:val="24"/>
                <w:szCs w:val="24"/>
                <w:lang w:eastAsia="en-GB"/>
              </w:rPr>
              <w:t>Economic Impact</w:t>
            </w:r>
          </w:p>
        </w:tc>
      </w:tr>
      <w:tr w:rsidR="00B659B4" w:rsidRPr="007343A7" w14:paraId="2BCBC899" w14:textId="77777777" w:rsidTr="00015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5F427777" w14:textId="77777777" w:rsidR="00B659B4" w:rsidRPr="007343A7" w:rsidRDefault="00B659B4" w:rsidP="00B659B4">
            <w:pPr>
              <w:spacing w:before="0" w:after="0"/>
              <w:rPr>
                <w:rFonts w:eastAsia="Times New Roman" w:cs="Open Sans"/>
                <w:lang w:eastAsia="en-GB"/>
              </w:rPr>
            </w:pPr>
            <w:r w:rsidRPr="007343A7">
              <w:rPr>
                <w:rFonts w:eastAsia="Times New Roman" w:cs="Open Sans"/>
                <w:lang w:eastAsia="en-GB"/>
              </w:rPr>
              <w:t>Increased work hours</w:t>
            </w:r>
          </w:p>
        </w:tc>
        <w:tc>
          <w:tcPr>
            <w:tcW w:w="2252" w:type="dxa"/>
          </w:tcPr>
          <w:p w14:paraId="4671FC09" w14:textId="77CA41D8" w:rsidR="00B659B4" w:rsidRPr="007343A7" w:rsidRDefault="00B659B4" w:rsidP="00B659B4">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sidRPr="007343A7">
              <w:rPr>
                <w:rFonts w:eastAsia="Times New Roman" w:cs="Open Sans"/>
                <w:lang w:eastAsia="en-GB"/>
              </w:rPr>
              <w:t>£322.70k</w:t>
            </w:r>
          </w:p>
        </w:tc>
        <w:tc>
          <w:tcPr>
            <w:tcW w:w="2253" w:type="dxa"/>
          </w:tcPr>
          <w:p w14:paraId="13EDFB3B" w14:textId="5F9C6B13" w:rsidR="00B659B4" w:rsidRPr="00733B5B" w:rsidRDefault="00EC76FC" w:rsidP="00B659B4">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Pr>
                <w:rFonts w:eastAsia="Times New Roman" w:cs="Open Sans"/>
                <w:lang w:eastAsia="en-GB"/>
              </w:rPr>
              <w:t>5,207</w:t>
            </w:r>
          </w:p>
        </w:tc>
      </w:tr>
      <w:tr w:rsidR="00B659B4" w:rsidRPr="007343A7" w14:paraId="07DE4CE6" w14:textId="77777777" w:rsidTr="000153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43DB57F8" w14:textId="77777777" w:rsidR="00B659B4" w:rsidRPr="007343A7" w:rsidRDefault="00B659B4" w:rsidP="00B659B4">
            <w:pPr>
              <w:spacing w:before="0" w:after="0"/>
              <w:rPr>
                <w:rFonts w:eastAsia="Times New Roman" w:cs="Open Sans"/>
                <w:lang w:eastAsia="en-GB"/>
              </w:rPr>
            </w:pPr>
            <w:r w:rsidRPr="007343A7">
              <w:rPr>
                <w:rFonts w:eastAsia="Times New Roman" w:cs="Open Sans"/>
                <w:lang w:eastAsia="en-GB"/>
              </w:rPr>
              <w:t>Local provider spending</w:t>
            </w:r>
          </w:p>
        </w:tc>
        <w:tc>
          <w:tcPr>
            <w:tcW w:w="2252" w:type="dxa"/>
          </w:tcPr>
          <w:p w14:paraId="25AE01D1" w14:textId="254D05B7" w:rsidR="00B659B4" w:rsidRPr="007343A7" w:rsidRDefault="00B659B4" w:rsidP="00B659B4">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sidRPr="007343A7">
              <w:rPr>
                <w:rFonts w:eastAsia="Times New Roman" w:cs="Open Sans"/>
                <w:lang w:eastAsia="en-GB"/>
              </w:rPr>
              <w:t>£173.11k</w:t>
            </w:r>
          </w:p>
        </w:tc>
        <w:tc>
          <w:tcPr>
            <w:tcW w:w="2253" w:type="dxa"/>
          </w:tcPr>
          <w:p w14:paraId="50CA9C62" w14:textId="61B67834" w:rsidR="00B659B4" w:rsidRPr="00733B5B" w:rsidRDefault="00E224B1" w:rsidP="00B659B4">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Pr>
                <w:rFonts w:eastAsia="Times New Roman" w:cs="Open Sans"/>
                <w:lang w:eastAsia="en-GB"/>
              </w:rPr>
              <w:t>76</w:t>
            </w:r>
          </w:p>
        </w:tc>
      </w:tr>
      <w:tr w:rsidR="00B659B4" w:rsidRPr="007343A7" w14:paraId="77B59E6B" w14:textId="77777777" w:rsidTr="00015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7638B93E" w14:textId="77777777" w:rsidR="00B659B4" w:rsidRPr="007343A7" w:rsidRDefault="00B659B4" w:rsidP="00B659B4">
            <w:pPr>
              <w:spacing w:before="0" w:after="0"/>
              <w:rPr>
                <w:rFonts w:eastAsia="Times New Roman" w:cs="Open Sans"/>
                <w:lang w:eastAsia="en-GB"/>
              </w:rPr>
            </w:pPr>
            <w:r w:rsidRPr="007343A7">
              <w:rPr>
                <w:rFonts w:eastAsia="Times New Roman" w:cs="Open Sans"/>
                <w:lang w:eastAsia="en-GB"/>
              </w:rPr>
              <w:t>Local parental spending (collated)</w:t>
            </w:r>
          </w:p>
        </w:tc>
        <w:tc>
          <w:tcPr>
            <w:tcW w:w="2252" w:type="dxa"/>
          </w:tcPr>
          <w:p w14:paraId="54A316A4" w14:textId="16E0F5E8" w:rsidR="00B659B4" w:rsidRPr="007343A7" w:rsidRDefault="00B659B4" w:rsidP="00B659B4">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sidRPr="007343A7">
              <w:rPr>
                <w:rFonts w:eastAsia="Times New Roman" w:cs="Open Sans"/>
                <w:lang w:eastAsia="en-GB"/>
              </w:rPr>
              <w:t>£2.71m</w:t>
            </w:r>
          </w:p>
        </w:tc>
        <w:tc>
          <w:tcPr>
            <w:tcW w:w="2253" w:type="dxa"/>
          </w:tcPr>
          <w:p w14:paraId="7927675F" w14:textId="207C0FD4" w:rsidR="00B659B4" w:rsidRPr="007343A7" w:rsidRDefault="00DB7875" w:rsidP="00B659B4">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Pr>
                <w:rFonts w:eastAsia="Times New Roman" w:cs="Open Sans"/>
                <w:lang w:eastAsia="en-GB"/>
              </w:rPr>
              <w:t>N/A</w:t>
            </w:r>
          </w:p>
        </w:tc>
      </w:tr>
      <w:tr w:rsidR="00B659B4" w:rsidRPr="007343A7" w14:paraId="3CE7EACB" w14:textId="77777777" w:rsidTr="000153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0D8B7944" w14:textId="77777777" w:rsidR="00B659B4" w:rsidRPr="007343A7" w:rsidRDefault="00B659B4" w:rsidP="00B659B4">
            <w:pPr>
              <w:spacing w:before="0" w:after="0"/>
              <w:rPr>
                <w:rFonts w:eastAsia="Times New Roman" w:cs="Open Sans"/>
                <w:lang w:eastAsia="en-GB"/>
              </w:rPr>
            </w:pPr>
            <w:r w:rsidRPr="007343A7">
              <w:rPr>
                <w:rFonts w:eastAsia="Times New Roman" w:cs="Open Sans"/>
                <w:lang w:eastAsia="en-GB"/>
              </w:rPr>
              <w:t>Leveraged provider funding</w:t>
            </w:r>
          </w:p>
        </w:tc>
        <w:tc>
          <w:tcPr>
            <w:tcW w:w="2252" w:type="dxa"/>
          </w:tcPr>
          <w:p w14:paraId="15295E0E" w14:textId="4F467024" w:rsidR="00B659B4" w:rsidRPr="007343A7" w:rsidRDefault="00B659B4" w:rsidP="00B659B4">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sidRPr="007343A7">
              <w:rPr>
                <w:rFonts w:eastAsia="Times New Roman" w:cs="Open Sans"/>
                <w:lang w:eastAsia="en-GB"/>
              </w:rPr>
              <w:t>£241.07k</w:t>
            </w:r>
          </w:p>
        </w:tc>
        <w:tc>
          <w:tcPr>
            <w:tcW w:w="2253" w:type="dxa"/>
          </w:tcPr>
          <w:p w14:paraId="3AB7EC10" w14:textId="7BB9A2A0" w:rsidR="00B659B4" w:rsidRPr="007343A7" w:rsidRDefault="00E224B1" w:rsidP="00B659B4">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Pr>
                <w:rFonts w:eastAsia="Times New Roman" w:cs="Open Sans"/>
                <w:lang w:eastAsia="en-GB"/>
              </w:rPr>
              <w:t>15</w:t>
            </w:r>
          </w:p>
        </w:tc>
      </w:tr>
    </w:tbl>
    <w:p w14:paraId="2621527A" w14:textId="77777777" w:rsidR="00F80CDE" w:rsidRPr="00C20CD2" w:rsidRDefault="00F80CDE" w:rsidP="00F80CDE">
      <w:pPr>
        <w:rPr>
          <w:rFonts w:cs="Open Sans"/>
          <w:sz w:val="18"/>
          <w:szCs w:val="18"/>
        </w:rPr>
      </w:pPr>
      <w:r w:rsidRPr="00C20CD2">
        <w:rPr>
          <w:rFonts w:cs="Open Sans"/>
          <w:sz w:val="18"/>
          <w:szCs w:val="18"/>
        </w:rPr>
        <w:t>Please note values have been rounded</w:t>
      </w:r>
      <w:r>
        <w:rPr>
          <w:rFonts w:cs="Open Sans"/>
          <w:sz w:val="18"/>
          <w:szCs w:val="18"/>
        </w:rPr>
        <w:t xml:space="preserve"> where applicable. </w:t>
      </w:r>
    </w:p>
    <w:p w14:paraId="00965AA6" w14:textId="77777777" w:rsidR="002316B6" w:rsidRDefault="002316B6" w:rsidP="002316B6">
      <w:pPr>
        <w:rPr>
          <w:rFonts w:cs="Open Sans"/>
          <w:b/>
          <w:bCs/>
        </w:rPr>
      </w:pPr>
      <w:r w:rsidRPr="00814022">
        <w:rPr>
          <w:rFonts w:cs="Open Sans"/>
        </w:rPr>
        <w:t xml:space="preserve">Overall Social Value derived </w:t>
      </w:r>
      <w:r>
        <w:rPr>
          <w:rFonts w:cs="Open Sans"/>
        </w:rPr>
        <w:t xml:space="preserve">across the 2023 </w:t>
      </w:r>
      <w:r w:rsidRPr="00814022">
        <w:rPr>
          <w:rFonts w:cs="Open Sans"/>
        </w:rPr>
        <w:t>Provision</w:t>
      </w:r>
      <w:r>
        <w:rPr>
          <w:rFonts w:cs="Open Sans"/>
        </w:rPr>
        <w:t>s</w:t>
      </w:r>
      <w:r w:rsidRPr="00814022">
        <w:rPr>
          <w:rFonts w:cs="Open Sans"/>
        </w:rPr>
        <w:t xml:space="preserve"> = </w:t>
      </w:r>
      <w:r w:rsidRPr="0061537E">
        <w:rPr>
          <w:rFonts w:cs="Open Sans"/>
          <w:b/>
          <w:bCs/>
        </w:rPr>
        <w:t>£15,860,245</w:t>
      </w:r>
      <w:r>
        <w:rPr>
          <w:rFonts w:cs="Open Sans"/>
          <w:b/>
          <w:bCs/>
        </w:rPr>
        <w:t xml:space="preserve">* </w:t>
      </w:r>
      <w:r w:rsidRPr="0061537E">
        <w:rPr>
          <w:rFonts w:cs="Open Sans"/>
          <w:b/>
          <w:bCs/>
        </w:rPr>
        <w:t>(£15.86m)</w:t>
      </w:r>
    </w:p>
    <w:p w14:paraId="26C32B1C" w14:textId="24AC66C7" w:rsidR="002316B6" w:rsidRPr="002316B6" w:rsidRDefault="002316B6" w:rsidP="002316B6">
      <w:pPr>
        <w:rPr>
          <w:rFonts w:cs="Open Sans"/>
          <w:i/>
          <w:iCs/>
          <w:sz w:val="20"/>
          <w:szCs w:val="20"/>
        </w:rPr>
      </w:pPr>
      <w:r w:rsidRPr="007E251A">
        <w:rPr>
          <w:rFonts w:cs="Open Sans"/>
          <w:i/>
          <w:iCs/>
          <w:sz w:val="20"/>
          <w:szCs w:val="20"/>
        </w:rPr>
        <w:t xml:space="preserve">*Value </w:t>
      </w:r>
      <w:r w:rsidRPr="007E251A">
        <w:rPr>
          <w:rFonts w:cs="Open Sans"/>
          <w:b/>
          <w:bCs/>
          <w:i/>
          <w:iCs/>
          <w:sz w:val="20"/>
          <w:szCs w:val="20"/>
        </w:rPr>
        <w:t>including</w:t>
      </w:r>
      <w:r w:rsidRPr="007E251A">
        <w:rPr>
          <w:rFonts w:cs="Open Sans"/>
          <w:i/>
          <w:iCs/>
          <w:sz w:val="20"/>
          <w:szCs w:val="20"/>
        </w:rPr>
        <w:t xml:space="preserve"> Feb, May and October Half Terms equalling </w:t>
      </w:r>
      <w:r w:rsidRPr="007E251A">
        <w:rPr>
          <w:rFonts w:cs="Open Sans"/>
          <w:b/>
          <w:bCs/>
          <w:i/>
          <w:iCs/>
          <w:sz w:val="20"/>
          <w:szCs w:val="20"/>
        </w:rPr>
        <w:t>£3.96m</w:t>
      </w:r>
    </w:p>
    <w:p w14:paraId="23ED274F" w14:textId="60235C46" w:rsidR="00A72D3D" w:rsidRDefault="00A72D3D" w:rsidP="002316B6">
      <w:pPr>
        <w:rPr>
          <w:rFonts w:cs="Open Sans"/>
        </w:rPr>
      </w:pPr>
      <w:r>
        <w:rPr>
          <w:rFonts w:cs="Open Sans"/>
        </w:rPr>
        <w:t>Total expenditure to support delivery = £5,</w:t>
      </w:r>
      <w:r w:rsidR="00983A21">
        <w:rPr>
          <w:rFonts w:cs="Open Sans"/>
        </w:rPr>
        <w:t>182,010</w:t>
      </w:r>
    </w:p>
    <w:p w14:paraId="285993BF" w14:textId="13D978A9" w:rsidR="002316B6" w:rsidRPr="00CE5BF5" w:rsidRDefault="002316B6" w:rsidP="002316B6">
      <w:pPr>
        <w:rPr>
          <w:rFonts w:cs="Open Sans"/>
          <w:b/>
          <w:bCs/>
        </w:rPr>
      </w:pPr>
      <w:r w:rsidRPr="00CE5BF5">
        <w:rPr>
          <w:rFonts w:cs="Open Sans"/>
          <w:b/>
          <w:bCs/>
        </w:rPr>
        <w:t>Social Return on Investment Ratio = £1:</w:t>
      </w:r>
      <w:r w:rsidR="00983A21" w:rsidRPr="00CE5BF5">
        <w:rPr>
          <w:rFonts w:cs="Open Sans"/>
          <w:b/>
          <w:bCs/>
        </w:rPr>
        <w:t xml:space="preserve"> 3.06</w:t>
      </w:r>
    </w:p>
    <w:p w14:paraId="03DC4CCC" w14:textId="77777777" w:rsidR="00957217" w:rsidRDefault="00957217" w:rsidP="004A554E"/>
    <w:p w14:paraId="143DE7EB" w14:textId="77777777" w:rsidR="0020511E" w:rsidRDefault="0020511E" w:rsidP="004A554E"/>
    <w:p w14:paraId="089C4156" w14:textId="77777777" w:rsidR="0020511E" w:rsidRDefault="0020511E" w:rsidP="004A554E"/>
    <w:p w14:paraId="2393AB4D" w14:textId="34B70B82" w:rsidR="003C08AD" w:rsidRDefault="003C08AD" w:rsidP="00326ECD">
      <w:pPr>
        <w:keepNext/>
        <w:spacing w:before="0" w:line="240" w:lineRule="auto"/>
      </w:pPr>
    </w:p>
    <w:p w14:paraId="17BCC979" w14:textId="77777777" w:rsidR="00967B00" w:rsidRDefault="00967B00">
      <w:pPr>
        <w:spacing w:before="0" w:after="160"/>
      </w:pPr>
      <w:r>
        <w:br w:type="page"/>
      </w:r>
    </w:p>
    <w:tbl>
      <w:tblPr>
        <w:tblStyle w:val="GridTable4-Accent61"/>
        <w:tblW w:w="0" w:type="auto"/>
        <w:tblLook w:val="04A0" w:firstRow="1" w:lastRow="0" w:firstColumn="1" w:lastColumn="0" w:noHBand="0" w:noVBand="1"/>
      </w:tblPr>
      <w:tblGrid>
        <w:gridCol w:w="4505"/>
        <w:gridCol w:w="2252"/>
        <w:gridCol w:w="2253"/>
      </w:tblGrid>
      <w:tr w:rsidR="00523E50" w:rsidRPr="00523E50" w14:paraId="231C0DA5" w14:textId="77777777" w:rsidTr="00523E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tcPr>
          <w:p w14:paraId="25E37C16" w14:textId="75F2A58C" w:rsidR="00523E50" w:rsidRPr="00523E50" w:rsidRDefault="00327466" w:rsidP="00523E50">
            <w:pPr>
              <w:spacing w:before="0" w:after="0"/>
              <w:rPr>
                <w:rFonts w:eastAsia="Times New Roman" w:cs="Open Sans"/>
                <w:sz w:val="24"/>
                <w:szCs w:val="24"/>
                <w:lang w:eastAsia="en-GB"/>
              </w:rPr>
            </w:pPr>
            <w:r>
              <w:rPr>
                <w:rFonts w:eastAsia="Times New Roman" w:cs="Open Sans"/>
                <w:sz w:val="24"/>
                <w:szCs w:val="24"/>
                <w:lang w:eastAsia="en-GB"/>
              </w:rPr>
              <w:lastRenderedPageBreak/>
              <w:t xml:space="preserve">Table 4: </w:t>
            </w:r>
            <w:r w:rsidR="00523E50" w:rsidRPr="00523E50">
              <w:rPr>
                <w:rFonts w:eastAsia="Times New Roman" w:cs="Open Sans"/>
                <w:sz w:val="24"/>
                <w:szCs w:val="24"/>
                <w:lang w:eastAsia="en-GB"/>
              </w:rPr>
              <w:t xml:space="preserve">2022 </w:t>
            </w:r>
            <w:r w:rsidR="00AC2CDB">
              <w:rPr>
                <w:rFonts w:eastAsia="Times New Roman" w:cs="Open Sans"/>
                <w:sz w:val="24"/>
                <w:szCs w:val="24"/>
                <w:lang w:eastAsia="en-GB"/>
              </w:rPr>
              <w:t>Valuation (excluding half term provision)</w:t>
            </w:r>
          </w:p>
        </w:tc>
      </w:tr>
      <w:tr w:rsidR="00523E50" w:rsidRPr="006238FB" w14:paraId="7FD324EB" w14:textId="77777777" w:rsidTr="00523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tcPr>
          <w:p w14:paraId="06442885" w14:textId="77777777" w:rsidR="00523E50" w:rsidRPr="006238FB" w:rsidRDefault="00523E50" w:rsidP="00523E50">
            <w:pPr>
              <w:spacing w:before="0" w:after="0"/>
              <w:rPr>
                <w:rFonts w:eastAsia="Times New Roman" w:cs="Open Sans"/>
                <w:b/>
                <w:color w:val="06625D"/>
                <w:sz w:val="24"/>
                <w:szCs w:val="24"/>
                <w:lang w:eastAsia="en-GB"/>
              </w:rPr>
            </w:pPr>
            <w:r w:rsidRPr="006238FB">
              <w:rPr>
                <w:rFonts w:eastAsia="Times New Roman" w:cs="Open Sans"/>
                <w:b/>
                <w:color w:val="06625D"/>
                <w:sz w:val="24"/>
                <w:szCs w:val="24"/>
                <w:lang w:eastAsia="en-GB"/>
              </w:rPr>
              <w:t xml:space="preserve">Health and Wellbeing </w:t>
            </w:r>
          </w:p>
        </w:tc>
      </w:tr>
      <w:tr w:rsidR="008C62DE" w:rsidRPr="006238FB" w14:paraId="6DE72741" w14:textId="77777777" w:rsidTr="0097161D">
        <w:trPr>
          <w:cnfStyle w:val="000000010000" w:firstRow="0" w:lastRow="0" w:firstColumn="0" w:lastColumn="0" w:oddVBand="0" w:evenVBand="0" w:oddHBand="0" w:evenHBand="1"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4505" w:type="dxa"/>
          </w:tcPr>
          <w:p w14:paraId="623C4AD3" w14:textId="77777777" w:rsidR="008C62DE" w:rsidRPr="006238FB" w:rsidRDefault="008C62DE" w:rsidP="00523E50">
            <w:pPr>
              <w:spacing w:before="0" w:after="0"/>
              <w:rPr>
                <w:rFonts w:eastAsia="Times New Roman" w:cs="Open Sans"/>
                <w:b/>
                <w:color w:val="06625D"/>
                <w:sz w:val="24"/>
                <w:szCs w:val="24"/>
                <w:lang w:eastAsia="en-GB"/>
              </w:rPr>
            </w:pPr>
            <w:r w:rsidRPr="006238FB">
              <w:rPr>
                <w:rFonts w:eastAsia="Times New Roman" w:cs="Open Sans"/>
                <w:b/>
                <w:color w:val="06625D"/>
                <w:sz w:val="24"/>
                <w:szCs w:val="24"/>
                <w:lang w:eastAsia="en-GB"/>
              </w:rPr>
              <w:t>Outcome</w:t>
            </w:r>
          </w:p>
        </w:tc>
        <w:tc>
          <w:tcPr>
            <w:tcW w:w="2252" w:type="dxa"/>
          </w:tcPr>
          <w:p w14:paraId="49A23E9B" w14:textId="77777777" w:rsidR="008C62DE" w:rsidRPr="006238FB" w:rsidRDefault="008C62DE" w:rsidP="00523E50">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b/>
                <w:bCs/>
                <w:color w:val="06625D"/>
                <w:sz w:val="24"/>
                <w:szCs w:val="24"/>
                <w:lang w:eastAsia="en-GB"/>
              </w:rPr>
            </w:pPr>
            <w:r w:rsidRPr="006238FB">
              <w:rPr>
                <w:rFonts w:eastAsia="Times New Roman" w:cs="Open Sans"/>
                <w:b/>
                <w:bCs/>
                <w:color w:val="06625D"/>
                <w:sz w:val="24"/>
                <w:szCs w:val="24"/>
                <w:lang w:eastAsia="en-GB"/>
              </w:rPr>
              <w:t xml:space="preserve">Valuation </w:t>
            </w:r>
          </w:p>
        </w:tc>
        <w:tc>
          <w:tcPr>
            <w:tcW w:w="2253" w:type="dxa"/>
          </w:tcPr>
          <w:p w14:paraId="3E0F5971" w14:textId="17456474" w:rsidR="008C62DE" w:rsidRPr="00DB32B7" w:rsidRDefault="008C62DE" w:rsidP="00523E50">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b/>
                <w:bCs/>
                <w:color w:val="06625D"/>
                <w:sz w:val="24"/>
                <w:szCs w:val="24"/>
                <w:highlight w:val="yellow"/>
                <w:lang w:eastAsia="en-GB"/>
              </w:rPr>
            </w:pPr>
            <w:r w:rsidRPr="00EC76FC">
              <w:rPr>
                <w:rFonts w:eastAsia="Times New Roman" w:cs="Open Sans"/>
                <w:b/>
                <w:bCs/>
                <w:color w:val="06625D"/>
                <w:sz w:val="24"/>
                <w:szCs w:val="24"/>
                <w:lang w:eastAsia="en-GB"/>
              </w:rPr>
              <w:t>Beneficiaries</w:t>
            </w:r>
          </w:p>
        </w:tc>
      </w:tr>
      <w:tr w:rsidR="008541FC" w:rsidRPr="006238FB" w14:paraId="7A3CFA44" w14:textId="77777777" w:rsidTr="009A71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57D9D555" w14:textId="77777777" w:rsidR="008541FC" w:rsidRPr="006238FB" w:rsidRDefault="008541FC" w:rsidP="008541FC">
            <w:pPr>
              <w:spacing w:before="0" w:after="0"/>
              <w:rPr>
                <w:rFonts w:eastAsia="Times New Roman" w:cs="Open Sans"/>
                <w:lang w:eastAsia="en-GB"/>
              </w:rPr>
            </w:pPr>
            <w:r w:rsidRPr="006238FB">
              <w:rPr>
                <w:rFonts w:eastAsia="Times New Roman" w:cs="Open Sans"/>
                <w:lang w:eastAsia="en-GB"/>
              </w:rPr>
              <w:t xml:space="preserve">Physical Health </w:t>
            </w:r>
          </w:p>
        </w:tc>
        <w:tc>
          <w:tcPr>
            <w:tcW w:w="2252" w:type="dxa"/>
          </w:tcPr>
          <w:p w14:paraId="2AB819C7" w14:textId="226110A1" w:rsidR="008541FC" w:rsidRPr="006238FB" w:rsidRDefault="008541FC" w:rsidP="008541FC">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sidRPr="006238FB">
              <w:rPr>
                <w:rFonts w:eastAsia="Times New Roman" w:cs="Open Sans"/>
                <w:lang w:eastAsia="en-GB"/>
              </w:rPr>
              <w:t>£65.90k</w:t>
            </w:r>
          </w:p>
        </w:tc>
        <w:tc>
          <w:tcPr>
            <w:tcW w:w="2253" w:type="dxa"/>
          </w:tcPr>
          <w:p w14:paraId="5ADA0D4C" w14:textId="3921042E" w:rsidR="008A4E76" w:rsidRPr="006238FB" w:rsidRDefault="008A4E76" w:rsidP="008541FC">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Pr>
                <w:rFonts w:eastAsia="Times New Roman" w:cs="Open Sans"/>
                <w:lang w:eastAsia="en-GB"/>
              </w:rPr>
              <w:t>6,290</w:t>
            </w:r>
          </w:p>
        </w:tc>
      </w:tr>
      <w:tr w:rsidR="008541FC" w:rsidRPr="006238FB" w14:paraId="06E7BE10" w14:textId="77777777" w:rsidTr="009A71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105A04DB" w14:textId="77777777" w:rsidR="008541FC" w:rsidRPr="006238FB" w:rsidRDefault="008541FC" w:rsidP="008541FC">
            <w:pPr>
              <w:spacing w:before="0" w:after="0"/>
              <w:rPr>
                <w:rFonts w:eastAsia="Times New Roman" w:cs="Open Sans"/>
                <w:lang w:eastAsia="en-GB"/>
              </w:rPr>
            </w:pPr>
            <w:r w:rsidRPr="006238FB">
              <w:rPr>
                <w:rFonts w:eastAsia="Times New Roman" w:cs="Open Sans"/>
                <w:lang w:eastAsia="en-GB"/>
              </w:rPr>
              <w:t xml:space="preserve">Mental Health </w:t>
            </w:r>
          </w:p>
        </w:tc>
        <w:tc>
          <w:tcPr>
            <w:tcW w:w="2252" w:type="dxa"/>
          </w:tcPr>
          <w:p w14:paraId="7708F97E" w14:textId="00C7BE45" w:rsidR="008541FC" w:rsidRPr="006238FB" w:rsidRDefault="008541FC" w:rsidP="008541FC">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sidRPr="006238FB">
              <w:rPr>
                <w:rFonts w:eastAsia="Times New Roman" w:cs="Open Sans"/>
                <w:lang w:eastAsia="en-GB"/>
              </w:rPr>
              <w:t>£158.00k</w:t>
            </w:r>
          </w:p>
        </w:tc>
        <w:tc>
          <w:tcPr>
            <w:tcW w:w="2253" w:type="dxa"/>
          </w:tcPr>
          <w:p w14:paraId="68790CAA" w14:textId="04F487B1" w:rsidR="008541FC" w:rsidRPr="006238FB" w:rsidRDefault="00B842F8" w:rsidP="008541FC">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Pr>
                <w:rFonts w:eastAsia="Times New Roman" w:cs="Open Sans"/>
                <w:lang w:eastAsia="en-GB"/>
              </w:rPr>
              <w:t>14,450</w:t>
            </w:r>
          </w:p>
        </w:tc>
      </w:tr>
      <w:tr w:rsidR="008541FC" w:rsidRPr="006238FB" w14:paraId="5D86A8B9" w14:textId="77777777" w:rsidTr="009A71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0373194C" w14:textId="77777777" w:rsidR="008541FC" w:rsidRPr="006238FB" w:rsidRDefault="008541FC" w:rsidP="008541FC">
            <w:pPr>
              <w:spacing w:before="0" w:after="0"/>
              <w:rPr>
                <w:rFonts w:eastAsia="Times New Roman" w:cs="Open Sans"/>
                <w:lang w:eastAsia="en-GB"/>
              </w:rPr>
            </w:pPr>
            <w:r w:rsidRPr="006238FB">
              <w:rPr>
                <w:rFonts w:eastAsia="Times New Roman" w:cs="Open Sans"/>
                <w:lang w:eastAsia="en-GB"/>
              </w:rPr>
              <w:t>Improved nutrition</w:t>
            </w:r>
          </w:p>
        </w:tc>
        <w:tc>
          <w:tcPr>
            <w:tcW w:w="2252" w:type="dxa"/>
          </w:tcPr>
          <w:p w14:paraId="5B58EB01" w14:textId="09DAFF03" w:rsidR="008541FC" w:rsidRPr="006238FB" w:rsidRDefault="008541FC" w:rsidP="008541FC">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sidRPr="006238FB">
              <w:rPr>
                <w:rFonts w:eastAsia="Times New Roman" w:cs="Open Sans"/>
                <w:lang w:eastAsia="en-GB"/>
              </w:rPr>
              <w:t>£160.36k</w:t>
            </w:r>
          </w:p>
        </w:tc>
        <w:tc>
          <w:tcPr>
            <w:tcW w:w="2253" w:type="dxa"/>
          </w:tcPr>
          <w:p w14:paraId="719E35E6" w14:textId="57D7A52A" w:rsidR="00B842F8" w:rsidRPr="006238FB" w:rsidRDefault="00B842F8" w:rsidP="008541FC">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Pr>
                <w:rFonts w:eastAsia="Times New Roman" w:cs="Open Sans"/>
                <w:lang w:eastAsia="en-GB"/>
              </w:rPr>
              <w:t>9,820</w:t>
            </w:r>
          </w:p>
        </w:tc>
      </w:tr>
      <w:tr w:rsidR="008541FC" w:rsidRPr="006238FB" w14:paraId="3DF614C9" w14:textId="77777777" w:rsidTr="009A71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51BF7A51" w14:textId="77777777" w:rsidR="008541FC" w:rsidRPr="006238FB" w:rsidRDefault="008541FC" w:rsidP="008541FC">
            <w:pPr>
              <w:spacing w:before="0" w:after="0"/>
              <w:rPr>
                <w:rFonts w:eastAsia="Times New Roman" w:cs="Open Sans"/>
                <w:lang w:eastAsia="en-GB"/>
              </w:rPr>
            </w:pPr>
            <w:r w:rsidRPr="006238FB">
              <w:rPr>
                <w:rFonts w:eastAsia="Times New Roman" w:cs="Open Sans"/>
                <w:lang w:eastAsia="en-GB"/>
              </w:rPr>
              <w:t>Parents’ wellbeing</w:t>
            </w:r>
          </w:p>
        </w:tc>
        <w:tc>
          <w:tcPr>
            <w:tcW w:w="2252" w:type="dxa"/>
          </w:tcPr>
          <w:p w14:paraId="576C526B" w14:textId="10636A1A" w:rsidR="008541FC" w:rsidRPr="006238FB" w:rsidRDefault="008541FC" w:rsidP="008541FC">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sidRPr="006238FB">
              <w:rPr>
                <w:rFonts w:eastAsia="Times New Roman" w:cs="Open Sans"/>
                <w:lang w:eastAsia="en-GB"/>
              </w:rPr>
              <w:t>£1.63m</w:t>
            </w:r>
          </w:p>
        </w:tc>
        <w:tc>
          <w:tcPr>
            <w:tcW w:w="2253" w:type="dxa"/>
          </w:tcPr>
          <w:p w14:paraId="39C46226" w14:textId="14757D6F" w:rsidR="008541FC" w:rsidRPr="006238FB" w:rsidRDefault="00DB7875" w:rsidP="008541FC">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Pr>
                <w:rFonts w:eastAsia="Times New Roman" w:cs="Open Sans"/>
                <w:lang w:eastAsia="en-GB"/>
              </w:rPr>
              <w:t>N/A</w:t>
            </w:r>
          </w:p>
        </w:tc>
      </w:tr>
      <w:tr w:rsidR="008541FC" w:rsidRPr="006238FB" w14:paraId="36516234" w14:textId="77777777" w:rsidTr="009A71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248839B7" w14:textId="77777777" w:rsidR="008541FC" w:rsidRPr="006238FB" w:rsidRDefault="008541FC" w:rsidP="008541FC">
            <w:pPr>
              <w:spacing w:before="0" w:after="0"/>
              <w:rPr>
                <w:rFonts w:eastAsia="Times New Roman" w:cs="Open Sans"/>
                <w:lang w:eastAsia="en-GB"/>
              </w:rPr>
            </w:pPr>
            <w:r w:rsidRPr="006238FB">
              <w:rPr>
                <w:rFonts w:eastAsia="Times New Roman" w:cs="Open Sans"/>
                <w:lang w:eastAsia="en-GB"/>
              </w:rPr>
              <w:t>Children’s wellbeing</w:t>
            </w:r>
          </w:p>
        </w:tc>
        <w:tc>
          <w:tcPr>
            <w:tcW w:w="2252" w:type="dxa"/>
          </w:tcPr>
          <w:p w14:paraId="63E41449" w14:textId="50EA1304" w:rsidR="008541FC" w:rsidRPr="006238FB" w:rsidRDefault="008541FC" w:rsidP="008541FC">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sidRPr="006238FB">
              <w:rPr>
                <w:rFonts w:eastAsia="Times New Roman" w:cs="Open Sans"/>
                <w:lang w:eastAsia="en-GB"/>
              </w:rPr>
              <w:t>£8.03m</w:t>
            </w:r>
          </w:p>
        </w:tc>
        <w:tc>
          <w:tcPr>
            <w:tcW w:w="2253" w:type="dxa"/>
          </w:tcPr>
          <w:p w14:paraId="191ADB07" w14:textId="3E80AF00" w:rsidR="008541FC" w:rsidRPr="006238FB" w:rsidRDefault="00DB7875" w:rsidP="008541FC">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Pr>
                <w:rFonts w:eastAsia="Times New Roman" w:cs="Open Sans"/>
                <w:lang w:eastAsia="en-GB"/>
              </w:rPr>
              <w:t>N/A</w:t>
            </w:r>
          </w:p>
        </w:tc>
      </w:tr>
      <w:tr w:rsidR="008541FC" w:rsidRPr="006238FB" w14:paraId="14EEE2AF" w14:textId="77777777" w:rsidTr="009A718D">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05" w:type="dxa"/>
          </w:tcPr>
          <w:p w14:paraId="6B312361" w14:textId="77777777" w:rsidR="008541FC" w:rsidRPr="006238FB" w:rsidRDefault="008541FC" w:rsidP="008541FC">
            <w:pPr>
              <w:spacing w:before="0" w:after="0"/>
              <w:rPr>
                <w:rFonts w:eastAsia="Times New Roman" w:cs="Open Sans"/>
                <w:lang w:eastAsia="en-GB"/>
              </w:rPr>
            </w:pPr>
            <w:r w:rsidRPr="006238FB">
              <w:rPr>
                <w:rFonts w:eastAsia="Times New Roman" w:cs="Open Sans"/>
                <w:lang w:eastAsia="en-GB"/>
              </w:rPr>
              <w:t>Respite care</w:t>
            </w:r>
          </w:p>
        </w:tc>
        <w:tc>
          <w:tcPr>
            <w:tcW w:w="2252" w:type="dxa"/>
          </w:tcPr>
          <w:p w14:paraId="1360B4B4" w14:textId="3EE85F0D" w:rsidR="008541FC" w:rsidRPr="006238FB" w:rsidRDefault="008541FC" w:rsidP="008541FC">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sidRPr="006238FB">
              <w:rPr>
                <w:rFonts w:eastAsia="Times New Roman" w:cs="Open Sans"/>
                <w:lang w:eastAsia="en-GB"/>
              </w:rPr>
              <w:t>£11.78k</w:t>
            </w:r>
          </w:p>
        </w:tc>
        <w:tc>
          <w:tcPr>
            <w:tcW w:w="2253" w:type="dxa"/>
          </w:tcPr>
          <w:p w14:paraId="57272CCF" w14:textId="24D6B609" w:rsidR="008541FC" w:rsidRPr="006238FB" w:rsidRDefault="00B842F8" w:rsidP="008541FC">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Pr>
                <w:rFonts w:eastAsia="Times New Roman" w:cs="Open Sans"/>
                <w:lang w:eastAsia="en-GB"/>
              </w:rPr>
              <w:t>1,436</w:t>
            </w:r>
          </w:p>
        </w:tc>
      </w:tr>
      <w:tr w:rsidR="00523E50" w:rsidRPr="006238FB" w14:paraId="2B991A93" w14:textId="77777777" w:rsidTr="00523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tcPr>
          <w:p w14:paraId="2B7B131D" w14:textId="77777777" w:rsidR="00523E50" w:rsidRPr="006238FB" w:rsidRDefault="00523E50" w:rsidP="00523E50">
            <w:pPr>
              <w:spacing w:before="0" w:after="0"/>
              <w:rPr>
                <w:rFonts w:eastAsia="Times New Roman" w:cs="Open Sans"/>
                <w:b/>
                <w:color w:val="FFFFFF"/>
                <w:sz w:val="24"/>
                <w:szCs w:val="24"/>
                <w:lang w:eastAsia="en-GB"/>
              </w:rPr>
            </w:pPr>
            <w:r w:rsidRPr="006238FB">
              <w:rPr>
                <w:rFonts w:eastAsia="Times New Roman" w:cs="Open Sans"/>
                <w:b/>
                <w:color w:val="06625D"/>
                <w:sz w:val="24"/>
                <w:szCs w:val="24"/>
                <w:lang w:eastAsia="en-GB"/>
              </w:rPr>
              <w:t xml:space="preserve">Social Impact </w:t>
            </w:r>
          </w:p>
        </w:tc>
      </w:tr>
      <w:tr w:rsidR="008C62DE" w:rsidRPr="006238FB" w14:paraId="6AE2BDB8" w14:textId="77777777" w:rsidTr="009A4A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2B9D477B" w14:textId="77777777" w:rsidR="008C62DE" w:rsidRPr="006238FB" w:rsidRDefault="008C62DE" w:rsidP="008C62DE">
            <w:pPr>
              <w:spacing w:before="0" w:after="0"/>
              <w:rPr>
                <w:rFonts w:eastAsia="Times New Roman" w:cs="Open Sans"/>
                <w:lang w:eastAsia="en-GB"/>
              </w:rPr>
            </w:pPr>
            <w:r w:rsidRPr="006238FB">
              <w:rPr>
                <w:rFonts w:eastAsia="Times New Roman" w:cs="Open Sans"/>
                <w:lang w:eastAsia="en-GB"/>
              </w:rPr>
              <w:t>Educational engagement</w:t>
            </w:r>
            <w:r w:rsidRPr="006238FB">
              <w:rPr>
                <w:rFonts w:eastAsia="Times New Roman" w:cs="Open Sans"/>
                <w:lang w:eastAsia="en-GB"/>
              </w:rPr>
              <w:tab/>
            </w:r>
          </w:p>
        </w:tc>
        <w:tc>
          <w:tcPr>
            <w:tcW w:w="2252" w:type="dxa"/>
          </w:tcPr>
          <w:p w14:paraId="4184E057" w14:textId="049DD453" w:rsidR="008C62DE" w:rsidRPr="006238FB" w:rsidRDefault="008C62DE" w:rsidP="008C62DE">
            <w:pPr>
              <w:spacing w:before="0" w:after="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24"/>
                <w:szCs w:val="24"/>
                <w:lang w:eastAsia="en-GB"/>
              </w:rPr>
            </w:pPr>
            <w:r w:rsidRPr="006238FB">
              <w:rPr>
                <w:rFonts w:eastAsia="Times New Roman" w:cs="Open Sans"/>
                <w:lang w:eastAsia="en-GB"/>
              </w:rPr>
              <w:t>£199.42k</w:t>
            </w:r>
          </w:p>
        </w:tc>
        <w:tc>
          <w:tcPr>
            <w:tcW w:w="2253" w:type="dxa"/>
          </w:tcPr>
          <w:p w14:paraId="4BCBF780" w14:textId="2E46A597" w:rsidR="008C62DE" w:rsidRPr="00B842F8" w:rsidRDefault="00B842F8" w:rsidP="008C62DE">
            <w:pPr>
              <w:spacing w:before="0" w:after="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lang w:eastAsia="en-GB"/>
              </w:rPr>
            </w:pPr>
            <w:r w:rsidRPr="00B842F8">
              <w:rPr>
                <w:rFonts w:ascii="Arial" w:eastAsia="Times New Roman" w:hAnsi="Arial" w:cs="Arial"/>
                <w:sz w:val="24"/>
                <w:szCs w:val="24"/>
                <w:lang w:eastAsia="en-GB"/>
              </w:rPr>
              <w:t>4,738</w:t>
            </w:r>
          </w:p>
        </w:tc>
      </w:tr>
      <w:tr w:rsidR="008C62DE" w:rsidRPr="006238FB" w14:paraId="329364F7" w14:textId="77777777" w:rsidTr="009A4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17951BFB" w14:textId="77777777" w:rsidR="008C62DE" w:rsidRPr="006238FB" w:rsidRDefault="008C62DE" w:rsidP="008C62DE">
            <w:pPr>
              <w:spacing w:before="0" w:after="0"/>
              <w:rPr>
                <w:rFonts w:eastAsia="Times New Roman" w:cs="Open Sans"/>
                <w:lang w:eastAsia="en-GB"/>
              </w:rPr>
            </w:pPr>
            <w:r w:rsidRPr="006238FB">
              <w:rPr>
                <w:rFonts w:eastAsia="Times New Roman" w:cs="Open Sans"/>
                <w:lang w:eastAsia="en-GB"/>
              </w:rPr>
              <w:t>Educational attainment</w:t>
            </w:r>
          </w:p>
        </w:tc>
        <w:tc>
          <w:tcPr>
            <w:tcW w:w="2252" w:type="dxa"/>
          </w:tcPr>
          <w:p w14:paraId="1B9AA031" w14:textId="35E71AD1" w:rsidR="008C62DE" w:rsidRPr="006238FB" w:rsidRDefault="008C62DE" w:rsidP="008C62DE">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eastAsia="en-GB"/>
              </w:rPr>
            </w:pPr>
            <w:r w:rsidRPr="006238FB">
              <w:rPr>
                <w:rFonts w:eastAsia="Times New Roman" w:cs="Open Sans"/>
                <w:lang w:eastAsia="en-GB"/>
              </w:rPr>
              <w:t>£47.81k</w:t>
            </w:r>
          </w:p>
        </w:tc>
        <w:tc>
          <w:tcPr>
            <w:tcW w:w="2253" w:type="dxa"/>
          </w:tcPr>
          <w:p w14:paraId="4E5F2175" w14:textId="4CC8AF66" w:rsidR="008C62DE" w:rsidRPr="00B842F8" w:rsidRDefault="00B842F8" w:rsidP="008C62DE">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B842F8">
              <w:rPr>
                <w:rFonts w:ascii="Arial" w:eastAsia="Times New Roman" w:hAnsi="Arial" w:cs="Arial"/>
                <w:sz w:val="24"/>
                <w:szCs w:val="24"/>
                <w:lang w:eastAsia="en-GB"/>
              </w:rPr>
              <w:t>3,548</w:t>
            </w:r>
          </w:p>
        </w:tc>
      </w:tr>
      <w:tr w:rsidR="008C62DE" w:rsidRPr="006238FB" w14:paraId="226E5787" w14:textId="77777777" w:rsidTr="009A4A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5B951AF1" w14:textId="77777777" w:rsidR="008C62DE" w:rsidRPr="006238FB" w:rsidRDefault="008C62DE" w:rsidP="008C62DE">
            <w:pPr>
              <w:spacing w:before="0" w:after="0"/>
              <w:rPr>
                <w:rFonts w:eastAsia="Times New Roman" w:cs="Open Sans"/>
                <w:lang w:eastAsia="en-GB"/>
              </w:rPr>
            </w:pPr>
            <w:r w:rsidRPr="006238FB">
              <w:rPr>
                <w:rFonts w:eastAsia="Times New Roman" w:cs="Open Sans"/>
                <w:lang w:eastAsia="en-GB"/>
              </w:rPr>
              <w:t>Access to public services</w:t>
            </w:r>
            <w:r w:rsidRPr="006238FB">
              <w:rPr>
                <w:rFonts w:eastAsia="Times New Roman" w:cs="Open Sans"/>
                <w:lang w:eastAsia="en-GB"/>
              </w:rPr>
              <w:tab/>
            </w:r>
          </w:p>
        </w:tc>
        <w:tc>
          <w:tcPr>
            <w:tcW w:w="2252" w:type="dxa"/>
          </w:tcPr>
          <w:p w14:paraId="03658ABC" w14:textId="7DFC9345" w:rsidR="008C62DE" w:rsidRPr="006238FB" w:rsidRDefault="008C62DE" w:rsidP="008C62DE">
            <w:pPr>
              <w:spacing w:before="0" w:after="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24"/>
                <w:szCs w:val="24"/>
                <w:lang w:eastAsia="en-GB"/>
              </w:rPr>
            </w:pPr>
            <w:r w:rsidRPr="006238FB">
              <w:rPr>
                <w:rFonts w:eastAsia="Times New Roman" w:cs="Open Sans"/>
                <w:lang w:eastAsia="en-GB"/>
              </w:rPr>
              <w:t>£420.62k</w:t>
            </w:r>
          </w:p>
        </w:tc>
        <w:tc>
          <w:tcPr>
            <w:tcW w:w="2253" w:type="dxa"/>
          </w:tcPr>
          <w:p w14:paraId="023766C5" w14:textId="3C6D59DE" w:rsidR="008C62DE" w:rsidRPr="00B842F8" w:rsidRDefault="00B842F8" w:rsidP="008C62DE">
            <w:pPr>
              <w:spacing w:before="0" w:after="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3,358</w:t>
            </w:r>
          </w:p>
        </w:tc>
      </w:tr>
      <w:tr w:rsidR="008C62DE" w:rsidRPr="006238FB" w14:paraId="07BF50A9" w14:textId="77777777" w:rsidTr="009A4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7A7BCD4A" w14:textId="77777777" w:rsidR="008C62DE" w:rsidRPr="006238FB" w:rsidRDefault="008C62DE" w:rsidP="008C62DE">
            <w:pPr>
              <w:spacing w:before="0" w:after="0"/>
              <w:rPr>
                <w:rFonts w:eastAsia="Times New Roman" w:cs="Open Sans"/>
                <w:lang w:eastAsia="en-GB"/>
              </w:rPr>
            </w:pPr>
            <w:r w:rsidRPr="006238FB">
              <w:rPr>
                <w:rFonts w:eastAsia="Times New Roman" w:cs="Open Sans"/>
                <w:lang w:eastAsia="en-GB"/>
              </w:rPr>
              <w:t>Volunteering</w:t>
            </w:r>
            <w:r w:rsidRPr="006238FB">
              <w:rPr>
                <w:rFonts w:eastAsia="Times New Roman" w:cs="Open Sans"/>
                <w:lang w:eastAsia="en-GB"/>
              </w:rPr>
              <w:tab/>
            </w:r>
          </w:p>
        </w:tc>
        <w:tc>
          <w:tcPr>
            <w:tcW w:w="2252" w:type="dxa"/>
          </w:tcPr>
          <w:p w14:paraId="66899FAF" w14:textId="7C603738" w:rsidR="008C62DE" w:rsidRPr="006238FB" w:rsidRDefault="008C62DE" w:rsidP="008C62DE">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eastAsia="en-GB"/>
              </w:rPr>
            </w:pPr>
            <w:r w:rsidRPr="006238FB">
              <w:rPr>
                <w:rFonts w:eastAsia="Times New Roman" w:cs="Open Sans"/>
                <w:lang w:eastAsia="en-GB"/>
              </w:rPr>
              <w:t>£137.28k</w:t>
            </w:r>
          </w:p>
        </w:tc>
        <w:tc>
          <w:tcPr>
            <w:tcW w:w="2253" w:type="dxa"/>
          </w:tcPr>
          <w:p w14:paraId="7A7F7BDA" w14:textId="338E9308" w:rsidR="008C62DE" w:rsidRPr="00B842F8" w:rsidRDefault="00EC76FC" w:rsidP="008C62DE">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110</w:t>
            </w:r>
          </w:p>
        </w:tc>
      </w:tr>
      <w:tr w:rsidR="008C62DE" w:rsidRPr="006238FB" w14:paraId="07215F21" w14:textId="77777777" w:rsidTr="009A4A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51861D9D" w14:textId="77777777" w:rsidR="008C62DE" w:rsidRPr="006238FB" w:rsidRDefault="008C62DE" w:rsidP="008C62DE">
            <w:pPr>
              <w:spacing w:before="0" w:after="0"/>
              <w:rPr>
                <w:rFonts w:eastAsia="Times New Roman" w:cs="Open Sans"/>
                <w:lang w:eastAsia="en-GB"/>
              </w:rPr>
            </w:pPr>
            <w:r w:rsidRPr="006238FB">
              <w:rPr>
                <w:rFonts w:eastAsia="Times New Roman" w:cs="Open Sans"/>
                <w:lang w:eastAsia="en-GB"/>
              </w:rPr>
              <w:t>Access to training</w:t>
            </w:r>
            <w:r w:rsidRPr="006238FB">
              <w:rPr>
                <w:rFonts w:eastAsia="Times New Roman" w:cs="Open Sans"/>
                <w:lang w:eastAsia="en-GB"/>
              </w:rPr>
              <w:tab/>
            </w:r>
          </w:p>
        </w:tc>
        <w:tc>
          <w:tcPr>
            <w:tcW w:w="2252" w:type="dxa"/>
          </w:tcPr>
          <w:p w14:paraId="2522AAB4" w14:textId="123353C9" w:rsidR="008C62DE" w:rsidRPr="006238FB" w:rsidRDefault="008C62DE" w:rsidP="008C62DE">
            <w:pPr>
              <w:spacing w:before="0" w:after="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24"/>
                <w:szCs w:val="24"/>
                <w:lang w:eastAsia="en-GB"/>
              </w:rPr>
            </w:pPr>
            <w:r w:rsidRPr="006238FB">
              <w:rPr>
                <w:rFonts w:eastAsia="Times New Roman" w:cs="Open Sans"/>
                <w:lang w:eastAsia="en-GB"/>
              </w:rPr>
              <w:t>£74.34k</w:t>
            </w:r>
          </w:p>
        </w:tc>
        <w:tc>
          <w:tcPr>
            <w:tcW w:w="2253" w:type="dxa"/>
          </w:tcPr>
          <w:p w14:paraId="212AEF0C" w14:textId="779F210B" w:rsidR="008C62DE" w:rsidRPr="00B842F8" w:rsidRDefault="00EC76FC" w:rsidP="008C62DE">
            <w:pPr>
              <w:spacing w:before="0" w:after="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2,202</w:t>
            </w:r>
          </w:p>
        </w:tc>
      </w:tr>
      <w:tr w:rsidR="00523E50" w:rsidRPr="006238FB" w14:paraId="4B633DD1" w14:textId="77777777" w:rsidTr="00523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tcPr>
          <w:p w14:paraId="6D90142F" w14:textId="77777777" w:rsidR="00523E50" w:rsidRPr="006238FB" w:rsidRDefault="00523E50" w:rsidP="00523E50">
            <w:pPr>
              <w:spacing w:before="0" w:after="0"/>
              <w:rPr>
                <w:rFonts w:eastAsia="Times New Roman" w:cs="Open Sans"/>
                <w:b/>
                <w:color w:val="FFFFFF"/>
                <w:sz w:val="24"/>
                <w:szCs w:val="24"/>
                <w:lang w:eastAsia="en-GB"/>
              </w:rPr>
            </w:pPr>
            <w:r w:rsidRPr="006238FB">
              <w:rPr>
                <w:rFonts w:eastAsia="Times New Roman" w:cs="Open Sans"/>
                <w:b/>
                <w:color w:val="06625D"/>
                <w:sz w:val="24"/>
                <w:szCs w:val="24"/>
                <w:lang w:eastAsia="en-GB"/>
              </w:rPr>
              <w:t>Economic Impact</w:t>
            </w:r>
          </w:p>
        </w:tc>
      </w:tr>
      <w:tr w:rsidR="008C62DE" w:rsidRPr="00523E50" w14:paraId="0B31702D" w14:textId="77777777" w:rsidTr="003F71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53E23418" w14:textId="77777777" w:rsidR="008C62DE" w:rsidRPr="00523E50" w:rsidRDefault="008C62DE" w:rsidP="008C62DE">
            <w:pPr>
              <w:spacing w:before="0" w:after="0"/>
              <w:rPr>
                <w:rFonts w:eastAsia="Times New Roman" w:cs="Open Sans"/>
                <w:lang w:eastAsia="en-GB"/>
              </w:rPr>
            </w:pPr>
            <w:r w:rsidRPr="00523E50">
              <w:rPr>
                <w:rFonts w:eastAsia="Times New Roman" w:cs="Open Sans"/>
                <w:lang w:eastAsia="en-GB"/>
              </w:rPr>
              <w:t>Increased work hours</w:t>
            </w:r>
          </w:p>
        </w:tc>
        <w:tc>
          <w:tcPr>
            <w:tcW w:w="2252" w:type="dxa"/>
          </w:tcPr>
          <w:p w14:paraId="736C4053" w14:textId="473B25A1" w:rsidR="008C62DE" w:rsidRPr="00523E50" w:rsidRDefault="008C62DE" w:rsidP="008C62DE">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sidRPr="00523E50">
              <w:rPr>
                <w:rFonts w:eastAsia="Times New Roman" w:cs="Open Sans"/>
                <w:lang w:eastAsia="en-GB"/>
              </w:rPr>
              <w:t>£70.25k</w:t>
            </w:r>
          </w:p>
        </w:tc>
        <w:tc>
          <w:tcPr>
            <w:tcW w:w="2253" w:type="dxa"/>
          </w:tcPr>
          <w:p w14:paraId="27F55E5A" w14:textId="62967975" w:rsidR="008C62DE" w:rsidRPr="00523E50" w:rsidRDefault="00EC76FC" w:rsidP="008C62DE">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Pr>
                <w:rFonts w:eastAsia="Times New Roman" w:cs="Open Sans"/>
                <w:lang w:eastAsia="en-GB"/>
              </w:rPr>
              <w:t>3,735</w:t>
            </w:r>
          </w:p>
        </w:tc>
      </w:tr>
      <w:tr w:rsidR="008C62DE" w:rsidRPr="00523E50" w14:paraId="282B00D3" w14:textId="77777777" w:rsidTr="003F7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02A91AC9" w14:textId="77777777" w:rsidR="008C62DE" w:rsidRPr="00523E50" w:rsidRDefault="008C62DE" w:rsidP="008C62DE">
            <w:pPr>
              <w:spacing w:before="0" w:after="0"/>
              <w:rPr>
                <w:rFonts w:eastAsia="Times New Roman" w:cs="Open Sans"/>
                <w:lang w:eastAsia="en-GB"/>
              </w:rPr>
            </w:pPr>
            <w:r w:rsidRPr="00523E50">
              <w:rPr>
                <w:rFonts w:eastAsia="Times New Roman" w:cs="Open Sans"/>
                <w:lang w:eastAsia="en-GB"/>
              </w:rPr>
              <w:t>Local provider spending</w:t>
            </w:r>
          </w:p>
        </w:tc>
        <w:tc>
          <w:tcPr>
            <w:tcW w:w="2252" w:type="dxa"/>
          </w:tcPr>
          <w:p w14:paraId="4B56D73F" w14:textId="431F6D80" w:rsidR="008C62DE" w:rsidRPr="00523E50" w:rsidRDefault="008C62DE"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sidRPr="00523E50">
              <w:rPr>
                <w:rFonts w:eastAsia="Times New Roman" w:cs="Open Sans"/>
                <w:lang w:eastAsia="en-GB"/>
              </w:rPr>
              <w:t>£108.00k</w:t>
            </w:r>
          </w:p>
        </w:tc>
        <w:tc>
          <w:tcPr>
            <w:tcW w:w="2253" w:type="dxa"/>
          </w:tcPr>
          <w:p w14:paraId="2C75397B" w14:textId="4975D65F" w:rsidR="008C62DE" w:rsidRPr="00523E50" w:rsidRDefault="00EC76FC"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Pr>
                <w:rFonts w:eastAsia="Times New Roman" w:cs="Open Sans"/>
                <w:lang w:eastAsia="en-GB"/>
              </w:rPr>
              <w:t>75</w:t>
            </w:r>
          </w:p>
        </w:tc>
      </w:tr>
      <w:tr w:rsidR="008C62DE" w:rsidRPr="00523E50" w14:paraId="4215A493" w14:textId="77777777" w:rsidTr="003F71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14CB60AB" w14:textId="77777777" w:rsidR="008C62DE" w:rsidRPr="00523E50" w:rsidRDefault="008C62DE" w:rsidP="008C62DE">
            <w:pPr>
              <w:spacing w:before="0" w:after="0"/>
              <w:rPr>
                <w:rFonts w:eastAsia="Times New Roman" w:cs="Open Sans"/>
                <w:lang w:eastAsia="en-GB"/>
              </w:rPr>
            </w:pPr>
            <w:r w:rsidRPr="00523E50">
              <w:rPr>
                <w:rFonts w:eastAsia="Times New Roman" w:cs="Open Sans"/>
                <w:lang w:eastAsia="en-GB"/>
              </w:rPr>
              <w:t>Local parent spending (collated)</w:t>
            </w:r>
          </w:p>
        </w:tc>
        <w:tc>
          <w:tcPr>
            <w:tcW w:w="2252" w:type="dxa"/>
          </w:tcPr>
          <w:p w14:paraId="72EBF770" w14:textId="27B8A370" w:rsidR="008C62DE" w:rsidRPr="00523E50" w:rsidRDefault="008C62DE" w:rsidP="008C62DE">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sidRPr="00523E50">
              <w:rPr>
                <w:rFonts w:eastAsia="Times New Roman" w:cs="Open Sans"/>
                <w:lang w:eastAsia="en-GB"/>
              </w:rPr>
              <w:t>£1.21m</w:t>
            </w:r>
          </w:p>
        </w:tc>
        <w:tc>
          <w:tcPr>
            <w:tcW w:w="2253" w:type="dxa"/>
          </w:tcPr>
          <w:p w14:paraId="59483492" w14:textId="5FC3F6FF" w:rsidR="008C62DE" w:rsidRPr="00523E50" w:rsidRDefault="00DB7875" w:rsidP="008C62DE">
            <w:pPr>
              <w:spacing w:before="0" w:after="0"/>
              <w:cnfStyle w:val="000000010000" w:firstRow="0" w:lastRow="0" w:firstColumn="0" w:lastColumn="0" w:oddVBand="0" w:evenVBand="0" w:oddHBand="0" w:evenHBand="1" w:firstRowFirstColumn="0" w:firstRowLastColumn="0" w:lastRowFirstColumn="0" w:lastRowLastColumn="0"/>
              <w:rPr>
                <w:rFonts w:eastAsia="Times New Roman" w:cs="Open Sans"/>
                <w:lang w:eastAsia="en-GB"/>
              </w:rPr>
            </w:pPr>
            <w:r>
              <w:rPr>
                <w:rFonts w:eastAsia="Times New Roman" w:cs="Open Sans"/>
                <w:lang w:eastAsia="en-GB"/>
              </w:rPr>
              <w:t>N/A</w:t>
            </w:r>
          </w:p>
        </w:tc>
      </w:tr>
      <w:tr w:rsidR="008C62DE" w:rsidRPr="00523E50" w14:paraId="7ED3ED67" w14:textId="77777777" w:rsidTr="003F7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53576595" w14:textId="77777777" w:rsidR="008C62DE" w:rsidRPr="00523E50" w:rsidRDefault="008C62DE" w:rsidP="008C62DE">
            <w:pPr>
              <w:spacing w:before="0" w:after="0"/>
              <w:rPr>
                <w:rFonts w:eastAsia="Times New Roman" w:cs="Open Sans"/>
                <w:lang w:eastAsia="en-GB"/>
              </w:rPr>
            </w:pPr>
            <w:r w:rsidRPr="00523E50">
              <w:rPr>
                <w:rFonts w:eastAsia="Times New Roman" w:cs="Open Sans"/>
                <w:lang w:eastAsia="en-GB"/>
              </w:rPr>
              <w:t>Leveraged provider funding</w:t>
            </w:r>
          </w:p>
        </w:tc>
        <w:tc>
          <w:tcPr>
            <w:tcW w:w="2252" w:type="dxa"/>
          </w:tcPr>
          <w:p w14:paraId="2D5E822B" w14:textId="7162D4A7" w:rsidR="008C62DE" w:rsidRPr="00523E50" w:rsidRDefault="008C62DE"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sidRPr="00523E50">
              <w:rPr>
                <w:rFonts w:eastAsia="Times New Roman" w:cs="Open Sans"/>
                <w:lang w:eastAsia="en-GB"/>
              </w:rPr>
              <w:t>£148.32k</w:t>
            </w:r>
          </w:p>
        </w:tc>
        <w:tc>
          <w:tcPr>
            <w:tcW w:w="2253" w:type="dxa"/>
          </w:tcPr>
          <w:p w14:paraId="5AE0D839" w14:textId="4E84C034" w:rsidR="008C62DE" w:rsidRPr="00523E50" w:rsidRDefault="00EC76FC" w:rsidP="008C62DE">
            <w:pPr>
              <w:spacing w:before="0" w:after="0"/>
              <w:cnfStyle w:val="000000100000" w:firstRow="0" w:lastRow="0" w:firstColumn="0" w:lastColumn="0" w:oddVBand="0" w:evenVBand="0" w:oddHBand="1" w:evenHBand="0" w:firstRowFirstColumn="0" w:firstRowLastColumn="0" w:lastRowFirstColumn="0" w:lastRowLastColumn="0"/>
              <w:rPr>
                <w:rFonts w:eastAsia="Times New Roman" w:cs="Open Sans"/>
                <w:lang w:eastAsia="en-GB"/>
              </w:rPr>
            </w:pPr>
            <w:r>
              <w:rPr>
                <w:rFonts w:eastAsia="Times New Roman" w:cs="Open Sans"/>
                <w:lang w:eastAsia="en-GB"/>
              </w:rPr>
              <w:t>14</w:t>
            </w:r>
          </w:p>
        </w:tc>
      </w:tr>
    </w:tbl>
    <w:p w14:paraId="5FB70B9E" w14:textId="0A8D5372" w:rsidR="00761663" w:rsidRPr="002A7EFC" w:rsidRDefault="002A7EFC" w:rsidP="002A7EFC">
      <w:pPr>
        <w:rPr>
          <w:rFonts w:cs="Open Sans"/>
          <w:sz w:val="18"/>
          <w:szCs w:val="18"/>
        </w:rPr>
      </w:pPr>
      <w:r w:rsidRPr="00C20CD2">
        <w:rPr>
          <w:rFonts w:cs="Open Sans"/>
          <w:sz w:val="18"/>
          <w:szCs w:val="18"/>
        </w:rPr>
        <w:t>Please note values have been rounded</w:t>
      </w:r>
      <w:r>
        <w:rPr>
          <w:rFonts w:cs="Open Sans"/>
          <w:sz w:val="18"/>
          <w:szCs w:val="18"/>
        </w:rPr>
        <w:t xml:space="preserve"> where applicable. </w:t>
      </w:r>
    </w:p>
    <w:p w14:paraId="2FB992EE" w14:textId="45917B35" w:rsidR="002A7EFC" w:rsidRPr="002A7EFC" w:rsidRDefault="002A7EFC" w:rsidP="002A7EFC">
      <w:pPr>
        <w:rPr>
          <w:rFonts w:cs="Open Sans"/>
          <w:b/>
          <w:bCs/>
        </w:rPr>
      </w:pPr>
      <w:r w:rsidRPr="00814022">
        <w:rPr>
          <w:rFonts w:cs="Open Sans"/>
        </w:rPr>
        <w:t xml:space="preserve">Overall Social Value derived </w:t>
      </w:r>
      <w:r>
        <w:rPr>
          <w:rFonts w:cs="Open Sans"/>
        </w:rPr>
        <w:t xml:space="preserve">across the 2022 </w:t>
      </w:r>
      <w:r w:rsidRPr="00814022">
        <w:rPr>
          <w:rFonts w:cs="Open Sans"/>
        </w:rPr>
        <w:t>Provision</w:t>
      </w:r>
      <w:r>
        <w:rPr>
          <w:rFonts w:cs="Open Sans"/>
        </w:rPr>
        <w:t>s</w:t>
      </w:r>
      <w:r w:rsidRPr="00814022">
        <w:rPr>
          <w:rFonts w:cs="Open Sans"/>
        </w:rPr>
        <w:t xml:space="preserve"> = </w:t>
      </w:r>
      <w:r w:rsidRPr="0061537E">
        <w:rPr>
          <w:rFonts w:cs="Open Sans"/>
          <w:b/>
          <w:bCs/>
        </w:rPr>
        <w:t>£1</w:t>
      </w:r>
      <w:r>
        <w:rPr>
          <w:rFonts w:cs="Open Sans"/>
          <w:b/>
          <w:bCs/>
        </w:rPr>
        <w:t xml:space="preserve">2,481,148 (£12.48m) </w:t>
      </w:r>
    </w:p>
    <w:p w14:paraId="110CAC27" w14:textId="02DD1BB8" w:rsidR="0094603C" w:rsidRDefault="00FE6C9D" w:rsidP="002A7EFC">
      <w:pPr>
        <w:rPr>
          <w:rFonts w:cs="Open Sans"/>
        </w:rPr>
      </w:pPr>
      <w:r>
        <w:rPr>
          <w:rFonts w:cs="Open Sans"/>
        </w:rPr>
        <w:t>Total expenditure to support delivery = £</w:t>
      </w:r>
      <w:r w:rsidR="00774C1B">
        <w:rPr>
          <w:rFonts w:cs="Open Sans"/>
        </w:rPr>
        <w:t>4,852,670 (excluding half term delivery)</w:t>
      </w:r>
    </w:p>
    <w:p w14:paraId="7D467366" w14:textId="6CFFB3A1" w:rsidR="002A7EFC" w:rsidRPr="00CE5BF5" w:rsidRDefault="002A7EFC" w:rsidP="002A7EFC">
      <w:pPr>
        <w:rPr>
          <w:rFonts w:cs="Open Sans"/>
          <w:b/>
          <w:bCs/>
        </w:rPr>
      </w:pPr>
      <w:r w:rsidRPr="00CE5BF5">
        <w:rPr>
          <w:rFonts w:cs="Open Sans"/>
          <w:b/>
          <w:bCs/>
        </w:rPr>
        <w:t>Social Return on Investment Ratio = £1:</w:t>
      </w:r>
      <w:r w:rsidR="007D49F3" w:rsidRPr="00CE5BF5">
        <w:rPr>
          <w:rFonts w:cs="Open Sans"/>
          <w:b/>
          <w:bCs/>
        </w:rPr>
        <w:t xml:space="preserve"> 2.</w:t>
      </w:r>
      <w:r w:rsidR="00B16FA0" w:rsidRPr="00CE5BF5">
        <w:rPr>
          <w:rFonts w:cs="Open Sans"/>
          <w:b/>
          <w:bCs/>
        </w:rPr>
        <w:t>57</w:t>
      </w:r>
    </w:p>
    <w:p w14:paraId="2EEC0A66" w14:textId="77777777" w:rsidR="002A7EFC" w:rsidRDefault="002A7EFC" w:rsidP="006D00FD">
      <w:pPr>
        <w:spacing w:before="0" w:after="160"/>
      </w:pPr>
    </w:p>
    <w:p w14:paraId="01301653" w14:textId="77777777" w:rsidR="00E10753" w:rsidRDefault="00E10753" w:rsidP="006D00FD">
      <w:pPr>
        <w:spacing w:before="0" w:after="160"/>
      </w:pPr>
    </w:p>
    <w:p w14:paraId="09E1F35C" w14:textId="77777777" w:rsidR="00E10753" w:rsidRDefault="00E10753" w:rsidP="006D00FD">
      <w:pPr>
        <w:spacing w:before="0" w:after="160"/>
      </w:pPr>
    </w:p>
    <w:p w14:paraId="4320437D" w14:textId="77777777" w:rsidR="00E10753" w:rsidRDefault="00E10753" w:rsidP="006D00FD">
      <w:pPr>
        <w:spacing w:before="0" w:after="160"/>
      </w:pPr>
    </w:p>
    <w:p w14:paraId="27F20B00" w14:textId="77777777" w:rsidR="00E10753" w:rsidRDefault="00E10753" w:rsidP="006D00FD">
      <w:pPr>
        <w:spacing w:before="0" w:after="160"/>
      </w:pPr>
    </w:p>
    <w:p w14:paraId="1B6E1F53" w14:textId="77777777" w:rsidR="00E10753" w:rsidRDefault="00E10753" w:rsidP="006D00FD">
      <w:pPr>
        <w:spacing w:before="0" w:after="160"/>
      </w:pPr>
    </w:p>
    <w:p w14:paraId="258463A7" w14:textId="77777777" w:rsidR="00E10753" w:rsidRDefault="00E10753" w:rsidP="006D00FD">
      <w:pPr>
        <w:spacing w:before="0" w:after="160"/>
      </w:pPr>
    </w:p>
    <w:p w14:paraId="25878F46" w14:textId="77777777" w:rsidR="00E10753" w:rsidRDefault="00E10753" w:rsidP="006D00FD">
      <w:pPr>
        <w:spacing w:before="0" w:after="160"/>
      </w:pPr>
    </w:p>
    <w:p w14:paraId="21622595" w14:textId="77777777" w:rsidR="00E10753" w:rsidRDefault="00E10753" w:rsidP="006D00FD">
      <w:pPr>
        <w:spacing w:before="0" w:after="160"/>
      </w:pPr>
    </w:p>
    <w:p w14:paraId="0FDE37AE" w14:textId="77777777" w:rsidR="00B842F8" w:rsidRDefault="00B842F8">
      <w:pPr>
        <w:spacing w:before="0" w:after="160"/>
        <w:rPr>
          <w:rFonts w:ascii="Lexend SemiBold" w:eastAsiaTheme="majorEastAsia" w:hAnsi="Lexend SemiBold" w:cstheme="majorBidi"/>
          <w:color w:val="01615C"/>
          <w:sz w:val="28"/>
          <w:szCs w:val="26"/>
        </w:rPr>
      </w:pPr>
      <w:r>
        <w:br w:type="page"/>
      </w:r>
    </w:p>
    <w:p w14:paraId="4239D2B5" w14:textId="06E810EE" w:rsidR="00E10753" w:rsidRDefault="00E10753" w:rsidP="00E10753">
      <w:pPr>
        <w:pStyle w:val="Heading2"/>
      </w:pPr>
      <w:r>
        <w:lastRenderedPageBreak/>
        <w:t xml:space="preserve">Appendix 1: Assumptions and Data Sources </w:t>
      </w:r>
    </w:p>
    <w:p w14:paraId="20888F3C" w14:textId="4299AFAD" w:rsidR="002E2EFD" w:rsidRPr="00F32CAB" w:rsidRDefault="002E2EFD" w:rsidP="002E2EFD">
      <w:pPr>
        <w:rPr>
          <w:rFonts w:cs="Open Sans"/>
          <w:color w:val="000000" w:themeColor="text1"/>
        </w:rPr>
      </w:pPr>
      <w:r w:rsidRPr="00F32CAB">
        <w:rPr>
          <w:rFonts w:cs="Open Sans"/>
          <w:color w:val="000000" w:themeColor="text1"/>
        </w:rPr>
        <w:t xml:space="preserve">For the purposes of this report, we have made </w:t>
      </w:r>
      <w:r w:rsidR="00AC3B7A">
        <w:rPr>
          <w:rFonts w:cs="Open Sans"/>
          <w:color w:val="000000" w:themeColor="text1"/>
        </w:rPr>
        <w:t xml:space="preserve">use of </w:t>
      </w:r>
      <w:r w:rsidRPr="00F32CAB">
        <w:rPr>
          <w:rFonts w:cs="Open Sans"/>
          <w:color w:val="000000" w:themeColor="text1"/>
        </w:rPr>
        <w:t>the following assumptions</w:t>
      </w:r>
      <w:r w:rsidR="00AC3B7A">
        <w:rPr>
          <w:rFonts w:cs="Open Sans"/>
          <w:color w:val="000000" w:themeColor="text1"/>
        </w:rPr>
        <w:t xml:space="preserve"> and data</w:t>
      </w:r>
      <w:r w:rsidRPr="00F32CAB">
        <w:rPr>
          <w:rFonts w:cs="Open Sans"/>
          <w:color w:val="000000" w:themeColor="text1"/>
        </w:rPr>
        <w:t>.</w:t>
      </w:r>
    </w:p>
    <w:p w14:paraId="31EBBA61" w14:textId="7CC52E4D" w:rsidR="002E2EFD" w:rsidRPr="00F32CAB" w:rsidRDefault="002E2EFD" w:rsidP="002E2EFD">
      <w:pPr>
        <w:pStyle w:val="Heading2"/>
        <w:rPr>
          <w:rFonts w:ascii="Open Sans" w:hAnsi="Open Sans" w:cs="Open Sans"/>
          <w:b/>
          <w:color w:val="000000" w:themeColor="text1"/>
          <w:sz w:val="22"/>
          <w:szCs w:val="22"/>
        </w:rPr>
      </w:pPr>
      <w:bookmarkStart w:id="0" w:name="_Toc144303789"/>
      <w:r w:rsidRPr="00F32CAB">
        <w:rPr>
          <w:rFonts w:ascii="Open Sans" w:hAnsi="Open Sans" w:cs="Open Sans"/>
          <w:b/>
          <w:color w:val="000000" w:themeColor="text1"/>
          <w:sz w:val="22"/>
          <w:szCs w:val="22"/>
        </w:rPr>
        <w:t>Bas</w:t>
      </w:r>
      <w:r>
        <w:rPr>
          <w:rFonts w:ascii="Open Sans" w:hAnsi="Open Sans" w:cs="Open Sans"/>
          <w:b/>
          <w:color w:val="000000" w:themeColor="text1"/>
          <w:sz w:val="22"/>
          <w:szCs w:val="22"/>
        </w:rPr>
        <w:t>i</w:t>
      </w:r>
      <w:r w:rsidRPr="00F32CAB">
        <w:rPr>
          <w:rFonts w:ascii="Open Sans" w:hAnsi="Open Sans" w:cs="Open Sans"/>
          <w:b/>
          <w:color w:val="000000" w:themeColor="text1"/>
          <w:sz w:val="22"/>
          <w:szCs w:val="22"/>
        </w:rPr>
        <w:t>s Period</w:t>
      </w:r>
      <w:bookmarkEnd w:id="0"/>
    </w:p>
    <w:p w14:paraId="017E3B96" w14:textId="4E245D1F" w:rsidR="002E2EFD" w:rsidRPr="00F32CAB" w:rsidRDefault="002E2EFD" w:rsidP="002E2EFD">
      <w:pPr>
        <w:rPr>
          <w:rFonts w:cs="Open Sans"/>
          <w:color w:val="000000" w:themeColor="text1"/>
        </w:rPr>
      </w:pPr>
      <w:r w:rsidRPr="00F32CAB">
        <w:rPr>
          <w:rFonts w:cs="Open Sans"/>
          <w:color w:val="000000" w:themeColor="text1"/>
        </w:rPr>
        <w:t xml:space="preserve">Valuations are based on three district periods, including the periods of </w:t>
      </w:r>
      <w:proofErr w:type="spellStart"/>
      <w:r w:rsidRPr="00F32CAB">
        <w:rPr>
          <w:rFonts w:cs="Open Sans"/>
          <w:color w:val="000000" w:themeColor="text1"/>
        </w:rPr>
        <w:t>ActivAte’s</w:t>
      </w:r>
      <w:proofErr w:type="spellEnd"/>
      <w:r w:rsidRPr="00F32CAB">
        <w:rPr>
          <w:rFonts w:cs="Open Sans"/>
          <w:color w:val="000000" w:themeColor="text1"/>
        </w:rPr>
        <w:t xml:space="preserve"> holiday provision during 2022 and 2023 and during the Easter 2024 provision.  </w:t>
      </w:r>
    </w:p>
    <w:p w14:paraId="62C08CC8" w14:textId="77777777" w:rsidR="002E2EFD" w:rsidRPr="00F32CAB" w:rsidRDefault="002E2EFD" w:rsidP="002E2EFD">
      <w:pPr>
        <w:pStyle w:val="Heading2"/>
        <w:rPr>
          <w:rFonts w:ascii="Open Sans" w:hAnsi="Open Sans" w:cs="Open Sans"/>
          <w:b/>
          <w:color w:val="000000" w:themeColor="text1"/>
          <w:sz w:val="22"/>
          <w:szCs w:val="22"/>
        </w:rPr>
      </w:pPr>
      <w:bookmarkStart w:id="1" w:name="_Toc144303790"/>
      <w:r w:rsidRPr="00F32CAB">
        <w:rPr>
          <w:rFonts w:ascii="Open Sans" w:hAnsi="Open Sans" w:cs="Open Sans"/>
          <w:b/>
          <w:color w:val="000000" w:themeColor="text1"/>
          <w:sz w:val="22"/>
          <w:szCs w:val="22"/>
        </w:rPr>
        <w:t>Population</w:t>
      </w:r>
      <w:bookmarkEnd w:id="1"/>
    </w:p>
    <w:p w14:paraId="7C9196AC" w14:textId="60AF46BC" w:rsidR="002E2EFD" w:rsidRPr="002E2EFD" w:rsidRDefault="002E2EFD" w:rsidP="002E2EFD">
      <w:pPr>
        <w:rPr>
          <w:rFonts w:cs="Open Sans"/>
          <w:color w:val="000000" w:themeColor="text1"/>
        </w:rPr>
      </w:pPr>
      <w:r w:rsidRPr="00F32CAB">
        <w:rPr>
          <w:rFonts w:cs="Open Sans"/>
          <w:color w:val="000000" w:themeColor="text1"/>
        </w:rPr>
        <w:t xml:space="preserve">The population for the study included participants in the Essex </w:t>
      </w:r>
      <w:proofErr w:type="spellStart"/>
      <w:r w:rsidRPr="00F32CAB">
        <w:rPr>
          <w:rFonts w:cs="Open Sans"/>
          <w:color w:val="000000" w:themeColor="text1"/>
        </w:rPr>
        <w:t>ActivAte</w:t>
      </w:r>
      <w:proofErr w:type="spellEnd"/>
      <w:r w:rsidRPr="00F32CAB">
        <w:rPr>
          <w:rFonts w:cs="Open Sans"/>
          <w:color w:val="000000" w:themeColor="text1"/>
        </w:rPr>
        <w:t xml:space="preserve"> holiday provision for whom attendance records could be identified or verifiably estimated, the participants</w:t>
      </w:r>
      <w:r w:rsidR="007B1CC9">
        <w:rPr>
          <w:rFonts w:cs="Open Sans"/>
          <w:color w:val="000000" w:themeColor="text1"/>
        </w:rPr>
        <w:t>’</w:t>
      </w:r>
      <w:r w:rsidRPr="00F32CAB">
        <w:rPr>
          <w:rFonts w:cs="Open Sans"/>
          <w:color w:val="000000" w:themeColor="text1"/>
        </w:rPr>
        <w:t xml:space="preserve"> </w:t>
      </w:r>
      <w:r w:rsidR="00942F13">
        <w:rPr>
          <w:rFonts w:cs="Open Sans"/>
          <w:color w:val="000000" w:themeColor="text1"/>
        </w:rPr>
        <w:t>families/carers</w:t>
      </w:r>
      <w:r w:rsidRPr="00F32CAB">
        <w:rPr>
          <w:rFonts w:cs="Open Sans"/>
          <w:color w:val="000000" w:themeColor="text1"/>
        </w:rPr>
        <w:t xml:space="preserve"> and the LTOs delivering the programme.</w:t>
      </w:r>
      <w:r w:rsidR="009C2FC8">
        <w:rPr>
          <w:rFonts w:cs="Open Sans"/>
          <w:color w:val="000000" w:themeColor="text1"/>
        </w:rPr>
        <w:t xml:space="preserve"> </w:t>
      </w:r>
      <w:r w:rsidR="008F5E9E">
        <w:rPr>
          <w:rFonts w:cs="Open Sans"/>
          <w:color w:val="000000" w:themeColor="text1"/>
        </w:rPr>
        <w:t>It was assumed that, on average, each family</w:t>
      </w:r>
      <w:r w:rsidR="0054012B">
        <w:rPr>
          <w:rFonts w:cs="Open Sans"/>
          <w:color w:val="000000" w:themeColor="text1"/>
        </w:rPr>
        <w:t xml:space="preserve"> had 1.5 children attending holiday clubs and so the number of participants was divided by 1.5 to estimate the total number of families benefiting from the service to support some of our calculations.</w:t>
      </w:r>
    </w:p>
    <w:p w14:paraId="784E2CDB" w14:textId="77777777" w:rsidR="002E2EFD" w:rsidRPr="00A025A9" w:rsidRDefault="002E2EFD" w:rsidP="002E2EFD">
      <w:pPr>
        <w:pStyle w:val="Heading2"/>
        <w:rPr>
          <w:rFonts w:ascii="Open Sans" w:hAnsi="Open Sans" w:cs="Open Sans"/>
          <w:b/>
          <w:color w:val="000000" w:themeColor="text1"/>
          <w:sz w:val="22"/>
          <w:szCs w:val="22"/>
        </w:rPr>
      </w:pPr>
      <w:bookmarkStart w:id="2" w:name="_Toc144303791"/>
      <w:r w:rsidRPr="00A025A9">
        <w:rPr>
          <w:rFonts w:ascii="Open Sans" w:hAnsi="Open Sans" w:cs="Open Sans"/>
          <w:b/>
          <w:color w:val="000000" w:themeColor="text1"/>
          <w:sz w:val="22"/>
          <w:szCs w:val="22"/>
        </w:rPr>
        <w:t>Deadweight, Discounts</w:t>
      </w:r>
      <w:bookmarkEnd w:id="2"/>
      <w:r w:rsidRPr="00A025A9">
        <w:rPr>
          <w:rFonts w:ascii="Open Sans" w:hAnsi="Open Sans" w:cs="Open Sans"/>
          <w:b/>
          <w:color w:val="000000" w:themeColor="text1"/>
          <w:sz w:val="22"/>
          <w:szCs w:val="22"/>
        </w:rPr>
        <w:t xml:space="preserve"> and Thresholds</w:t>
      </w:r>
    </w:p>
    <w:p w14:paraId="47D9C1C7" w14:textId="7EAFF35C" w:rsidR="002E2EFD" w:rsidRPr="002E2EFD" w:rsidRDefault="002E2EFD" w:rsidP="002E2EFD">
      <w:pPr>
        <w:rPr>
          <w:rFonts w:cs="Open Sans"/>
          <w:color w:val="000000" w:themeColor="text1"/>
        </w:rPr>
      </w:pPr>
      <w:r w:rsidRPr="00A025A9">
        <w:rPr>
          <w:rFonts w:cs="Open Sans"/>
          <w:color w:val="000000" w:themeColor="text1"/>
        </w:rPr>
        <w:t xml:space="preserve">‘Deadweight’ (what would have happened anyway) is accounted for through a discount based on the proportion of participants that would be likely to be involved in other activities if they did not engage with Essex </w:t>
      </w:r>
      <w:proofErr w:type="spellStart"/>
      <w:r w:rsidRPr="00A025A9">
        <w:rPr>
          <w:rFonts w:cs="Open Sans"/>
          <w:color w:val="000000" w:themeColor="text1"/>
        </w:rPr>
        <w:t>ActivAte</w:t>
      </w:r>
      <w:proofErr w:type="spellEnd"/>
      <w:r w:rsidRPr="00A025A9">
        <w:rPr>
          <w:rFonts w:cs="Open Sans"/>
          <w:color w:val="000000" w:themeColor="text1"/>
        </w:rPr>
        <w:t>. Given the inclusion of a physical activity element within the provision, the assumption made is that, without this engagement, the proportion of participants meeting physical activity guidelines would match that for the relevant population group in the county at large. A value is therefore only included for the proportion of participants that would otherwise be defined as ‘</w:t>
      </w:r>
      <w:r w:rsidRPr="009E0400">
        <w:rPr>
          <w:rFonts w:cs="Open Sans"/>
          <w:color w:val="000000" w:themeColor="text1"/>
        </w:rPr>
        <w:t>inactive’.</w:t>
      </w:r>
    </w:p>
    <w:p w14:paraId="07EBBC53" w14:textId="77777777" w:rsidR="002E2EFD" w:rsidRPr="009E0400" w:rsidRDefault="002E2EFD" w:rsidP="002E2EFD">
      <w:pPr>
        <w:pStyle w:val="Heading2"/>
        <w:rPr>
          <w:rFonts w:ascii="Open Sans" w:hAnsi="Open Sans" w:cs="Open Sans"/>
          <w:b/>
          <w:color w:val="000000" w:themeColor="text1"/>
          <w:sz w:val="22"/>
          <w:szCs w:val="22"/>
        </w:rPr>
      </w:pPr>
      <w:bookmarkStart w:id="3" w:name="_Toc144303792"/>
      <w:r w:rsidRPr="009E0400">
        <w:rPr>
          <w:rFonts w:ascii="Open Sans" w:hAnsi="Open Sans" w:cs="Open Sans"/>
          <w:b/>
          <w:color w:val="000000" w:themeColor="text1"/>
          <w:sz w:val="22"/>
          <w:szCs w:val="22"/>
        </w:rPr>
        <w:t>Data</w:t>
      </w:r>
      <w:bookmarkEnd w:id="3"/>
    </w:p>
    <w:p w14:paraId="32C8D744" w14:textId="702B7639" w:rsidR="002E2EFD" w:rsidRPr="009E0400" w:rsidRDefault="002E2EFD" w:rsidP="002E2EFD">
      <w:pPr>
        <w:rPr>
          <w:rFonts w:cs="Open Sans"/>
        </w:rPr>
      </w:pPr>
      <w:r w:rsidRPr="009E0400">
        <w:rPr>
          <w:rFonts w:cs="Open Sans"/>
        </w:rPr>
        <w:t xml:space="preserve">A range of data relating to participants was gathered directly through Essex County Council, including monitoring records and reports as well as via surveys administered amongst LTOs, parents and carers at different times. A more bespoke survey was prepared for the Easter 2024 programme. </w:t>
      </w:r>
    </w:p>
    <w:p w14:paraId="5DF726BD" w14:textId="77777777" w:rsidR="002E2EFD" w:rsidRDefault="002E2EFD" w:rsidP="002E2EFD">
      <w:pPr>
        <w:rPr>
          <w:rFonts w:cs="Open Sans"/>
        </w:rPr>
      </w:pPr>
      <w:r w:rsidRPr="009E0400">
        <w:rPr>
          <w:rFonts w:cs="Open Sans"/>
        </w:rPr>
        <w:t>Further backend data relating to social profiles, health and social condition prevalence and costs was gathered by Substance from public sources, published reports and, where not available directly, from data gathered when applying models with other entities in England</w:t>
      </w:r>
      <w:r>
        <w:rPr>
          <w:rFonts w:cs="Open Sans"/>
        </w:rPr>
        <w:t xml:space="preserve"> as presented in Table</w:t>
      </w:r>
      <w:r w:rsidRPr="009E0400">
        <w:rPr>
          <w:rFonts w:cs="Open Sans"/>
        </w:rPr>
        <w:t xml:space="preserve"> </w:t>
      </w:r>
      <w:r>
        <w:rPr>
          <w:rFonts w:cs="Open Sans"/>
        </w:rPr>
        <w:t>2 below:</w:t>
      </w:r>
    </w:p>
    <w:p w14:paraId="2D11A24A" w14:textId="77777777" w:rsidR="00B8405B" w:rsidRPr="009A5DD4" w:rsidRDefault="00B8405B" w:rsidP="00B8405B">
      <w:pPr>
        <w:pStyle w:val="Heading2"/>
        <w:rPr>
          <w:rFonts w:ascii="Open Sans" w:hAnsi="Open Sans" w:cs="Open Sans"/>
          <w:b/>
          <w:color w:val="000000" w:themeColor="text1"/>
          <w:sz w:val="22"/>
          <w:szCs w:val="22"/>
        </w:rPr>
      </w:pPr>
      <w:r>
        <w:rPr>
          <w:rFonts w:ascii="Open Sans" w:hAnsi="Open Sans" w:cs="Open Sans"/>
          <w:b/>
          <w:color w:val="000000" w:themeColor="text1"/>
          <w:sz w:val="22"/>
          <w:szCs w:val="22"/>
        </w:rPr>
        <w:t>Modelling</w:t>
      </w:r>
    </w:p>
    <w:p w14:paraId="188BBD8A" w14:textId="77777777" w:rsidR="00B8405B" w:rsidRDefault="00B8405B" w:rsidP="00B8405B">
      <w:pPr>
        <w:rPr>
          <w:rFonts w:cs="Open Sans"/>
          <w:highlight w:val="yellow"/>
        </w:rPr>
      </w:pPr>
      <w:r>
        <w:rPr>
          <w:rFonts w:cs="Open Sans"/>
        </w:rPr>
        <w:t xml:space="preserve">For those periods where delivery had taken place prior to the evaluation a degree of modelling was required. Where no data was available for previous periods, data gathered in relation to Easter 2024 (and other periods if available) was used as a proxy with some adjustments applied to account for inflation or other standardised variables. </w:t>
      </w:r>
    </w:p>
    <w:tbl>
      <w:tblPr>
        <w:tblStyle w:val="GridTable4-Accent62"/>
        <w:tblW w:w="9354" w:type="dxa"/>
        <w:tblBorders>
          <w:left w:val="none" w:sz="0" w:space="0" w:color="auto"/>
          <w:right w:val="none" w:sz="0" w:space="0" w:color="auto"/>
        </w:tblBorders>
        <w:tblCellMar>
          <w:top w:w="57" w:type="dxa"/>
          <w:bottom w:w="57" w:type="dxa"/>
        </w:tblCellMar>
        <w:tblLook w:val="04A0" w:firstRow="1" w:lastRow="0" w:firstColumn="1" w:lastColumn="0" w:noHBand="0" w:noVBand="1"/>
      </w:tblPr>
      <w:tblGrid>
        <w:gridCol w:w="2552"/>
        <w:gridCol w:w="3259"/>
        <w:gridCol w:w="1734"/>
        <w:gridCol w:w="1809"/>
      </w:tblGrid>
      <w:tr w:rsidR="003F290C" w:rsidRPr="00AC2CDB" w14:paraId="4C5D45F7" w14:textId="77777777" w:rsidTr="00D2162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4" w:type="dxa"/>
            <w:gridSpan w:val="4"/>
          </w:tcPr>
          <w:p w14:paraId="01BD0B0B" w14:textId="5575B5BF" w:rsidR="003F290C" w:rsidRPr="00AC2CDB" w:rsidRDefault="003F290C" w:rsidP="003F290C">
            <w:pPr>
              <w:spacing w:before="0" w:after="0"/>
              <w:rPr>
                <w:rFonts w:cs="Open Sans"/>
                <w:sz w:val="24"/>
                <w:szCs w:val="24"/>
              </w:rPr>
            </w:pPr>
            <w:r w:rsidRPr="00AC2CDB">
              <w:rPr>
                <w:rFonts w:cs="Open Sans"/>
                <w:sz w:val="24"/>
                <w:szCs w:val="24"/>
              </w:rPr>
              <w:lastRenderedPageBreak/>
              <w:t xml:space="preserve">Table </w:t>
            </w:r>
            <w:r w:rsidR="00AC2CDB">
              <w:rPr>
                <w:rFonts w:cs="Open Sans"/>
                <w:sz w:val="24"/>
                <w:szCs w:val="24"/>
              </w:rPr>
              <w:t>5</w:t>
            </w:r>
            <w:r w:rsidRPr="00AC2CDB">
              <w:rPr>
                <w:rFonts w:cs="Open Sans"/>
                <w:sz w:val="24"/>
                <w:szCs w:val="24"/>
              </w:rPr>
              <w:t xml:space="preserve">: Data and Sources </w:t>
            </w:r>
          </w:p>
        </w:tc>
      </w:tr>
      <w:tr w:rsidR="00AC2CDB" w:rsidRPr="00AC2CDB" w14:paraId="2EC744E3" w14:textId="77777777" w:rsidTr="00AC2CD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54" w:type="dxa"/>
            <w:gridSpan w:val="4"/>
          </w:tcPr>
          <w:p w14:paraId="3151EB93" w14:textId="77777777" w:rsidR="003F290C" w:rsidRPr="00AC2CDB" w:rsidRDefault="003F290C" w:rsidP="003F290C">
            <w:pPr>
              <w:spacing w:before="0" w:after="0"/>
              <w:rPr>
                <w:rFonts w:eastAsia="Yu Mincho" w:cs="Open Sans"/>
                <w:b/>
                <w:color w:val="06625D"/>
                <w:sz w:val="24"/>
                <w:szCs w:val="24"/>
                <w:lang w:val="en-US"/>
              </w:rPr>
            </w:pPr>
            <w:r w:rsidRPr="00AC2CDB">
              <w:rPr>
                <w:rFonts w:eastAsia="Yu Mincho" w:cs="Open Sans"/>
                <w:b/>
                <w:color w:val="06625D"/>
                <w:sz w:val="24"/>
                <w:szCs w:val="24"/>
                <w:lang w:val="en-US"/>
              </w:rPr>
              <w:t>Health and Wellbeing Outcomes</w:t>
            </w:r>
          </w:p>
        </w:tc>
      </w:tr>
      <w:tr w:rsidR="0099402D" w:rsidRPr="0099402D" w14:paraId="040368C7" w14:textId="77777777" w:rsidTr="0099402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54" w:type="dxa"/>
            <w:gridSpan w:val="4"/>
            <w:shd w:val="clear" w:color="auto" w:fill="06625D"/>
          </w:tcPr>
          <w:p w14:paraId="2DAA942E" w14:textId="77777777" w:rsidR="003F290C" w:rsidRPr="0099402D" w:rsidRDefault="003F290C" w:rsidP="003F290C">
            <w:pPr>
              <w:spacing w:before="0" w:after="0"/>
              <w:rPr>
                <w:rFonts w:eastAsia="Yu Mincho" w:cs="Open Sans"/>
                <w:color w:val="EEF4F4"/>
                <w:lang w:val="en-US"/>
              </w:rPr>
            </w:pPr>
            <w:r w:rsidRPr="0099402D">
              <w:rPr>
                <w:rFonts w:eastAsia="Yu Mincho" w:cs="Open Sans"/>
                <w:color w:val="EEF4F4"/>
                <w:lang w:val="en-US"/>
              </w:rPr>
              <w:t>Risk and Protective Factors Related Measures</w:t>
            </w:r>
          </w:p>
        </w:tc>
      </w:tr>
      <w:tr w:rsidR="00A15145" w:rsidRPr="00A15145" w14:paraId="67E775CC" w14:textId="77777777" w:rsidTr="00A1514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Borders>
              <w:bottom w:val="single" w:sz="12" w:space="0" w:color="01615C"/>
            </w:tcBorders>
          </w:tcPr>
          <w:p w14:paraId="11D75963" w14:textId="77777777" w:rsidR="003F290C" w:rsidRPr="00A15145" w:rsidRDefault="003F290C" w:rsidP="003F290C">
            <w:pPr>
              <w:spacing w:before="0" w:after="0"/>
              <w:rPr>
                <w:rFonts w:eastAsia="Yu Mincho" w:cs="Open Sans"/>
                <w:b/>
                <w:bCs w:val="0"/>
                <w:color w:val="06625D"/>
                <w:lang w:val="en-US"/>
              </w:rPr>
            </w:pPr>
            <w:r w:rsidRPr="00A15145">
              <w:rPr>
                <w:rFonts w:eastAsia="Yu Mincho" w:cs="Open Sans"/>
                <w:b/>
                <w:bCs w:val="0"/>
                <w:color w:val="06625D"/>
                <w:lang w:val="en-US"/>
              </w:rPr>
              <w:t>Outcome</w:t>
            </w:r>
          </w:p>
        </w:tc>
        <w:tc>
          <w:tcPr>
            <w:tcW w:w="3259" w:type="dxa"/>
            <w:tcBorders>
              <w:bottom w:val="single" w:sz="12" w:space="0" w:color="01615C"/>
            </w:tcBorders>
          </w:tcPr>
          <w:p w14:paraId="0D8CDC32" w14:textId="77777777" w:rsidR="003F290C" w:rsidRPr="00A15145" w:rsidRDefault="003F290C"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b/>
                <w:color w:val="06625D"/>
                <w:lang w:val="en-US"/>
              </w:rPr>
            </w:pPr>
            <w:r w:rsidRPr="00A15145">
              <w:rPr>
                <w:rFonts w:eastAsia="Yu Mincho" w:cs="Open Sans"/>
                <w:b/>
                <w:color w:val="06625D"/>
                <w:lang w:val="en-US"/>
              </w:rPr>
              <w:t>Risk</w:t>
            </w:r>
          </w:p>
        </w:tc>
        <w:tc>
          <w:tcPr>
            <w:tcW w:w="1734" w:type="dxa"/>
            <w:tcBorders>
              <w:bottom w:val="single" w:sz="12" w:space="0" w:color="01615C"/>
            </w:tcBorders>
          </w:tcPr>
          <w:p w14:paraId="6FE82A9A" w14:textId="77777777" w:rsidR="003F290C" w:rsidRPr="00A15145" w:rsidRDefault="003F290C"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b/>
                <w:color w:val="06625D"/>
                <w:lang w:val="en-US"/>
              </w:rPr>
            </w:pPr>
            <w:r w:rsidRPr="00A15145">
              <w:rPr>
                <w:rFonts w:eastAsia="Yu Mincho" w:cs="Open Sans"/>
                <w:b/>
                <w:color w:val="06625D"/>
                <w:lang w:val="en-US"/>
              </w:rPr>
              <w:t>Effect</w:t>
            </w:r>
          </w:p>
        </w:tc>
        <w:tc>
          <w:tcPr>
            <w:tcW w:w="1809" w:type="dxa"/>
            <w:tcBorders>
              <w:bottom w:val="single" w:sz="12" w:space="0" w:color="01615C"/>
            </w:tcBorders>
          </w:tcPr>
          <w:p w14:paraId="38B737E1" w14:textId="77777777" w:rsidR="003F290C" w:rsidRPr="00A15145" w:rsidRDefault="003F290C"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b/>
                <w:color w:val="06625D"/>
                <w:lang w:val="en-US"/>
              </w:rPr>
            </w:pPr>
            <w:r w:rsidRPr="00A15145">
              <w:rPr>
                <w:rFonts w:eastAsia="Yu Mincho" w:cs="Open Sans"/>
                <w:b/>
                <w:color w:val="06625D"/>
                <w:lang w:val="en-US"/>
              </w:rPr>
              <w:t>Cost</w:t>
            </w:r>
          </w:p>
        </w:tc>
      </w:tr>
      <w:tr w:rsidR="003F290C" w:rsidRPr="003F290C" w14:paraId="411E5676" w14:textId="77777777" w:rsidTr="00D302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Borders>
              <w:top w:val="single" w:sz="12" w:space="0" w:color="01615C"/>
            </w:tcBorders>
            <w:vAlign w:val="top"/>
          </w:tcPr>
          <w:p w14:paraId="359F02C1" w14:textId="77777777" w:rsidR="003F290C" w:rsidRPr="003F290C" w:rsidRDefault="003F290C" w:rsidP="003F290C">
            <w:pPr>
              <w:spacing w:before="0" w:after="0"/>
              <w:rPr>
                <w:rFonts w:eastAsia="Yu Mincho" w:cs="Open Sans"/>
                <w:lang w:val="en-US"/>
              </w:rPr>
            </w:pPr>
            <w:r w:rsidRPr="003F290C">
              <w:rPr>
                <w:rFonts w:eastAsia="Yu Mincho" w:cs="Open Sans"/>
                <w:lang w:val="en-US"/>
              </w:rPr>
              <w:t>Hypertension</w:t>
            </w:r>
          </w:p>
        </w:tc>
        <w:tc>
          <w:tcPr>
            <w:tcW w:w="3259" w:type="dxa"/>
            <w:tcBorders>
              <w:top w:val="single" w:sz="12" w:space="0" w:color="01615C"/>
            </w:tcBorders>
          </w:tcPr>
          <w:p w14:paraId="30397251" w14:textId="77777777" w:rsidR="003F290C" w:rsidRPr="003F290C" w:rsidRDefault="003F290C"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r w:rsidRPr="003F290C">
              <w:rPr>
                <w:rFonts w:eastAsia="Yu Mincho" w:cs="Open Sans"/>
                <w:lang w:val="en-US"/>
              </w:rPr>
              <w:t>19.06%m/13.25%f</w:t>
            </w:r>
          </w:p>
        </w:tc>
        <w:tc>
          <w:tcPr>
            <w:tcW w:w="1734" w:type="dxa"/>
            <w:tcBorders>
              <w:top w:val="single" w:sz="12" w:space="0" w:color="01615C"/>
            </w:tcBorders>
            <w:vAlign w:val="top"/>
          </w:tcPr>
          <w:p w14:paraId="26E35CDA" w14:textId="77777777" w:rsidR="003F290C" w:rsidRPr="003F290C" w:rsidRDefault="003F290C"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r w:rsidRPr="003F290C">
              <w:rPr>
                <w:rFonts w:eastAsia="Yu Mincho" w:cs="Open Sans"/>
                <w:lang w:val="en-US"/>
              </w:rPr>
              <w:t>50%</w:t>
            </w:r>
          </w:p>
        </w:tc>
        <w:tc>
          <w:tcPr>
            <w:tcW w:w="1809" w:type="dxa"/>
            <w:tcBorders>
              <w:top w:val="single" w:sz="12" w:space="0" w:color="01615C"/>
            </w:tcBorders>
            <w:vAlign w:val="top"/>
          </w:tcPr>
          <w:p w14:paraId="7B6DDF59" w14:textId="77777777" w:rsidR="003F290C" w:rsidRPr="003F290C" w:rsidRDefault="003F290C"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r w:rsidRPr="003F290C">
              <w:rPr>
                <w:rFonts w:eastAsia="Yu Mincho" w:cs="Open Sans"/>
                <w:lang w:val="en-US"/>
              </w:rPr>
              <w:t>£4,238.56</w:t>
            </w:r>
          </w:p>
        </w:tc>
      </w:tr>
      <w:tr w:rsidR="003F290C" w:rsidRPr="003F290C" w14:paraId="09346C6A" w14:textId="77777777" w:rsidTr="00D302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Borders>
              <w:bottom w:val="single" w:sz="12" w:space="0" w:color="01615C"/>
            </w:tcBorders>
            <w:vAlign w:val="top"/>
          </w:tcPr>
          <w:p w14:paraId="43E7D3E5" w14:textId="77777777" w:rsidR="003F290C" w:rsidRPr="003F290C" w:rsidRDefault="003F290C" w:rsidP="003F290C">
            <w:pPr>
              <w:spacing w:before="0" w:after="0"/>
              <w:rPr>
                <w:rFonts w:eastAsia="Yu Mincho" w:cs="Open Sans"/>
                <w:lang w:val="en-US"/>
              </w:rPr>
            </w:pPr>
            <w:r w:rsidRPr="003F290C">
              <w:rPr>
                <w:rFonts w:eastAsia="Yu Mincho" w:cs="Open Sans"/>
                <w:lang w:val="en-US"/>
              </w:rPr>
              <w:t>Sources</w:t>
            </w:r>
          </w:p>
        </w:tc>
        <w:tc>
          <w:tcPr>
            <w:tcW w:w="3259" w:type="dxa"/>
            <w:tcBorders>
              <w:bottom w:val="single" w:sz="12" w:space="0" w:color="01615C"/>
            </w:tcBorders>
          </w:tcPr>
          <w:p w14:paraId="2FB8C8AA" w14:textId="77777777" w:rsidR="003F290C" w:rsidRPr="003F290C" w:rsidRDefault="00EC054E"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hyperlink r:id="rId21" w:history="1">
              <w:r w:rsidR="003F290C" w:rsidRPr="003F290C">
                <w:rPr>
                  <w:rFonts w:eastAsia="Yu Mincho" w:cs="Open Sans"/>
                  <w:color w:val="0000FF"/>
                  <w:u w:val="single"/>
                  <w:lang w:val="en-US"/>
                </w:rPr>
                <w:t>EHN</w:t>
              </w:r>
            </w:hyperlink>
            <w:r w:rsidR="003F290C" w:rsidRPr="003F290C">
              <w:rPr>
                <w:rFonts w:eastAsia="Yu Mincho" w:cs="Open Sans"/>
                <w:lang w:val="en-US"/>
              </w:rPr>
              <w:t xml:space="preserve"> - adjusted</w:t>
            </w:r>
          </w:p>
        </w:tc>
        <w:tc>
          <w:tcPr>
            <w:tcW w:w="1734" w:type="dxa"/>
            <w:tcBorders>
              <w:bottom w:val="single" w:sz="12" w:space="0" w:color="01615C"/>
            </w:tcBorders>
            <w:vAlign w:val="top"/>
          </w:tcPr>
          <w:p w14:paraId="5EF6FEBE" w14:textId="77777777" w:rsidR="003F290C" w:rsidRPr="003F290C" w:rsidRDefault="00EC054E"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hyperlink r:id="rId22" w:history="1">
              <w:r w:rsidR="003F290C" w:rsidRPr="003F290C">
                <w:rPr>
                  <w:rFonts w:eastAsia="Yu Mincho" w:cs="Open Sans"/>
                  <w:color w:val="0000FF"/>
                  <w:u w:val="single"/>
                  <w:lang w:val="en-US"/>
                </w:rPr>
                <w:t>AOMRC</w:t>
              </w:r>
            </w:hyperlink>
          </w:p>
        </w:tc>
        <w:tc>
          <w:tcPr>
            <w:tcW w:w="1809" w:type="dxa"/>
            <w:tcBorders>
              <w:bottom w:val="single" w:sz="12" w:space="0" w:color="01615C"/>
            </w:tcBorders>
            <w:vAlign w:val="top"/>
          </w:tcPr>
          <w:p w14:paraId="4497A8D2" w14:textId="77777777" w:rsidR="003F290C" w:rsidRPr="003F290C" w:rsidRDefault="00EC054E"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hyperlink r:id="rId23" w:history="1">
              <w:r w:rsidR="003F290C" w:rsidRPr="003F290C">
                <w:rPr>
                  <w:rFonts w:eastAsia="Yu Mincho" w:cs="Open Sans"/>
                  <w:color w:val="0000FF"/>
                  <w:u w:val="single"/>
                  <w:lang w:val="en-US"/>
                </w:rPr>
                <w:t>EJHE</w:t>
              </w:r>
            </w:hyperlink>
          </w:p>
        </w:tc>
      </w:tr>
      <w:tr w:rsidR="003F290C" w:rsidRPr="003F290C" w14:paraId="79E966B9" w14:textId="77777777" w:rsidTr="00D302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Borders>
              <w:top w:val="single" w:sz="12" w:space="0" w:color="01615C"/>
            </w:tcBorders>
            <w:vAlign w:val="top"/>
          </w:tcPr>
          <w:p w14:paraId="3B2FD61B" w14:textId="77777777" w:rsidR="003F290C" w:rsidRPr="003F290C" w:rsidRDefault="003F290C" w:rsidP="003F290C">
            <w:pPr>
              <w:spacing w:before="0" w:after="0"/>
              <w:rPr>
                <w:rFonts w:eastAsia="Yu Mincho" w:cs="Open Sans"/>
                <w:lang w:val="en-US"/>
              </w:rPr>
            </w:pPr>
            <w:r w:rsidRPr="003F290C">
              <w:rPr>
                <w:rFonts w:eastAsia="Yu Mincho" w:cs="Open Sans"/>
                <w:lang w:val="en-US"/>
              </w:rPr>
              <w:t>Ischemic heart disease</w:t>
            </w:r>
          </w:p>
        </w:tc>
        <w:tc>
          <w:tcPr>
            <w:tcW w:w="3259" w:type="dxa"/>
            <w:tcBorders>
              <w:top w:val="single" w:sz="12" w:space="0" w:color="01615C"/>
            </w:tcBorders>
          </w:tcPr>
          <w:p w14:paraId="35359B1B" w14:textId="77777777" w:rsidR="003F290C" w:rsidRPr="003F290C" w:rsidRDefault="003F290C"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r w:rsidRPr="003F290C">
              <w:rPr>
                <w:rFonts w:eastAsia="Yu Mincho" w:cs="Open Sans"/>
                <w:lang w:val="en-US"/>
              </w:rPr>
              <w:t>2.93%m/1.33%f</w:t>
            </w:r>
          </w:p>
        </w:tc>
        <w:tc>
          <w:tcPr>
            <w:tcW w:w="1734" w:type="dxa"/>
            <w:tcBorders>
              <w:top w:val="single" w:sz="12" w:space="0" w:color="01615C"/>
            </w:tcBorders>
            <w:vAlign w:val="top"/>
          </w:tcPr>
          <w:p w14:paraId="648C37B8" w14:textId="77777777" w:rsidR="003F290C" w:rsidRPr="003F290C" w:rsidRDefault="003F290C"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r w:rsidRPr="003F290C">
              <w:rPr>
                <w:rFonts w:eastAsia="Yu Mincho" w:cs="Open Sans"/>
                <w:lang w:val="en-US"/>
              </w:rPr>
              <w:t>40%</w:t>
            </w:r>
          </w:p>
        </w:tc>
        <w:tc>
          <w:tcPr>
            <w:tcW w:w="1809" w:type="dxa"/>
            <w:tcBorders>
              <w:top w:val="single" w:sz="12" w:space="0" w:color="01615C"/>
            </w:tcBorders>
            <w:vAlign w:val="top"/>
          </w:tcPr>
          <w:p w14:paraId="724270AC" w14:textId="77777777" w:rsidR="003F290C" w:rsidRPr="003F290C" w:rsidRDefault="003F290C"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r w:rsidRPr="003F290C">
              <w:rPr>
                <w:rFonts w:eastAsia="Yu Mincho" w:cs="Open Sans"/>
                <w:lang w:val="en-US"/>
              </w:rPr>
              <w:t>£2,140.14</w:t>
            </w:r>
          </w:p>
        </w:tc>
      </w:tr>
      <w:tr w:rsidR="003F290C" w:rsidRPr="003F290C" w14:paraId="5CC069CF" w14:textId="77777777" w:rsidTr="00D302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Borders>
              <w:bottom w:val="single" w:sz="12" w:space="0" w:color="01615C"/>
            </w:tcBorders>
            <w:vAlign w:val="top"/>
          </w:tcPr>
          <w:p w14:paraId="0A16CB4F" w14:textId="77777777" w:rsidR="003F290C" w:rsidRPr="003F290C" w:rsidRDefault="003F290C" w:rsidP="003F290C">
            <w:pPr>
              <w:spacing w:before="0" w:after="0"/>
              <w:rPr>
                <w:rFonts w:eastAsia="Yu Mincho" w:cs="Open Sans"/>
                <w:lang w:val="en-US"/>
              </w:rPr>
            </w:pPr>
            <w:r w:rsidRPr="003F290C">
              <w:rPr>
                <w:rFonts w:eastAsia="Yu Mincho" w:cs="Open Sans"/>
                <w:lang w:val="en-US"/>
              </w:rPr>
              <w:t>Sources</w:t>
            </w:r>
          </w:p>
        </w:tc>
        <w:tc>
          <w:tcPr>
            <w:tcW w:w="3259" w:type="dxa"/>
            <w:tcBorders>
              <w:bottom w:val="single" w:sz="12" w:space="0" w:color="01615C"/>
            </w:tcBorders>
          </w:tcPr>
          <w:p w14:paraId="2782522B" w14:textId="77777777" w:rsidR="003F290C" w:rsidRPr="003F290C" w:rsidRDefault="00EC054E"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hyperlink r:id="rId24" w:history="1">
              <w:r w:rsidR="003F290C" w:rsidRPr="003F290C">
                <w:rPr>
                  <w:rFonts w:eastAsia="Yu Mincho" w:cs="Open Sans"/>
                  <w:color w:val="0000FF"/>
                  <w:u w:val="single"/>
                  <w:lang w:val="en-US"/>
                </w:rPr>
                <w:t>EHN</w:t>
              </w:r>
            </w:hyperlink>
            <w:r w:rsidR="003F290C" w:rsidRPr="003F290C">
              <w:rPr>
                <w:rFonts w:eastAsia="Yu Mincho" w:cs="Open Sans"/>
                <w:lang w:val="en-US"/>
              </w:rPr>
              <w:t xml:space="preserve"> - adjusted</w:t>
            </w:r>
          </w:p>
        </w:tc>
        <w:tc>
          <w:tcPr>
            <w:tcW w:w="1734" w:type="dxa"/>
            <w:tcBorders>
              <w:bottom w:val="single" w:sz="12" w:space="0" w:color="01615C"/>
            </w:tcBorders>
            <w:vAlign w:val="top"/>
          </w:tcPr>
          <w:p w14:paraId="4D970580" w14:textId="77777777" w:rsidR="003F290C" w:rsidRPr="003F290C" w:rsidRDefault="00EC054E"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hyperlink r:id="rId25" w:history="1">
              <w:r w:rsidR="003F290C" w:rsidRPr="003F290C">
                <w:rPr>
                  <w:rFonts w:eastAsia="Yu Mincho" w:cs="Open Sans"/>
                  <w:color w:val="0000FF"/>
                  <w:u w:val="single"/>
                  <w:lang w:val="en-US"/>
                </w:rPr>
                <w:t>AOMRC</w:t>
              </w:r>
            </w:hyperlink>
          </w:p>
        </w:tc>
        <w:tc>
          <w:tcPr>
            <w:tcW w:w="1809" w:type="dxa"/>
            <w:tcBorders>
              <w:bottom w:val="single" w:sz="12" w:space="0" w:color="01615C"/>
            </w:tcBorders>
          </w:tcPr>
          <w:p w14:paraId="35BADD16" w14:textId="77777777" w:rsidR="003F290C" w:rsidRPr="003F290C" w:rsidRDefault="00EC054E"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hyperlink r:id="rId26" w:history="1">
              <w:r w:rsidR="003F290C" w:rsidRPr="003F290C">
                <w:rPr>
                  <w:rFonts w:eastAsia="Yu Mincho" w:cs="Open Sans"/>
                  <w:color w:val="0000FF"/>
                  <w:u w:val="single"/>
                  <w:lang w:val="en-US"/>
                </w:rPr>
                <w:t>EHN</w:t>
              </w:r>
            </w:hyperlink>
            <w:r w:rsidR="003F290C" w:rsidRPr="003F290C">
              <w:rPr>
                <w:rFonts w:eastAsia="Yu Mincho" w:cs="Open Sans"/>
                <w:lang w:val="en-US"/>
              </w:rPr>
              <w:t xml:space="preserve"> - adjusted</w:t>
            </w:r>
          </w:p>
        </w:tc>
      </w:tr>
      <w:tr w:rsidR="003F290C" w:rsidRPr="003F290C" w14:paraId="03E97978" w14:textId="77777777" w:rsidTr="00D302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Borders>
              <w:top w:val="single" w:sz="12" w:space="0" w:color="01615C"/>
            </w:tcBorders>
            <w:vAlign w:val="top"/>
          </w:tcPr>
          <w:p w14:paraId="5CA81BB7" w14:textId="77777777" w:rsidR="003F290C" w:rsidRPr="003F290C" w:rsidRDefault="003F290C" w:rsidP="003F290C">
            <w:pPr>
              <w:spacing w:before="0" w:after="0"/>
              <w:rPr>
                <w:rFonts w:eastAsia="Yu Mincho" w:cs="Open Sans"/>
                <w:lang w:val="en-US"/>
              </w:rPr>
            </w:pPr>
            <w:r w:rsidRPr="003F290C">
              <w:rPr>
                <w:rFonts w:eastAsia="Yu Mincho" w:cs="Open Sans"/>
                <w:lang w:val="en-US"/>
              </w:rPr>
              <w:t>Stroke</w:t>
            </w:r>
          </w:p>
        </w:tc>
        <w:tc>
          <w:tcPr>
            <w:tcW w:w="3259" w:type="dxa"/>
            <w:tcBorders>
              <w:top w:val="single" w:sz="12" w:space="0" w:color="01615C"/>
            </w:tcBorders>
          </w:tcPr>
          <w:p w14:paraId="383C1C70" w14:textId="77777777" w:rsidR="003F290C" w:rsidRPr="003F290C" w:rsidRDefault="003F290C"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r w:rsidRPr="003F290C">
              <w:rPr>
                <w:rFonts w:eastAsia="Yu Mincho" w:cs="Open Sans"/>
                <w:lang w:val="en-US"/>
              </w:rPr>
              <w:t>0.93%m/0.86%f</w:t>
            </w:r>
          </w:p>
        </w:tc>
        <w:tc>
          <w:tcPr>
            <w:tcW w:w="1734" w:type="dxa"/>
            <w:tcBorders>
              <w:top w:val="single" w:sz="12" w:space="0" w:color="01615C"/>
            </w:tcBorders>
            <w:vAlign w:val="top"/>
          </w:tcPr>
          <w:p w14:paraId="751BD02C" w14:textId="77777777" w:rsidR="003F290C" w:rsidRPr="003F290C" w:rsidRDefault="003F290C"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r w:rsidRPr="003F290C">
              <w:rPr>
                <w:rFonts w:eastAsia="Yu Mincho" w:cs="Open Sans"/>
                <w:lang w:val="en-US"/>
              </w:rPr>
              <w:t>30%</w:t>
            </w:r>
          </w:p>
        </w:tc>
        <w:tc>
          <w:tcPr>
            <w:tcW w:w="1809" w:type="dxa"/>
            <w:tcBorders>
              <w:top w:val="single" w:sz="12" w:space="0" w:color="01615C"/>
            </w:tcBorders>
            <w:vAlign w:val="top"/>
          </w:tcPr>
          <w:p w14:paraId="470E1FDF" w14:textId="77777777" w:rsidR="003F290C" w:rsidRPr="003F290C" w:rsidRDefault="003F290C"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r w:rsidRPr="003F290C">
              <w:rPr>
                <w:rFonts w:eastAsia="Yu Mincho" w:cs="Open Sans"/>
                <w:lang w:val="en-US"/>
              </w:rPr>
              <w:t>£10,213.37</w:t>
            </w:r>
          </w:p>
        </w:tc>
      </w:tr>
      <w:tr w:rsidR="003F290C" w:rsidRPr="003F290C" w14:paraId="5FCCA3C9" w14:textId="77777777" w:rsidTr="00D302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Borders>
              <w:bottom w:val="single" w:sz="12" w:space="0" w:color="01615C"/>
            </w:tcBorders>
            <w:vAlign w:val="top"/>
          </w:tcPr>
          <w:p w14:paraId="2EE5A0B3" w14:textId="77777777" w:rsidR="003F290C" w:rsidRPr="003F290C" w:rsidRDefault="003F290C" w:rsidP="003F290C">
            <w:pPr>
              <w:spacing w:before="0" w:after="0"/>
              <w:rPr>
                <w:rFonts w:eastAsia="Yu Mincho" w:cs="Open Sans"/>
                <w:lang w:val="en-US"/>
              </w:rPr>
            </w:pPr>
            <w:r w:rsidRPr="003F290C">
              <w:rPr>
                <w:rFonts w:eastAsia="Yu Mincho" w:cs="Open Sans"/>
                <w:lang w:val="en-US"/>
              </w:rPr>
              <w:t>Sources</w:t>
            </w:r>
          </w:p>
        </w:tc>
        <w:tc>
          <w:tcPr>
            <w:tcW w:w="3259" w:type="dxa"/>
            <w:tcBorders>
              <w:bottom w:val="single" w:sz="12" w:space="0" w:color="01615C"/>
            </w:tcBorders>
          </w:tcPr>
          <w:p w14:paraId="3A52BE08" w14:textId="77777777" w:rsidR="003F290C" w:rsidRPr="003F290C" w:rsidRDefault="00EC054E"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hyperlink r:id="rId27" w:history="1">
              <w:r w:rsidR="003F290C" w:rsidRPr="003F290C">
                <w:rPr>
                  <w:rFonts w:eastAsia="Yu Mincho" w:cs="Open Sans"/>
                  <w:color w:val="0000FF"/>
                  <w:u w:val="single"/>
                  <w:lang w:val="en-US"/>
                </w:rPr>
                <w:t>EHN</w:t>
              </w:r>
            </w:hyperlink>
            <w:r w:rsidR="003F290C" w:rsidRPr="003F290C">
              <w:rPr>
                <w:rFonts w:eastAsia="Yu Mincho" w:cs="Open Sans"/>
                <w:lang w:val="en-US"/>
              </w:rPr>
              <w:t xml:space="preserve"> - adjusted</w:t>
            </w:r>
          </w:p>
        </w:tc>
        <w:tc>
          <w:tcPr>
            <w:tcW w:w="1734" w:type="dxa"/>
            <w:tcBorders>
              <w:bottom w:val="single" w:sz="12" w:space="0" w:color="01615C"/>
            </w:tcBorders>
            <w:vAlign w:val="top"/>
          </w:tcPr>
          <w:p w14:paraId="13510BEE" w14:textId="77777777" w:rsidR="003F290C" w:rsidRPr="003F290C" w:rsidRDefault="00EC054E"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hyperlink r:id="rId28" w:history="1">
              <w:r w:rsidR="003F290C" w:rsidRPr="003F290C">
                <w:rPr>
                  <w:rFonts w:eastAsia="Yu Mincho" w:cs="Open Sans"/>
                  <w:color w:val="0000FF"/>
                  <w:u w:val="single"/>
                  <w:lang w:val="en-US"/>
                </w:rPr>
                <w:t>AOMRC</w:t>
              </w:r>
            </w:hyperlink>
          </w:p>
        </w:tc>
        <w:tc>
          <w:tcPr>
            <w:tcW w:w="1809" w:type="dxa"/>
            <w:tcBorders>
              <w:bottom w:val="single" w:sz="12" w:space="0" w:color="01615C"/>
            </w:tcBorders>
          </w:tcPr>
          <w:p w14:paraId="274366D4" w14:textId="77777777" w:rsidR="003F290C" w:rsidRPr="003F290C" w:rsidRDefault="00EC054E"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hyperlink r:id="rId29" w:history="1">
              <w:r w:rsidR="003F290C" w:rsidRPr="003F290C">
                <w:rPr>
                  <w:rFonts w:eastAsia="Yu Mincho" w:cs="Open Sans"/>
                  <w:color w:val="0000FF"/>
                  <w:u w:val="single"/>
                  <w:lang w:val="en-US"/>
                </w:rPr>
                <w:t>EHN</w:t>
              </w:r>
            </w:hyperlink>
            <w:r w:rsidR="003F290C" w:rsidRPr="003F290C">
              <w:rPr>
                <w:rFonts w:eastAsia="Yu Mincho" w:cs="Open Sans"/>
                <w:lang w:val="en-US"/>
              </w:rPr>
              <w:t xml:space="preserve"> - adjusted</w:t>
            </w:r>
          </w:p>
        </w:tc>
      </w:tr>
      <w:tr w:rsidR="003F290C" w:rsidRPr="003F290C" w14:paraId="3C4D3012" w14:textId="77777777" w:rsidTr="00D302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Borders>
              <w:top w:val="single" w:sz="12" w:space="0" w:color="01615C"/>
            </w:tcBorders>
            <w:vAlign w:val="top"/>
          </w:tcPr>
          <w:p w14:paraId="48B44EE1" w14:textId="77777777" w:rsidR="003F290C" w:rsidRPr="003F290C" w:rsidRDefault="003F290C" w:rsidP="003F290C">
            <w:pPr>
              <w:spacing w:before="0" w:after="0"/>
              <w:rPr>
                <w:rFonts w:eastAsia="Yu Mincho" w:cs="Open Sans"/>
                <w:lang w:val="en-US"/>
              </w:rPr>
            </w:pPr>
            <w:r w:rsidRPr="003F290C">
              <w:rPr>
                <w:rFonts w:eastAsia="Yu Mincho" w:cs="Open Sans"/>
                <w:lang w:val="en-US"/>
              </w:rPr>
              <w:t>Diabetes</w:t>
            </w:r>
          </w:p>
        </w:tc>
        <w:tc>
          <w:tcPr>
            <w:tcW w:w="3259" w:type="dxa"/>
            <w:tcBorders>
              <w:top w:val="single" w:sz="12" w:space="0" w:color="01615C"/>
            </w:tcBorders>
          </w:tcPr>
          <w:p w14:paraId="4842E70D" w14:textId="77777777" w:rsidR="003F290C" w:rsidRPr="003F290C" w:rsidRDefault="003F290C"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r w:rsidRPr="003F290C">
              <w:rPr>
                <w:rFonts w:eastAsia="Yu Mincho" w:cs="Open Sans"/>
                <w:lang w:val="en-US"/>
              </w:rPr>
              <w:t xml:space="preserve">12.09%m/9.93%f </w:t>
            </w:r>
          </w:p>
        </w:tc>
        <w:tc>
          <w:tcPr>
            <w:tcW w:w="1734" w:type="dxa"/>
            <w:tcBorders>
              <w:top w:val="single" w:sz="12" w:space="0" w:color="01615C"/>
            </w:tcBorders>
            <w:vAlign w:val="top"/>
          </w:tcPr>
          <w:p w14:paraId="49A6CB58" w14:textId="77777777" w:rsidR="003F290C" w:rsidRPr="003F290C" w:rsidRDefault="003F290C"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r w:rsidRPr="003F290C">
              <w:rPr>
                <w:rFonts w:eastAsia="Yu Mincho" w:cs="Open Sans"/>
                <w:lang w:val="en-US"/>
              </w:rPr>
              <w:t>50%</w:t>
            </w:r>
          </w:p>
        </w:tc>
        <w:tc>
          <w:tcPr>
            <w:tcW w:w="1809" w:type="dxa"/>
            <w:tcBorders>
              <w:top w:val="single" w:sz="12" w:space="0" w:color="01615C"/>
            </w:tcBorders>
            <w:vAlign w:val="top"/>
          </w:tcPr>
          <w:p w14:paraId="1ED3BED8" w14:textId="77777777" w:rsidR="003F290C" w:rsidRPr="003F290C" w:rsidRDefault="003F290C"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r w:rsidRPr="003F290C">
              <w:rPr>
                <w:rFonts w:eastAsia="Yu Mincho" w:cs="Open Sans"/>
                <w:lang w:val="en-US"/>
              </w:rPr>
              <w:t>£4,868.01</w:t>
            </w:r>
          </w:p>
        </w:tc>
      </w:tr>
      <w:tr w:rsidR="003F290C" w:rsidRPr="003F290C" w14:paraId="05B369F6" w14:textId="77777777" w:rsidTr="00D302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Borders>
              <w:bottom w:val="single" w:sz="12" w:space="0" w:color="01615C"/>
            </w:tcBorders>
            <w:vAlign w:val="top"/>
          </w:tcPr>
          <w:p w14:paraId="783A06F1" w14:textId="77777777" w:rsidR="003F290C" w:rsidRPr="003F290C" w:rsidRDefault="003F290C" w:rsidP="003F290C">
            <w:pPr>
              <w:spacing w:before="0" w:after="0"/>
              <w:rPr>
                <w:rFonts w:eastAsia="Yu Mincho" w:cs="Open Sans"/>
                <w:lang w:val="en-US"/>
              </w:rPr>
            </w:pPr>
            <w:r w:rsidRPr="003F290C">
              <w:rPr>
                <w:rFonts w:eastAsia="Yu Mincho" w:cs="Open Sans"/>
                <w:lang w:val="en-US"/>
              </w:rPr>
              <w:t>Sources</w:t>
            </w:r>
          </w:p>
        </w:tc>
        <w:tc>
          <w:tcPr>
            <w:tcW w:w="3259" w:type="dxa"/>
            <w:tcBorders>
              <w:bottom w:val="single" w:sz="12" w:space="0" w:color="01615C"/>
            </w:tcBorders>
          </w:tcPr>
          <w:p w14:paraId="652934AC" w14:textId="77777777" w:rsidR="003F290C" w:rsidRPr="003F290C" w:rsidRDefault="00EC054E"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hyperlink r:id="rId30" w:history="1">
              <w:r w:rsidR="003F290C" w:rsidRPr="003F290C">
                <w:rPr>
                  <w:rFonts w:eastAsia="Yu Mincho" w:cs="Open Sans"/>
                  <w:color w:val="0000FF"/>
                  <w:u w:val="single"/>
                  <w:lang w:val="en-US"/>
                </w:rPr>
                <w:t>EHN</w:t>
              </w:r>
            </w:hyperlink>
            <w:r w:rsidR="003F290C" w:rsidRPr="003F290C">
              <w:rPr>
                <w:rFonts w:eastAsia="Yu Mincho" w:cs="Open Sans"/>
                <w:lang w:val="en-US"/>
              </w:rPr>
              <w:t xml:space="preserve"> - adjusted</w:t>
            </w:r>
          </w:p>
        </w:tc>
        <w:tc>
          <w:tcPr>
            <w:tcW w:w="1734" w:type="dxa"/>
            <w:tcBorders>
              <w:bottom w:val="single" w:sz="12" w:space="0" w:color="01615C"/>
            </w:tcBorders>
            <w:vAlign w:val="top"/>
          </w:tcPr>
          <w:p w14:paraId="78D6A4B0" w14:textId="77777777" w:rsidR="003F290C" w:rsidRPr="003F290C" w:rsidRDefault="00EC054E"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hyperlink r:id="rId31" w:history="1">
              <w:r w:rsidR="003F290C" w:rsidRPr="003F290C">
                <w:rPr>
                  <w:rFonts w:eastAsia="Yu Mincho" w:cs="Open Sans"/>
                  <w:color w:val="0000FF"/>
                  <w:u w:val="single"/>
                  <w:lang w:val="en-US"/>
                </w:rPr>
                <w:t>AOMRC</w:t>
              </w:r>
            </w:hyperlink>
          </w:p>
        </w:tc>
        <w:tc>
          <w:tcPr>
            <w:tcW w:w="1809" w:type="dxa"/>
            <w:tcBorders>
              <w:bottom w:val="single" w:sz="12" w:space="0" w:color="01615C"/>
            </w:tcBorders>
            <w:vAlign w:val="top"/>
          </w:tcPr>
          <w:p w14:paraId="5D78FDF4" w14:textId="77777777" w:rsidR="003F290C" w:rsidRPr="003F290C" w:rsidRDefault="00EC054E"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hyperlink r:id="rId32" w:history="1">
              <w:proofErr w:type="spellStart"/>
              <w:r w:rsidR="003F290C" w:rsidRPr="003F290C">
                <w:rPr>
                  <w:rFonts w:eastAsia="Yu Mincho" w:cs="Open Sans"/>
                  <w:color w:val="0000FF"/>
                  <w:u w:val="single"/>
                  <w:lang w:val="en-US"/>
                </w:rPr>
                <w:t>Diabetologia</w:t>
              </w:r>
              <w:proofErr w:type="spellEnd"/>
            </w:hyperlink>
          </w:p>
        </w:tc>
      </w:tr>
      <w:tr w:rsidR="003F290C" w:rsidRPr="003F290C" w14:paraId="261EF9E3" w14:textId="77777777" w:rsidTr="00D302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Borders>
              <w:top w:val="single" w:sz="12" w:space="0" w:color="01615C"/>
            </w:tcBorders>
            <w:vAlign w:val="top"/>
          </w:tcPr>
          <w:p w14:paraId="4EF4C08F" w14:textId="77777777" w:rsidR="003F290C" w:rsidRPr="003F290C" w:rsidRDefault="003F290C" w:rsidP="003F290C">
            <w:pPr>
              <w:spacing w:before="0" w:after="0"/>
              <w:rPr>
                <w:rFonts w:eastAsia="Yu Mincho" w:cs="Open Sans"/>
                <w:lang w:val="en-US"/>
              </w:rPr>
            </w:pPr>
            <w:r w:rsidRPr="003F290C">
              <w:rPr>
                <w:rFonts w:eastAsia="Yu Mincho" w:cs="Open Sans"/>
                <w:lang w:val="en-US"/>
              </w:rPr>
              <w:t>Anxiety</w:t>
            </w:r>
          </w:p>
        </w:tc>
        <w:tc>
          <w:tcPr>
            <w:tcW w:w="3259" w:type="dxa"/>
            <w:tcBorders>
              <w:top w:val="single" w:sz="12" w:space="0" w:color="01615C"/>
            </w:tcBorders>
          </w:tcPr>
          <w:p w14:paraId="1E8BFEA6" w14:textId="77777777" w:rsidR="003F290C" w:rsidRPr="003F290C" w:rsidRDefault="003F290C"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r w:rsidRPr="003F290C">
              <w:rPr>
                <w:rFonts w:eastAsia="Yu Mincho" w:cs="Open Sans"/>
                <w:lang w:val="en-US"/>
              </w:rPr>
              <w:t>10%</w:t>
            </w:r>
          </w:p>
        </w:tc>
        <w:tc>
          <w:tcPr>
            <w:tcW w:w="1734" w:type="dxa"/>
            <w:tcBorders>
              <w:top w:val="single" w:sz="12" w:space="0" w:color="01615C"/>
            </w:tcBorders>
            <w:vAlign w:val="top"/>
          </w:tcPr>
          <w:p w14:paraId="7BB4F1D4" w14:textId="77777777" w:rsidR="003F290C" w:rsidRPr="003F290C" w:rsidRDefault="003F290C"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r w:rsidRPr="003F290C">
              <w:rPr>
                <w:rFonts w:eastAsia="Yu Mincho" w:cs="Open Sans"/>
                <w:lang w:val="en-US"/>
              </w:rPr>
              <w:t>56%</w:t>
            </w:r>
          </w:p>
        </w:tc>
        <w:tc>
          <w:tcPr>
            <w:tcW w:w="1809" w:type="dxa"/>
            <w:tcBorders>
              <w:top w:val="single" w:sz="12" w:space="0" w:color="01615C"/>
            </w:tcBorders>
            <w:vAlign w:val="top"/>
          </w:tcPr>
          <w:p w14:paraId="67AE55D0" w14:textId="77777777" w:rsidR="003F290C" w:rsidRPr="003F290C" w:rsidRDefault="003F290C"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r w:rsidRPr="003F290C">
              <w:rPr>
                <w:rFonts w:eastAsia="Yu Mincho" w:cs="Open Sans"/>
                <w:lang w:val="en-US"/>
              </w:rPr>
              <w:t>£1,630.08</w:t>
            </w:r>
          </w:p>
        </w:tc>
      </w:tr>
      <w:tr w:rsidR="003F290C" w:rsidRPr="003F290C" w14:paraId="2208DA09" w14:textId="77777777" w:rsidTr="00D302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Borders>
              <w:bottom w:val="single" w:sz="12" w:space="0" w:color="01615C"/>
            </w:tcBorders>
            <w:vAlign w:val="top"/>
          </w:tcPr>
          <w:p w14:paraId="0D652D78" w14:textId="77777777" w:rsidR="003F290C" w:rsidRPr="003F290C" w:rsidRDefault="003F290C" w:rsidP="003F290C">
            <w:pPr>
              <w:spacing w:before="0" w:after="0"/>
              <w:rPr>
                <w:rFonts w:eastAsia="Yu Mincho" w:cs="Open Sans"/>
                <w:lang w:val="en-US"/>
              </w:rPr>
            </w:pPr>
            <w:r w:rsidRPr="003F290C">
              <w:rPr>
                <w:rFonts w:eastAsia="Yu Mincho" w:cs="Open Sans"/>
                <w:lang w:val="en-US"/>
              </w:rPr>
              <w:t>Sources</w:t>
            </w:r>
          </w:p>
        </w:tc>
        <w:tc>
          <w:tcPr>
            <w:tcW w:w="3259" w:type="dxa"/>
            <w:tcBorders>
              <w:bottom w:val="single" w:sz="12" w:space="0" w:color="01615C"/>
            </w:tcBorders>
          </w:tcPr>
          <w:p w14:paraId="7D8E0A50" w14:textId="77777777" w:rsidR="003F290C" w:rsidRPr="003F290C" w:rsidRDefault="00EC054E"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hyperlink r:id="rId33" w:history="1">
              <w:r w:rsidR="003F290C" w:rsidRPr="003F290C">
                <w:rPr>
                  <w:rFonts w:eastAsia="Yu Mincho" w:cs="Arial"/>
                  <w:color w:val="0000FF"/>
                  <w:u w:val="single"/>
                  <w:lang w:val="en-US"/>
                </w:rPr>
                <w:t>Essex CC</w:t>
              </w:r>
            </w:hyperlink>
          </w:p>
        </w:tc>
        <w:tc>
          <w:tcPr>
            <w:tcW w:w="1734" w:type="dxa"/>
            <w:tcBorders>
              <w:bottom w:val="single" w:sz="12" w:space="0" w:color="01615C"/>
            </w:tcBorders>
            <w:vAlign w:val="top"/>
          </w:tcPr>
          <w:p w14:paraId="4D2EA855" w14:textId="77777777" w:rsidR="003F290C" w:rsidRPr="003F290C" w:rsidRDefault="003F290C"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r w:rsidRPr="003F290C">
              <w:rPr>
                <w:rFonts w:eastAsia="Yu Mincho" w:cs="Arial"/>
                <w:lang w:val="en-US"/>
              </w:rPr>
              <w:t>Parent survey</w:t>
            </w:r>
          </w:p>
        </w:tc>
        <w:tc>
          <w:tcPr>
            <w:tcW w:w="1809" w:type="dxa"/>
            <w:tcBorders>
              <w:bottom w:val="single" w:sz="12" w:space="0" w:color="01615C"/>
            </w:tcBorders>
            <w:vAlign w:val="top"/>
          </w:tcPr>
          <w:p w14:paraId="11FC95BB" w14:textId="77777777" w:rsidR="003F290C" w:rsidRPr="003F290C" w:rsidRDefault="00EC054E"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hyperlink r:id="rId34" w:history="1">
              <w:r w:rsidR="003F290C" w:rsidRPr="003F290C">
                <w:rPr>
                  <w:rFonts w:eastAsia="Yu Mincho" w:cs="Open Sans"/>
                  <w:color w:val="0000FF"/>
                  <w:u w:val="single"/>
                  <w:lang w:val="en-US"/>
                </w:rPr>
                <w:t>NCBI</w:t>
              </w:r>
            </w:hyperlink>
          </w:p>
        </w:tc>
      </w:tr>
      <w:tr w:rsidR="003F290C" w:rsidRPr="003F290C" w14:paraId="1254D58E" w14:textId="77777777" w:rsidTr="00D302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Borders>
              <w:top w:val="single" w:sz="12" w:space="0" w:color="01615C"/>
            </w:tcBorders>
            <w:vAlign w:val="top"/>
          </w:tcPr>
          <w:p w14:paraId="48A16076" w14:textId="77777777" w:rsidR="003F290C" w:rsidRPr="003F290C" w:rsidRDefault="003F290C" w:rsidP="003F290C">
            <w:pPr>
              <w:spacing w:before="0" w:after="0"/>
              <w:rPr>
                <w:rFonts w:eastAsia="Yu Mincho" w:cs="Open Sans"/>
                <w:lang w:val="en-US"/>
              </w:rPr>
            </w:pPr>
            <w:r w:rsidRPr="003F290C">
              <w:rPr>
                <w:rFonts w:eastAsia="Yu Mincho" w:cs="Open Sans"/>
                <w:lang w:val="en-US"/>
              </w:rPr>
              <w:t>Depression</w:t>
            </w:r>
          </w:p>
        </w:tc>
        <w:tc>
          <w:tcPr>
            <w:tcW w:w="3259" w:type="dxa"/>
            <w:tcBorders>
              <w:top w:val="single" w:sz="12" w:space="0" w:color="01615C"/>
            </w:tcBorders>
          </w:tcPr>
          <w:p w14:paraId="71FE7CDC" w14:textId="77777777" w:rsidR="003F290C" w:rsidRPr="003F290C" w:rsidRDefault="003F290C"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r w:rsidRPr="003F290C">
              <w:rPr>
                <w:rFonts w:eastAsia="Yu Mincho" w:cs="Open Sans"/>
                <w:lang w:val="en-US"/>
              </w:rPr>
              <w:t>10%</w:t>
            </w:r>
          </w:p>
        </w:tc>
        <w:tc>
          <w:tcPr>
            <w:tcW w:w="1734" w:type="dxa"/>
            <w:tcBorders>
              <w:top w:val="single" w:sz="12" w:space="0" w:color="01615C"/>
            </w:tcBorders>
            <w:vAlign w:val="top"/>
          </w:tcPr>
          <w:p w14:paraId="4B08F6A3" w14:textId="77777777" w:rsidR="003F290C" w:rsidRPr="003F290C" w:rsidRDefault="003F290C"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r w:rsidRPr="003F290C">
              <w:rPr>
                <w:rFonts w:eastAsia="Yu Mincho" w:cs="Open Sans"/>
                <w:lang w:val="en-US"/>
              </w:rPr>
              <w:t>56%</w:t>
            </w:r>
          </w:p>
        </w:tc>
        <w:tc>
          <w:tcPr>
            <w:tcW w:w="1809" w:type="dxa"/>
            <w:tcBorders>
              <w:top w:val="single" w:sz="12" w:space="0" w:color="01615C"/>
            </w:tcBorders>
            <w:vAlign w:val="top"/>
          </w:tcPr>
          <w:p w14:paraId="31EAA8A7" w14:textId="77777777" w:rsidR="003F290C" w:rsidRPr="003F290C" w:rsidRDefault="003F290C"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r w:rsidRPr="003F290C">
              <w:rPr>
                <w:rFonts w:eastAsia="Yu Mincho" w:cs="Open Sans"/>
                <w:lang w:val="en-US"/>
              </w:rPr>
              <w:t>£4,663.40</w:t>
            </w:r>
          </w:p>
        </w:tc>
      </w:tr>
      <w:tr w:rsidR="003F290C" w:rsidRPr="003F290C" w14:paraId="2E056DE6" w14:textId="77777777" w:rsidTr="00D302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Borders>
              <w:bottom w:val="single" w:sz="12" w:space="0" w:color="01615C"/>
            </w:tcBorders>
            <w:vAlign w:val="top"/>
          </w:tcPr>
          <w:p w14:paraId="5B91559E" w14:textId="77777777" w:rsidR="003F290C" w:rsidRPr="003F290C" w:rsidRDefault="003F290C" w:rsidP="003F290C">
            <w:pPr>
              <w:spacing w:before="0" w:after="0"/>
              <w:rPr>
                <w:rFonts w:eastAsia="Yu Mincho" w:cs="Open Sans"/>
                <w:lang w:val="en-US"/>
              </w:rPr>
            </w:pPr>
            <w:r w:rsidRPr="003F290C">
              <w:rPr>
                <w:rFonts w:eastAsia="Yu Mincho" w:cs="Open Sans"/>
                <w:lang w:val="en-US"/>
              </w:rPr>
              <w:t>Sources</w:t>
            </w:r>
          </w:p>
        </w:tc>
        <w:tc>
          <w:tcPr>
            <w:tcW w:w="3259" w:type="dxa"/>
            <w:tcBorders>
              <w:bottom w:val="single" w:sz="12" w:space="0" w:color="01615C"/>
            </w:tcBorders>
          </w:tcPr>
          <w:p w14:paraId="718E6E9B" w14:textId="77777777" w:rsidR="003F290C" w:rsidRPr="003F290C" w:rsidRDefault="00EC054E"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hyperlink r:id="rId35" w:history="1">
              <w:r w:rsidR="003F290C" w:rsidRPr="003F290C">
                <w:rPr>
                  <w:rFonts w:eastAsia="Yu Mincho" w:cs="Arial"/>
                  <w:color w:val="0000FF"/>
                  <w:u w:val="single"/>
                  <w:lang w:val="en-US"/>
                </w:rPr>
                <w:t>Essex CC</w:t>
              </w:r>
            </w:hyperlink>
          </w:p>
        </w:tc>
        <w:tc>
          <w:tcPr>
            <w:tcW w:w="1734" w:type="dxa"/>
            <w:tcBorders>
              <w:bottom w:val="single" w:sz="12" w:space="0" w:color="01615C"/>
            </w:tcBorders>
            <w:vAlign w:val="top"/>
          </w:tcPr>
          <w:p w14:paraId="003612D8" w14:textId="77777777" w:rsidR="003F290C" w:rsidRPr="003F290C" w:rsidRDefault="003F290C"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r w:rsidRPr="003F290C">
              <w:rPr>
                <w:rFonts w:eastAsia="Yu Mincho" w:cs="Arial"/>
                <w:lang w:val="en-US"/>
              </w:rPr>
              <w:t>Parent survey</w:t>
            </w:r>
          </w:p>
        </w:tc>
        <w:tc>
          <w:tcPr>
            <w:tcW w:w="1809" w:type="dxa"/>
            <w:tcBorders>
              <w:bottom w:val="single" w:sz="12" w:space="0" w:color="01615C"/>
            </w:tcBorders>
            <w:vAlign w:val="top"/>
          </w:tcPr>
          <w:p w14:paraId="357D968D" w14:textId="77777777" w:rsidR="003F290C" w:rsidRPr="003F290C" w:rsidRDefault="00EC054E"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hyperlink r:id="rId36" w:history="1">
              <w:r w:rsidR="003F290C" w:rsidRPr="003F290C">
                <w:rPr>
                  <w:rFonts w:eastAsia="Yu Mincho" w:cs="Open Sans"/>
                  <w:color w:val="0000FF"/>
                  <w:u w:val="single"/>
                  <w:lang w:val="en-US"/>
                </w:rPr>
                <w:t>NCBI</w:t>
              </w:r>
            </w:hyperlink>
          </w:p>
        </w:tc>
      </w:tr>
      <w:tr w:rsidR="003F290C" w:rsidRPr="003F290C" w14:paraId="2B543E7A" w14:textId="77777777" w:rsidTr="00D302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Borders>
              <w:top w:val="single" w:sz="12" w:space="0" w:color="01615C"/>
            </w:tcBorders>
            <w:vAlign w:val="top"/>
          </w:tcPr>
          <w:p w14:paraId="2155EE24" w14:textId="77777777" w:rsidR="003F290C" w:rsidRPr="003F290C" w:rsidRDefault="003F290C" w:rsidP="003F290C">
            <w:pPr>
              <w:spacing w:before="0" w:after="0"/>
              <w:rPr>
                <w:rFonts w:eastAsia="Yu Mincho" w:cs="Open Sans"/>
                <w:lang w:val="en-US"/>
              </w:rPr>
            </w:pPr>
            <w:r w:rsidRPr="003F290C">
              <w:rPr>
                <w:rFonts w:eastAsia="Yu Mincho" w:cs="Open Sans"/>
                <w:lang w:val="en-US"/>
              </w:rPr>
              <w:t>Dementia</w:t>
            </w:r>
          </w:p>
        </w:tc>
        <w:tc>
          <w:tcPr>
            <w:tcW w:w="3259" w:type="dxa"/>
            <w:tcBorders>
              <w:top w:val="single" w:sz="12" w:space="0" w:color="01615C"/>
            </w:tcBorders>
          </w:tcPr>
          <w:p w14:paraId="789DAFE5" w14:textId="77777777" w:rsidR="003F290C" w:rsidRPr="003F290C" w:rsidRDefault="003F290C"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r w:rsidRPr="003F290C">
              <w:rPr>
                <w:rFonts w:eastAsia="Yu Mincho" w:cs="Open Sans"/>
                <w:lang w:val="en-US"/>
              </w:rPr>
              <w:t>2.4%</w:t>
            </w:r>
          </w:p>
        </w:tc>
        <w:tc>
          <w:tcPr>
            <w:tcW w:w="1734" w:type="dxa"/>
            <w:tcBorders>
              <w:top w:val="single" w:sz="12" w:space="0" w:color="01615C"/>
            </w:tcBorders>
            <w:vAlign w:val="top"/>
          </w:tcPr>
          <w:p w14:paraId="5471D5B5" w14:textId="77777777" w:rsidR="003F290C" w:rsidRPr="003F290C" w:rsidRDefault="003F290C"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r w:rsidRPr="003F290C">
              <w:rPr>
                <w:rFonts w:eastAsia="Yu Mincho" w:cs="Open Sans"/>
                <w:lang w:val="en-US"/>
              </w:rPr>
              <w:t>30%</w:t>
            </w:r>
          </w:p>
        </w:tc>
        <w:tc>
          <w:tcPr>
            <w:tcW w:w="1809" w:type="dxa"/>
            <w:tcBorders>
              <w:top w:val="single" w:sz="12" w:space="0" w:color="01615C"/>
            </w:tcBorders>
            <w:vAlign w:val="top"/>
          </w:tcPr>
          <w:p w14:paraId="2E2061CA" w14:textId="77777777" w:rsidR="003F290C" w:rsidRPr="003F290C" w:rsidRDefault="003F290C"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r w:rsidRPr="003F290C">
              <w:rPr>
                <w:rFonts w:eastAsia="Yu Mincho" w:cs="Open Sans"/>
                <w:lang w:val="en-US"/>
              </w:rPr>
              <w:t>£34,188.09</w:t>
            </w:r>
          </w:p>
        </w:tc>
      </w:tr>
      <w:tr w:rsidR="003F290C" w:rsidRPr="003F290C" w14:paraId="4F576FEB" w14:textId="77777777" w:rsidTr="00D302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vAlign w:val="top"/>
          </w:tcPr>
          <w:p w14:paraId="59ED9BB8" w14:textId="77777777" w:rsidR="003F290C" w:rsidRPr="003F290C" w:rsidRDefault="003F290C" w:rsidP="003F290C">
            <w:pPr>
              <w:spacing w:before="0" w:after="0"/>
              <w:rPr>
                <w:rFonts w:eastAsia="Yu Mincho" w:cs="Open Sans"/>
                <w:lang w:val="en-US"/>
              </w:rPr>
            </w:pPr>
            <w:r w:rsidRPr="003F290C">
              <w:rPr>
                <w:rFonts w:eastAsia="Yu Mincho" w:cs="Open Sans"/>
                <w:lang w:val="en-US"/>
              </w:rPr>
              <w:t>Sources</w:t>
            </w:r>
          </w:p>
        </w:tc>
        <w:tc>
          <w:tcPr>
            <w:tcW w:w="3259" w:type="dxa"/>
          </w:tcPr>
          <w:p w14:paraId="0B7BD40A" w14:textId="77777777" w:rsidR="003F290C" w:rsidRPr="003F290C" w:rsidRDefault="00EC054E"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hyperlink r:id="rId37" w:history="1">
              <w:r w:rsidR="003F290C" w:rsidRPr="003F290C">
                <w:rPr>
                  <w:rFonts w:eastAsia="Yu Mincho" w:cs="Open Sans"/>
                  <w:color w:val="0000FF"/>
                  <w:u w:val="single"/>
                  <w:lang w:val="en-US"/>
                </w:rPr>
                <w:t>AE - adjusted</w:t>
              </w:r>
            </w:hyperlink>
          </w:p>
        </w:tc>
        <w:tc>
          <w:tcPr>
            <w:tcW w:w="1734" w:type="dxa"/>
            <w:vAlign w:val="top"/>
          </w:tcPr>
          <w:p w14:paraId="28823038" w14:textId="77777777" w:rsidR="003F290C" w:rsidRPr="003F290C" w:rsidRDefault="00EC054E"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hyperlink r:id="rId38" w:history="1">
              <w:r w:rsidR="003F290C" w:rsidRPr="003F290C">
                <w:rPr>
                  <w:rFonts w:eastAsia="Yu Mincho" w:cs="Open Sans"/>
                  <w:color w:val="0000FF"/>
                  <w:u w:val="single"/>
                  <w:lang w:val="en-US"/>
                </w:rPr>
                <w:t>AOMRC</w:t>
              </w:r>
            </w:hyperlink>
          </w:p>
        </w:tc>
        <w:tc>
          <w:tcPr>
            <w:tcW w:w="1809" w:type="dxa"/>
            <w:vAlign w:val="top"/>
          </w:tcPr>
          <w:p w14:paraId="25808ABE" w14:textId="77777777" w:rsidR="003F290C" w:rsidRPr="003F290C" w:rsidRDefault="00EC054E"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hyperlink r:id="rId39" w:history="1">
              <w:r w:rsidR="003F290C" w:rsidRPr="003F290C">
                <w:rPr>
                  <w:rFonts w:eastAsia="Yu Mincho" w:cs="Open Sans"/>
                  <w:color w:val="0000FF"/>
                  <w:u w:val="single"/>
                  <w:lang w:val="en-US"/>
                </w:rPr>
                <w:t>NCBI</w:t>
              </w:r>
            </w:hyperlink>
          </w:p>
        </w:tc>
      </w:tr>
      <w:tr w:rsidR="003F290C" w:rsidRPr="00A15145" w14:paraId="46822A9C" w14:textId="77777777" w:rsidTr="009F3D0B">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54" w:type="dxa"/>
            <w:gridSpan w:val="4"/>
            <w:shd w:val="clear" w:color="auto" w:fill="06625D"/>
          </w:tcPr>
          <w:p w14:paraId="686D5C7E" w14:textId="77777777" w:rsidR="003F290C" w:rsidRPr="00A15145" w:rsidRDefault="003F290C" w:rsidP="003F290C">
            <w:pPr>
              <w:spacing w:before="0" w:after="0"/>
              <w:rPr>
                <w:rFonts w:eastAsia="Yu Mincho" w:cs="Open Sans"/>
                <w:lang w:val="en-US"/>
              </w:rPr>
            </w:pPr>
            <w:r w:rsidRPr="00A15145">
              <w:rPr>
                <w:rFonts w:eastAsia="Yu Mincho" w:cs="Open Sans"/>
                <w:color w:val="FFFFFF" w:themeColor="background1"/>
                <w:lang w:val="en-US"/>
              </w:rPr>
              <w:t>Other Measures</w:t>
            </w:r>
          </w:p>
        </w:tc>
      </w:tr>
      <w:tr w:rsidR="003F290C" w:rsidRPr="003F290C" w14:paraId="11C877A3" w14:textId="77777777" w:rsidTr="00D302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Borders>
              <w:top w:val="single" w:sz="12" w:space="0" w:color="01615C"/>
            </w:tcBorders>
          </w:tcPr>
          <w:p w14:paraId="0AA97E8A" w14:textId="77777777" w:rsidR="003F290C" w:rsidRPr="003F290C" w:rsidRDefault="003F290C" w:rsidP="003F290C">
            <w:pPr>
              <w:spacing w:before="0" w:after="0"/>
              <w:rPr>
                <w:rFonts w:eastAsia="Yu Mincho" w:cs="Open Sans"/>
                <w:lang w:val="en-US"/>
              </w:rPr>
            </w:pPr>
            <w:r w:rsidRPr="003F290C">
              <w:rPr>
                <w:rFonts w:eastAsia="Yu Mincho" w:cs="Open Sans"/>
                <w:lang w:val="en-US"/>
              </w:rPr>
              <w:t>Nutrition</w:t>
            </w:r>
          </w:p>
        </w:tc>
        <w:tc>
          <w:tcPr>
            <w:tcW w:w="3259" w:type="dxa"/>
            <w:tcBorders>
              <w:top w:val="single" w:sz="12" w:space="0" w:color="01615C"/>
            </w:tcBorders>
          </w:tcPr>
          <w:p w14:paraId="23681BC6" w14:textId="77777777" w:rsidR="003F290C" w:rsidRPr="003F290C" w:rsidRDefault="003F290C"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r w:rsidRPr="003F290C">
              <w:rPr>
                <w:rFonts w:eastAsia="Yu Mincho" w:cs="Open Sans"/>
                <w:lang w:val="en-US"/>
              </w:rPr>
              <w:t>£2.</w:t>
            </w:r>
            <w:proofErr w:type="gramStart"/>
            <w:r w:rsidRPr="003F290C">
              <w:rPr>
                <w:rFonts w:eastAsia="Yu Mincho" w:cs="Open Sans"/>
                <w:lang w:val="en-US"/>
              </w:rPr>
              <w:t>97:£</w:t>
            </w:r>
            <w:proofErr w:type="gramEnd"/>
            <w:r w:rsidRPr="003F290C">
              <w:rPr>
                <w:rFonts w:eastAsia="Yu Mincho" w:cs="Open Sans"/>
                <w:lang w:val="en-US"/>
              </w:rPr>
              <w:t>1 invested proxy value</w:t>
            </w:r>
          </w:p>
        </w:tc>
        <w:tc>
          <w:tcPr>
            <w:tcW w:w="3543" w:type="dxa"/>
            <w:gridSpan w:val="2"/>
            <w:tcBorders>
              <w:top w:val="single" w:sz="12" w:space="0" w:color="01615C"/>
            </w:tcBorders>
          </w:tcPr>
          <w:p w14:paraId="6BFE31C6" w14:textId="77777777" w:rsidR="003F290C" w:rsidRPr="003F290C" w:rsidRDefault="003F290C"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r w:rsidRPr="003F290C">
              <w:rPr>
                <w:rFonts w:eastAsia="Yu Mincho" w:cs="Open Sans"/>
                <w:lang w:val="en-US"/>
              </w:rPr>
              <w:t>£3.</w:t>
            </w:r>
            <w:proofErr w:type="gramStart"/>
            <w:r w:rsidRPr="003F290C">
              <w:rPr>
                <w:rFonts w:eastAsia="Yu Mincho" w:cs="Open Sans"/>
                <w:lang w:val="en-US"/>
              </w:rPr>
              <w:t>70:£</w:t>
            </w:r>
            <w:proofErr w:type="gramEnd"/>
            <w:r w:rsidRPr="003F290C">
              <w:rPr>
                <w:rFonts w:eastAsia="Yu Mincho" w:cs="Open Sans"/>
                <w:lang w:val="en-US"/>
              </w:rPr>
              <w:t>1 invested proxy value</w:t>
            </w:r>
          </w:p>
        </w:tc>
      </w:tr>
      <w:tr w:rsidR="003F290C" w:rsidRPr="003F290C" w14:paraId="31B75E48" w14:textId="77777777" w:rsidTr="00D302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Pr>
          <w:p w14:paraId="52A261AF" w14:textId="77777777" w:rsidR="003F290C" w:rsidRPr="003F290C" w:rsidRDefault="003F290C" w:rsidP="003F290C">
            <w:pPr>
              <w:spacing w:before="0" w:after="0"/>
              <w:rPr>
                <w:rFonts w:eastAsia="Yu Mincho" w:cs="Open Sans"/>
                <w:lang w:val="en-US"/>
              </w:rPr>
            </w:pPr>
            <w:r w:rsidRPr="003F290C">
              <w:rPr>
                <w:rFonts w:eastAsia="Yu Mincho" w:cs="Open Sans"/>
                <w:lang w:val="en-US"/>
              </w:rPr>
              <w:t>Source</w:t>
            </w:r>
          </w:p>
        </w:tc>
        <w:tc>
          <w:tcPr>
            <w:tcW w:w="3259" w:type="dxa"/>
          </w:tcPr>
          <w:p w14:paraId="3A8A5CA1" w14:textId="77777777" w:rsidR="003F290C" w:rsidRPr="003F290C" w:rsidRDefault="00EC054E" w:rsidP="003F290C">
            <w:pPr>
              <w:spacing w:before="0" w:after="0"/>
              <w:cnfStyle w:val="000000010000" w:firstRow="0" w:lastRow="0" w:firstColumn="0" w:lastColumn="0" w:oddVBand="0" w:evenVBand="0" w:oddHBand="0" w:evenHBand="1" w:firstRowFirstColumn="0" w:firstRowLastColumn="0" w:lastRowFirstColumn="0" w:lastRowLastColumn="0"/>
              <w:rPr>
                <w:rFonts w:cs="Open Sans"/>
              </w:rPr>
            </w:pPr>
            <w:hyperlink r:id="rId40" w:history="1">
              <w:r w:rsidR="003F290C" w:rsidRPr="003F290C">
                <w:rPr>
                  <w:rFonts w:eastAsia="Times New Roman" w:cs="Open Sans"/>
                  <w:color w:val="0000FF"/>
                  <w:u w:val="single"/>
                </w:rPr>
                <w:t>Univ. of Herts</w:t>
              </w:r>
            </w:hyperlink>
          </w:p>
        </w:tc>
        <w:tc>
          <w:tcPr>
            <w:tcW w:w="3543" w:type="dxa"/>
            <w:gridSpan w:val="2"/>
          </w:tcPr>
          <w:p w14:paraId="69104F19" w14:textId="77777777" w:rsidR="003F290C" w:rsidRPr="003F290C" w:rsidRDefault="00EC054E" w:rsidP="003F290C">
            <w:pPr>
              <w:spacing w:before="0" w:after="0"/>
              <w:cnfStyle w:val="000000010000" w:firstRow="0" w:lastRow="0" w:firstColumn="0" w:lastColumn="0" w:oddVBand="0" w:evenVBand="0" w:oddHBand="0" w:evenHBand="1" w:firstRowFirstColumn="0" w:firstRowLastColumn="0" w:lastRowFirstColumn="0" w:lastRowLastColumn="0"/>
              <w:rPr>
                <w:rFonts w:cs="Open Sans"/>
              </w:rPr>
            </w:pPr>
            <w:hyperlink r:id="rId41" w:history="1">
              <w:r w:rsidR="003F290C" w:rsidRPr="003F290C">
                <w:rPr>
                  <w:rFonts w:eastAsia="Times New Roman" w:cs="Open Sans"/>
                  <w:color w:val="0000FF"/>
                  <w:u w:val="single"/>
                </w:rPr>
                <w:t>City Harvest</w:t>
              </w:r>
            </w:hyperlink>
          </w:p>
        </w:tc>
      </w:tr>
      <w:tr w:rsidR="003F290C" w:rsidRPr="003F290C" w14:paraId="4D9ED8E3" w14:textId="77777777" w:rsidTr="00D302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Borders>
              <w:top w:val="single" w:sz="12" w:space="0" w:color="01615C"/>
            </w:tcBorders>
            <w:vAlign w:val="top"/>
          </w:tcPr>
          <w:p w14:paraId="62A8AEB8" w14:textId="77777777" w:rsidR="003F290C" w:rsidRPr="003F290C" w:rsidRDefault="003F290C" w:rsidP="003F290C">
            <w:pPr>
              <w:spacing w:before="0" w:after="0"/>
              <w:rPr>
                <w:rFonts w:eastAsia="Yu Mincho" w:cs="Open Sans"/>
                <w:lang w:val="en-US"/>
              </w:rPr>
            </w:pPr>
            <w:r w:rsidRPr="003F290C">
              <w:rPr>
                <w:rFonts w:eastAsia="Yu Mincho" w:cs="Open Sans"/>
                <w:lang w:val="en-US"/>
              </w:rPr>
              <w:t>Wellbeing</w:t>
            </w:r>
          </w:p>
        </w:tc>
        <w:tc>
          <w:tcPr>
            <w:tcW w:w="6802" w:type="dxa"/>
            <w:gridSpan w:val="3"/>
            <w:tcBorders>
              <w:top w:val="single" w:sz="12" w:space="0" w:color="01615C"/>
            </w:tcBorders>
          </w:tcPr>
          <w:p w14:paraId="7C43BC61" w14:textId="77777777" w:rsidR="003F290C" w:rsidRPr="003F290C" w:rsidRDefault="003F290C"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r w:rsidRPr="003F290C">
              <w:rPr>
                <w:rFonts w:eastAsia="Yu Mincho" w:cs="Open Sans"/>
                <w:lang w:val="en-US"/>
              </w:rPr>
              <w:t xml:space="preserve">£13,000 </w:t>
            </w:r>
            <w:proofErr w:type="spellStart"/>
            <w:r w:rsidRPr="003F290C">
              <w:rPr>
                <w:rFonts w:eastAsia="Yu Mincho" w:cs="Open Sans"/>
                <w:lang w:val="en-US"/>
              </w:rPr>
              <w:t>Wellby</w:t>
            </w:r>
            <w:proofErr w:type="spellEnd"/>
            <w:r w:rsidRPr="003F290C">
              <w:rPr>
                <w:rFonts w:eastAsia="Yu Mincho" w:cs="Open Sans"/>
                <w:lang w:val="en-US"/>
              </w:rPr>
              <w:t xml:space="preserve"> value</w:t>
            </w:r>
          </w:p>
        </w:tc>
      </w:tr>
      <w:tr w:rsidR="003F290C" w:rsidRPr="003F290C" w14:paraId="2F278207" w14:textId="77777777" w:rsidTr="00D302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vAlign w:val="top"/>
          </w:tcPr>
          <w:p w14:paraId="61F35BD9" w14:textId="77777777" w:rsidR="003F290C" w:rsidRPr="003F290C" w:rsidRDefault="003F290C" w:rsidP="003F290C">
            <w:pPr>
              <w:spacing w:before="0" w:after="0"/>
              <w:rPr>
                <w:rFonts w:eastAsia="Yu Mincho" w:cs="Open Sans"/>
                <w:lang w:val="en-US"/>
              </w:rPr>
            </w:pPr>
            <w:r w:rsidRPr="003F290C">
              <w:rPr>
                <w:rFonts w:eastAsia="Yu Mincho" w:cs="Open Sans"/>
                <w:lang w:val="en-US"/>
              </w:rPr>
              <w:t>Source</w:t>
            </w:r>
          </w:p>
        </w:tc>
        <w:tc>
          <w:tcPr>
            <w:tcW w:w="6802" w:type="dxa"/>
            <w:gridSpan w:val="3"/>
          </w:tcPr>
          <w:p w14:paraId="50177670" w14:textId="77777777" w:rsidR="003F290C" w:rsidRPr="003F290C" w:rsidRDefault="00EC054E" w:rsidP="003F290C">
            <w:pPr>
              <w:spacing w:before="0" w:after="0"/>
              <w:cnfStyle w:val="000000010000" w:firstRow="0" w:lastRow="0" w:firstColumn="0" w:lastColumn="0" w:oddVBand="0" w:evenVBand="0" w:oddHBand="0" w:evenHBand="1" w:firstRowFirstColumn="0" w:firstRowLastColumn="0" w:lastRowFirstColumn="0" w:lastRowLastColumn="0"/>
              <w:rPr>
                <w:rFonts w:cs="Open Sans"/>
              </w:rPr>
            </w:pPr>
            <w:hyperlink r:id="rId42" w:history="1">
              <w:r w:rsidR="003F290C" w:rsidRPr="003F290C">
                <w:rPr>
                  <w:rFonts w:eastAsia="Times New Roman" w:cs="Open Sans"/>
                  <w:color w:val="0000FF"/>
                  <w:u w:val="single"/>
                </w:rPr>
                <w:t>HM Treasury</w:t>
              </w:r>
            </w:hyperlink>
            <w:r w:rsidR="003F290C" w:rsidRPr="003F290C">
              <w:rPr>
                <w:rFonts w:cs="Open Sans"/>
              </w:rPr>
              <w:t xml:space="preserve"> adjusted</w:t>
            </w:r>
          </w:p>
        </w:tc>
      </w:tr>
      <w:tr w:rsidR="003F290C" w:rsidRPr="003F290C" w14:paraId="23977A4B" w14:textId="77777777" w:rsidTr="00D302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Pr>
          <w:p w14:paraId="19B40A22" w14:textId="77777777" w:rsidR="003F290C" w:rsidRPr="003F290C" w:rsidRDefault="003F290C" w:rsidP="003F290C">
            <w:pPr>
              <w:spacing w:before="0" w:after="0"/>
              <w:rPr>
                <w:rFonts w:eastAsia="Yu Mincho" w:cs="Open Sans"/>
                <w:lang w:val="en-US"/>
              </w:rPr>
            </w:pPr>
            <w:r w:rsidRPr="003F290C">
              <w:rPr>
                <w:rFonts w:eastAsia="Yu Mincho" w:cs="Open Sans"/>
                <w:lang w:val="en-US"/>
              </w:rPr>
              <w:t>Respite Care</w:t>
            </w:r>
          </w:p>
        </w:tc>
        <w:tc>
          <w:tcPr>
            <w:tcW w:w="6802" w:type="dxa"/>
            <w:gridSpan w:val="3"/>
          </w:tcPr>
          <w:p w14:paraId="2AF567AF" w14:textId="77777777" w:rsidR="003F290C" w:rsidRPr="003F290C" w:rsidRDefault="003F290C"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r w:rsidRPr="003F290C">
              <w:rPr>
                <w:rFonts w:eastAsia="Yu Mincho" w:cs="Open Sans"/>
                <w:lang w:val="en-US"/>
              </w:rPr>
              <w:t>£11.44 Adult minimum wage proxy value</w:t>
            </w:r>
          </w:p>
        </w:tc>
      </w:tr>
      <w:tr w:rsidR="003F290C" w:rsidRPr="003F290C" w14:paraId="56DE4884" w14:textId="77777777" w:rsidTr="00D302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Borders>
              <w:bottom w:val="single" w:sz="12" w:space="0" w:color="01615C"/>
            </w:tcBorders>
          </w:tcPr>
          <w:p w14:paraId="053B614C" w14:textId="77777777" w:rsidR="003F290C" w:rsidRPr="003F290C" w:rsidRDefault="003F290C" w:rsidP="003F290C">
            <w:pPr>
              <w:spacing w:before="0" w:after="0"/>
              <w:rPr>
                <w:rFonts w:eastAsia="Yu Mincho" w:cs="Open Sans"/>
                <w:lang w:val="en-US"/>
              </w:rPr>
            </w:pPr>
            <w:r w:rsidRPr="003F290C">
              <w:rPr>
                <w:rFonts w:eastAsia="Yu Mincho" w:cs="Open Sans"/>
                <w:lang w:val="en-US"/>
              </w:rPr>
              <w:t>Sources</w:t>
            </w:r>
          </w:p>
        </w:tc>
        <w:tc>
          <w:tcPr>
            <w:tcW w:w="6802" w:type="dxa"/>
            <w:gridSpan w:val="3"/>
            <w:tcBorders>
              <w:bottom w:val="single" w:sz="12" w:space="0" w:color="01615C"/>
            </w:tcBorders>
          </w:tcPr>
          <w:p w14:paraId="5210501D" w14:textId="77777777" w:rsidR="003F290C" w:rsidRPr="003F290C" w:rsidRDefault="00EC054E"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hyperlink r:id="rId43" w:history="1">
              <w:r w:rsidR="003F290C" w:rsidRPr="003F290C">
                <w:rPr>
                  <w:rFonts w:eastAsia="Yu Mincho" w:cs="Open Sans"/>
                  <w:color w:val="0000FF"/>
                  <w:u w:val="single"/>
                  <w:lang w:val="en-US"/>
                </w:rPr>
                <w:t>HM Gov</w:t>
              </w:r>
            </w:hyperlink>
          </w:p>
        </w:tc>
      </w:tr>
      <w:tr w:rsidR="003F290C" w:rsidRPr="00A15145" w14:paraId="59857548" w14:textId="77777777" w:rsidTr="009F3D0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54" w:type="dxa"/>
            <w:gridSpan w:val="4"/>
            <w:shd w:val="clear" w:color="auto" w:fill="06625D"/>
          </w:tcPr>
          <w:p w14:paraId="2890E3F2" w14:textId="77777777" w:rsidR="003F290C" w:rsidRPr="00A15145" w:rsidRDefault="003F290C" w:rsidP="003F290C">
            <w:pPr>
              <w:spacing w:before="0" w:after="0"/>
              <w:rPr>
                <w:rFonts w:eastAsia="Yu Mincho" w:cs="Open Sans"/>
                <w:b/>
                <w:lang w:val="en-US"/>
              </w:rPr>
            </w:pPr>
            <w:r w:rsidRPr="00A15145">
              <w:rPr>
                <w:rFonts w:eastAsia="Yu Mincho" w:cs="Open Sans"/>
                <w:b/>
                <w:color w:val="FFFFFF" w:themeColor="background1"/>
                <w:lang w:val="en-US"/>
              </w:rPr>
              <w:t>Social Outcomes</w:t>
            </w:r>
          </w:p>
        </w:tc>
      </w:tr>
      <w:tr w:rsidR="003F290C" w:rsidRPr="003F290C" w14:paraId="14021B55" w14:textId="77777777" w:rsidTr="00D21626">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54" w:type="dxa"/>
            <w:gridSpan w:val="4"/>
            <w:shd w:val="clear" w:color="auto" w:fill="EEF4F4"/>
          </w:tcPr>
          <w:p w14:paraId="6FF13819" w14:textId="77777777" w:rsidR="003F290C" w:rsidRPr="003F290C" w:rsidRDefault="003F290C" w:rsidP="003F290C">
            <w:pPr>
              <w:spacing w:before="0" w:after="0"/>
              <w:rPr>
                <w:rFonts w:eastAsia="Yu Mincho" w:cs="Open Sans"/>
                <w:lang w:val="en-US"/>
              </w:rPr>
            </w:pPr>
            <w:r w:rsidRPr="003F290C">
              <w:rPr>
                <w:rFonts w:eastAsia="Yu Mincho" w:cs="Open Sans"/>
                <w:lang w:val="en-US"/>
              </w:rPr>
              <w:t>Risk and Protective Factors Related Measures</w:t>
            </w:r>
          </w:p>
        </w:tc>
      </w:tr>
      <w:tr w:rsidR="00D30270" w:rsidRPr="00A15145" w14:paraId="153613E8" w14:textId="77777777" w:rsidTr="00D302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Borders>
              <w:bottom w:val="single" w:sz="12" w:space="0" w:color="01615C"/>
            </w:tcBorders>
            <w:shd w:val="clear" w:color="auto" w:fill="06625D"/>
          </w:tcPr>
          <w:p w14:paraId="2FDF5649" w14:textId="77777777" w:rsidR="003F290C" w:rsidRPr="00A15145" w:rsidRDefault="003F290C" w:rsidP="003F290C">
            <w:pPr>
              <w:spacing w:before="0" w:after="0"/>
              <w:rPr>
                <w:rFonts w:eastAsia="Yu Mincho" w:cs="Open Sans"/>
                <w:b/>
                <w:bCs w:val="0"/>
                <w:color w:val="FFFFFF" w:themeColor="background1"/>
                <w:lang w:val="en-US"/>
              </w:rPr>
            </w:pPr>
            <w:r w:rsidRPr="00A15145">
              <w:rPr>
                <w:rFonts w:eastAsia="Yu Mincho" w:cs="Open Sans"/>
                <w:b/>
                <w:bCs w:val="0"/>
                <w:color w:val="FFFFFF" w:themeColor="background1"/>
                <w:lang w:val="en-US"/>
              </w:rPr>
              <w:t>Outcome</w:t>
            </w:r>
          </w:p>
        </w:tc>
        <w:tc>
          <w:tcPr>
            <w:tcW w:w="3259" w:type="dxa"/>
            <w:tcBorders>
              <w:bottom w:val="single" w:sz="12" w:space="0" w:color="01615C"/>
            </w:tcBorders>
            <w:shd w:val="clear" w:color="auto" w:fill="06625D"/>
          </w:tcPr>
          <w:p w14:paraId="25FDF029" w14:textId="77777777" w:rsidR="003F290C" w:rsidRPr="00A15145" w:rsidRDefault="003F290C"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b/>
                <w:color w:val="FFFFFF" w:themeColor="background1"/>
                <w:lang w:val="en-US"/>
              </w:rPr>
            </w:pPr>
            <w:r w:rsidRPr="00A15145">
              <w:rPr>
                <w:rFonts w:eastAsia="Yu Mincho" w:cs="Open Sans"/>
                <w:b/>
                <w:color w:val="FFFFFF" w:themeColor="background1"/>
                <w:lang w:val="en-US"/>
              </w:rPr>
              <w:t>Risk</w:t>
            </w:r>
          </w:p>
        </w:tc>
        <w:tc>
          <w:tcPr>
            <w:tcW w:w="1734" w:type="dxa"/>
            <w:tcBorders>
              <w:bottom w:val="single" w:sz="12" w:space="0" w:color="01615C"/>
            </w:tcBorders>
            <w:shd w:val="clear" w:color="auto" w:fill="06625D"/>
          </w:tcPr>
          <w:p w14:paraId="19F30CDE" w14:textId="77777777" w:rsidR="003F290C" w:rsidRPr="00A15145" w:rsidRDefault="003F290C"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b/>
                <w:color w:val="FFFFFF" w:themeColor="background1"/>
                <w:lang w:val="en-US"/>
              </w:rPr>
            </w:pPr>
            <w:r w:rsidRPr="00A15145">
              <w:rPr>
                <w:rFonts w:eastAsia="Yu Mincho" w:cs="Open Sans"/>
                <w:b/>
                <w:color w:val="FFFFFF" w:themeColor="background1"/>
                <w:lang w:val="en-US"/>
              </w:rPr>
              <w:t>Effect</w:t>
            </w:r>
          </w:p>
        </w:tc>
        <w:tc>
          <w:tcPr>
            <w:tcW w:w="1809" w:type="dxa"/>
            <w:tcBorders>
              <w:bottom w:val="single" w:sz="12" w:space="0" w:color="01615C"/>
            </w:tcBorders>
            <w:shd w:val="clear" w:color="auto" w:fill="06625D"/>
          </w:tcPr>
          <w:p w14:paraId="1C416E6D" w14:textId="77777777" w:rsidR="003F290C" w:rsidRPr="00A15145" w:rsidRDefault="003F290C"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b/>
                <w:color w:val="FFFFFF" w:themeColor="background1"/>
                <w:lang w:val="en-US"/>
              </w:rPr>
            </w:pPr>
            <w:r w:rsidRPr="00A15145">
              <w:rPr>
                <w:rFonts w:eastAsia="Yu Mincho" w:cs="Open Sans"/>
                <w:b/>
                <w:color w:val="FFFFFF" w:themeColor="background1"/>
                <w:lang w:val="en-US"/>
              </w:rPr>
              <w:t>Cost</w:t>
            </w:r>
          </w:p>
        </w:tc>
      </w:tr>
      <w:tr w:rsidR="003F290C" w:rsidRPr="003F290C" w14:paraId="78A1B595" w14:textId="77777777" w:rsidTr="00D302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Borders>
              <w:top w:val="single" w:sz="12" w:space="0" w:color="01615C"/>
            </w:tcBorders>
            <w:vAlign w:val="top"/>
          </w:tcPr>
          <w:p w14:paraId="56A6699F" w14:textId="77777777" w:rsidR="003F290C" w:rsidRPr="003F290C" w:rsidRDefault="003F290C" w:rsidP="003F290C">
            <w:pPr>
              <w:spacing w:before="0" w:after="0"/>
              <w:rPr>
                <w:rFonts w:eastAsia="Yu Mincho" w:cs="Open Sans"/>
                <w:lang w:val="en-US"/>
              </w:rPr>
            </w:pPr>
            <w:r w:rsidRPr="003F290C">
              <w:rPr>
                <w:rFonts w:eastAsia="Yu Mincho" w:cs="Open Sans"/>
                <w:lang w:val="en-US"/>
              </w:rPr>
              <w:t>School attendance</w:t>
            </w:r>
          </w:p>
        </w:tc>
        <w:tc>
          <w:tcPr>
            <w:tcW w:w="3259" w:type="dxa"/>
            <w:tcBorders>
              <w:top w:val="single" w:sz="12" w:space="0" w:color="01615C"/>
            </w:tcBorders>
          </w:tcPr>
          <w:p w14:paraId="492ED765" w14:textId="77777777" w:rsidR="003F290C" w:rsidRPr="003F290C" w:rsidRDefault="003F290C"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r w:rsidRPr="003F290C">
              <w:rPr>
                <w:rFonts w:eastAsia="Yu Mincho" w:cs="Open Sans"/>
                <w:lang w:val="en-US"/>
              </w:rPr>
              <w:t>20%</w:t>
            </w:r>
          </w:p>
        </w:tc>
        <w:tc>
          <w:tcPr>
            <w:tcW w:w="1734" w:type="dxa"/>
            <w:tcBorders>
              <w:top w:val="single" w:sz="12" w:space="0" w:color="01615C"/>
            </w:tcBorders>
            <w:vAlign w:val="top"/>
          </w:tcPr>
          <w:p w14:paraId="250A2758" w14:textId="77777777" w:rsidR="003F290C" w:rsidRPr="003F290C" w:rsidRDefault="003F290C"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r w:rsidRPr="003F290C">
              <w:rPr>
                <w:rFonts w:eastAsia="Yu Mincho" w:cs="Open Sans"/>
                <w:lang w:val="en-US"/>
              </w:rPr>
              <w:t>Variable</w:t>
            </w:r>
          </w:p>
        </w:tc>
        <w:tc>
          <w:tcPr>
            <w:tcW w:w="1809" w:type="dxa"/>
            <w:tcBorders>
              <w:top w:val="single" w:sz="12" w:space="0" w:color="01615C"/>
            </w:tcBorders>
            <w:vAlign w:val="top"/>
          </w:tcPr>
          <w:p w14:paraId="119412CB" w14:textId="77777777" w:rsidR="003F290C" w:rsidRPr="003F290C" w:rsidRDefault="003F290C"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r w:rsidRPr="003F290C">
              <w:rPr>
                <w:rFonts w:eastAsia="Yu Mincho" w:cs="Open Sans"/>
                <w:lang w:val="en-US"/>
              </w:rPr>
              <w:t>£6,176.00</w:t>
            </w:r>
          </w:p>
        </w:tc>
      </w:tr>
      <w:tr w:rsidR="003F290C" w:rsidRPr="003F290C" w14:paraId="5C85546E" w14:textId="77777777" w:rsidTr="00D302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Borders>
              <w:bottom w:val="single" w:sz="12" w:space="0" w:color="01615C"/>
            </w:tcBorders>
            <w:vAlign w:val="top"/>
          </w:tcPr>
          <w:p w14:paraId="6EC00C0A" w14:textId="77777777" w:rsidR="003F290C" w:rsidRPr="003F290C" w:rsidRDefault="003F290C" w:rsidP="003F290C">
            <w:pPr>
              <w:spacing w:before="0" w:after="0"/>
              <w:rPr>
                <w:rFonts w:eastAsia="Yu Mincho" w:cs="Open Sans"/>
                <w:lang w:val="en-US"/>
              </w:rPr>
            </w:pPr>
            <w:r w:rsidRPr="003F290C">
              <w:rPr>
                <w:rFonts w:eastAsia="Yu Mincho" w:cs="Open Sans"/>
                <w:lang w:val="en-US"/>
              </w:rPr>
              <w:t>Sources</w:t>
            </w:r>
          </w:p>
        </w:tc>
        <w:tc>
          <w:tcPr>
            <w:tcW w:w="3259" w:type="dxa"/>
            <w:tcBorders>
              <w:bottom w:val="single" w:sz="12" w:space="0" w:color="01615C"/>
            </w:tcBorders>
          </w:tcPr>
          <w:p w14:paraId="589ABFA9" w14:textId="77777777" w:rsidR="003F290C" w:rsidRPr="003F290C" w:rsidRDefault="003F290C"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r w:rsidRPr="003F290C">
              <w:rPr>
                <w:rFonts w:eastAsia="Yu Mincho" w:cs="Open Sans"/>
                <w:lang w:val="en-US"/>
              </w:rPr>
              <w:t xml:space="preserve">UK </w:t>
            </w:r>
            <w:hyperlink r:id="rId44" w:history="1">
              <w:r w:rsidRPr="003F290C">
                <w:rPr>
                  <w:rFonts w:eastAsia="Yu Mincho" w:cs="Open Sans"/>
                  <w:color w:val="0000FF"/>
                  <w:u w:val="single"/>
                  <w:lang w:val="en-US"/>
                </w:rPr>
                <w:t>Government</w:t>
              </w:r>
            </w:hyperlink>
          </w:p>
        </w:tc>
        <w:tc>
          <w:tcPr>
            <w:tcW w:w="1734" w:type="dxa"/>
            <w:tcBorders>
              <w:bottom w:val="single" w:sz="12" w:space="0" w:color="01615C"/>
            </w:tcBorders>
            <w:vAlign w:val="top"/>
          </w:tcPr>
          <w:p w14:paraId="43B7A31E" w14:textId="77777777" w:rsidR="003F290C" w:rsidRPr="003F290C" w:rsidRDefault="003F290C"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r w:rsidRPr="003F290C">
              <w:rPr>
                <w:rFonts w:eastAsia="Yu Mincho" w:cs="Open Sans"/>
                <w:lang w:val="en-US"/>
              </w:rPr>
              <w:t>Parent survey</w:t>
            </w:r>
          </w:p>
        </w:tc>
        <w:tc>
          <w:tcPr>
            <w:tcW w:w="1809" w:type="dxa"/>
            <w:tcBorders>
              <w:bottom w:val="single" w:sz="12" w:space="0" w:color="01615C"/>
            </w:tcBorders>
            <w:vAlign w:val="top"/>
          </w:tcPr>
          <w:p w14:paraId="76F97EE0" w14:textId="77777777" w:rsidR="003F290C" w:rsidRPr="003F290C" w:rsidRDefault="00EC054E"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hyperlink r:id="rId45" w:history="1">
              <w:r w:rsidR="003F290C" w:rsidRPr="003F290C">
                <w:rPr>
                  <w:rFonts w:eastAsia="Yu Mincho" w:cs="Open Sans"/>
                  <w:color w:val="0000FF"/>
                  <w:u w:val="single"/>
                  <w:lang w:val="en-US"/>
                </w:rPr>
                <w:t>NPC</w:t>
              </w:r>
            </w:hyperlink>
          </w:p>
        </w:tc>
      </w:tr>
      <w:tr w:rsidR="003F290C" w:rsidRPr="003F290C" w14:paraId="1010148B" w14:textId="77777777" w:rsidTr="00EC5A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54" w:type="dxa"/>
            <w:gridSpan w:val="4"/>
            <w:shd w:val="clear" w:color="auto" w:fill="06625D"/>
          </w:tcPr>
          <w:p w14:paraId="0204DFF3" w14:textId="77777777" w:rsidR="003F290C" w:rsidRPr="003F290C" w:rsidRDefault="003F290C" w:rsidP="003F290C">
            <w:pPr>
              <w:spacing w:before="0" w:after="0"/>
              <w:rPr>
                <w:rFonts w:eastAsia="Yu Mincho" w:cs="Open Sans"/>
                <w:lang w:val="en-US"/>
              </w:rPr>
            </w:pPr>
            <w:r w:rsidRPr="003F290C">
              <w:rPr>
                <w:rFonts w:eastAsia="Yu Mincho" w:cs="Open Sans"/>
                <w:color w:val="FFFFFF" w:themeColor="background1"/>
                <w:lang w:val="en-US"/>
              </w:rPr>
              <w:t>Other Measures</w:t>
            </w:r>
          </w:p>
        </w:tc>
      </w:tr>
      <w:tr w:rsidR="003F290C" w:rsidRPr="003F290C" w14:paraId="51548E8D" w14:textId="77777777" w:rsidTr="00D302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Borders>
              <w:top w:val="single" w:sz="12" w:space="0" w:color="01615C"/>
            </w:tcBorders>
            <w:vAlign w:val="top"/>
          </w:tcPr>
          <w:p w14:paraId="53F0D2DE" w14:textId="65A9CBD1" w:rsidR="003F290C" w:rsidRPr="003F290C" w:rsidRDefault="003F290C" w:rsidP="003F290C">
            <w:pPr>
              <w:spacing w:before="0" w:after="0"/>
              <w:rPr>
                <w:rFonts w:eastAsia="Yu Mincho" w:cs="Open Sans"/>
                <w:lang w:val="en-US"/>
              </w:rPr>
            </w:pPr>
            <w:r w:rsidRPr="003F290C">
              <w:rPr>
                <w:rFonts w:eastAsia="Yu Mincho" w:cs="Open Sans"/>
                <w:lang w:val="en-US"/>
              </w:rPr>
              <w:t>Education</w:t>
            </w:r>
            <w:r w:rsidR="002B70FF">
              <w:rPr>
                <w:rFonts w:eastAsia="Yu Mincho" w:cs="Open Sans"/>
                <w:lang w:val="en-US"/>
              </w:rPr>
              <w:t xml:space="preserve"> </w:t>
            </w:r>
            <w:r w:rsidRPr="003F290C">
              <w:rPr>
                <w:rFonts w:eastAsia="Yu Mincho" w:cs="Open Sans"/>
                <w:lang w:val="en-US"/>
              </w:rPr>
              <w:t>attainment</w:t>
            </w:r>
          </w:p>
        </w:tc>
        <w:tc>
          <w:tcPr>
            <w:tcW w:w="3259" w:type="dxa"/>
            <w:tcBorders>
              <w:top w:val="single" w:sz="12" w:space="0" w:color="01615C"/>
            </w:tcBorders>
          </w:tcPr>
          <w:p w14:paraId="58D66C3C" w14:textId="77777777" w:rsidR="003F290C" w:rsidRPr="003F290C" w:rsidRDefault="003F290C"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r w:rsidRPr="003F290C">
              <w:rPr>
                <w:rFonts w:eastAsia="Yu Mincho" w:cs="Open Sans"/>
                <w:lang w:val="en-US"/>
              </w:rPr>
              <w:t>1%</w:t>
            </w:r>
          </w:p>
        </w:tc>
        <w:tc>
          <w:tcPr>
            <w:tcW w:w="3543" w:type="dxa"/>
            <w:gridSpan w:val="2"/>
            <w:tcBorders>
              <w:top w:val="single" w:sz="12" w:space="0" w:color="01615C"/>
            </w:tcBorders>
            <w:vAlign w:val="top"/>
          </w:tcPr>
          <w:p w14:paraId="35030E9E" w14:textId="77777777" w:rsidR="003F290C" w:rsidRPr="003F290C" w:rsidRDefault="003F290C"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r w:rsidRPr="003F290C">
              <w:rPr>
                <w:rFonts w:eastAsia="Yu Mincho" w:cs="Open Sans"/>
                <w:lang w:val="en-US"/>
              </w:rPr>
              <w:t>£116,361m/91,444f</w:t>
            </w:r>
          </w:p>
        </w:tc>
      </w:tr>
      <w:tr w:rsidR="003F290C" w:rsidRPr="003F290C" w14:paraId="7CA7542C" w14:textId="77777777" w:rsidTr="00D302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Borders>
              <w:bottom w:val="single" w:sz="12" w:space="0" w:color="01615C"/>
            </w:tcBorders>
            <w:vAlign w:val="top"/>
          </w:tcPr>
          <w:p w14:paraId="33ED982E" w14:textId="77777777" w:rsidR="003F290C" w:rsidRPr="003F290C" w:rsidRDefault="003F290C" w:rsidP="003F290C">
            <w:pPr>
              <w:spacing w:before="0" w:after="0"/>
              <w:rPr>
                <w:rFonts w:eastAsia="Yu Mincho" w:cs="Open Sans"/>
                <w:lang w:val="en-US"/>
              </w:rPr>
            </w:pPr>
            <w:r w:rsidRPr="003F290C">
              <w:rPr>
                <w:rFonts w:eastAsia="Yu Mincho" w:cs="Open Sans"/>
                <w:lang w:val="en-US"/>
              </w:rPr>
              <w:lastRenderedPageBreak/>
              <w:t>Source</w:t>
            </w:r>
          </w:p>
        </w:tc>
        <w:tc>
          <w:tcPr>
            <w:tcW w:w="3259" w:type="dxa"/>
            <w:tcBorders>
              <w:bottom w:val="single" w:sz="12" w:space="0" w:color="01615C"/>
            </w:tcBorders>
          </w:tcPr>
          <w:p w14:paraId="3CF3F833" w14:textId="77777777" w:rsidR="003F290C" w:rsidRPr="003F290C" w:rsidRDefault="00EC054E"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hyperlink r:id="rId46" w:history="1">
              <w:r w:rsidR="003F290C" w:rsidRPr="003F290C">
                <w:rPr>
                  <w:rFonts w:eastAsia="Yu Mincho" w:cs="Open Sans"/>
                  <w:color w:val="0000FF"/>
                  <w:u w:val="single"/>
                  <w:lang w:val="en-US"/>
                </w:rPr>
                <w:t>SHU</w:t>
              </w:r>
            </w:hyperlink>
          </w:p>
        </w:tc>
        <w:tc>
          <w:tcPr>
            <w:tcW w:w="3543" w:type="dxa"/>
            <w:gridSpan w:val="2"/>
            <w:tcBorders>
              <w:bottom w:val="single" w:sz="12" w:space="0" w:color="01615C"/>
            </w:tcBorders>
            <w:vAlign w:val="top"/>
          </w:tcPr>
          <w:p w14:paraId="76858E0C" w14:textId="77777777" w:rsidR="003F290C" w:rsidRPr="003F290C" w:rsidRDefault="00EC054E"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hyperlink r:id="rId47" w:history="1">
              <w:r w:rsidR="003F290C" w:rsidRPr="003F290C">
                <w:rPr>
                  <w:rFonts w:eastAsia="Yu Mincho" w:cs="Open Sans"/>
                  <w:color w:val="0000FF"/>
                  <w:u w:val="single"/>
                  <w:lang w:val="en-US"/>
                </w:rPr>
                <w:t>OECD</w:t>
              </w:r>
            </w:hyperlink>
          </w:p>
        </w:tc>
      </w:tr>
      <w:tr w:rsidR="003F290C" w:rsidRPr="003F290C" w14:paraId="7C2FCB3D" w14:textId="77777777" w:rsidTr="00D302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Pr>
          <w:p w14:paraId="3A5518E4" w14:textId="77777777" w:rsidR="003F290C" w:rsidRPr="003F290C" w:rsidRDefault="003F290C" w:rsidP="003F290C">
            <w:pPr>
              <w:spacing w:before="0" w:after="0"/>
              <w:rPr>
                <w:rFonts w:eastAsia="Yu Mincho" w:cs="Open Sans"/>
                <w:lang w:val="en-US"/>
              </w:rPr>
            </w:pPr>
            <w:r w:rsidRPr="003F290C">
              <w:rPr>
                <w:rFonts w:eastAsia="Yu Mincho" w:cs="Open Sans"/>
                <w:lang w:val="en-US"/>
              </w:rPr>
              <w:t>Volunteering</w:t>
            </w:r>
          </w:p>
        </w:tc>
        <w:tc>
          <w:tcPr>
            <w:tcW w:w="6802" w:type="dxa"/>
            <w:gridSpan w:val="3"/>
          </w:tcPr>
          <w:p w14:paraId="6DA8B4DF" w14:textId="77777777" w:rsidR="003F290C" w:rsidRPr="003F290C" w:rsidRDefault="003F290C"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r w:rsidRPr="003F290C">
              <w:rPr>
                <w:rFonts w:eastAsia="Yu Mincho" w:cs="Open Sans"/>
                <w:lang w:val="en-US"/>
              </w:rPr>
              <w:t>£11.44 Adult minimum wage proxy value</w:t>
            </w:r>
          </w:p>
        </w:tc>
      </w:tr>
      <w:tr w:rsidR="003F290C" w:rsidRPr="003F290C" w14:paraId="29175895" w14:textId="77777777" w:rsidTr="00D302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Borders>
              <w:bottom w:val="single" w:sz="12" w:space="0" w:color="01615C"/>
            </w:tcBorders>
          </w:tcPr>
          <w:p w14:paraId="5094E9A8" w14:textId="77777777" w:rsidR="003F290C" w:rsidRPr="003F290C" w:rsidRDefault="003F290C" w:rsidP="003F290C">
            <w:pPr>
              <w:spacing w:before="0" w:after="0"/>
              <w:rPr>
                <w:rFonts w:eastAsia="Yu Mincho" w:cs="Open Sans"/>
                <w:lang w:val="en-US"/>
              </w:rPr>
            </w:pPr>
            <w:r w:rsidRPr="003F290C">
              <w:rPr>
                <w:rFonts w:eastAsia="Yu Mincho" w:cs="Open Sans"/>
                <w:lang w:val="en-US"/>
              </w:rPr>
              <w:t>Sources</w:t>
            </w:r>
          </w:p>
        </w:tc>
        <w:tc>
          <w:tcPr>
            <w:tcW w:w="6802" w:type="dxa"/>
            <w:gridSpan w:val="3"/>
            <w:tcBorders>
              <w:bottom w:val="single" w:sz="12" w:space="0" w:color="01615C"/>
            </w:tcBorders>
          </w:tcPr>
          <w:p w14:paraId="7BD4ADAA" w14:textId="77777777" w:rsidR="003F290C" w:rsidRPr="003F290C" w:rsidRDefault="00EC054E"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hyperlink r:id="rId48" w:history="1">
              <w:r w:rsidR="003F290C" w:rsidRPr="003F290C">
                <w:rPr>
                  <w:rFonts w:eastAsia="Yu Mincho" w:cs="Open Sans"/>
                  <w:color w:val="0000FF"/>
                  <w:u w:val="single"/>
                  <w:lang w:val="en-US"/>
                </w:rPr>
                <w:t>HM Gov</w:t>
              </w:r>
            </w:hyperlink>
          </w:p>
        </w:tc>
      </w:tr>
      <w:tr w:rsidR="003F290C" w:rsidRPr="003F290C" w14:paraId="191C5D8C" w14:textId="77777777" w:rsidTr="00D302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Pr>
          <w:p w14:paraId="7FAE0F7C" w14:textId="77777777" w:rsidR="003F290C" w:rsidRPr="003F290C" w:rsidRDefault="003F290C" w:rsidP="003F290C">
            <w:pPr>
              <w:spacing w:before="0" w:after="0"/>
              <w:rPr>
                <w:rFonts w:eastAsia="Yu Mincho" w:cs="Open Sans"/>
                <w:lang w:val="en-US"/>
              </w:rPr>
            </w:pPr>
            <w:r w:rsidRPr="003F290C">
              <w:rPr>
                <w:rFonts w:eastAsia="Yu Mincho" w:cs="Open Sans"/>
                <w:lang w:val="en-US"/>
              </w:rPr>
              <w:t>Training</w:t>
            </w:r>
          </w:p>
        </w:tc>
        <w:tc>
          <w:tcPr>
            <w:tcW w:w="6802" w:type="dxa"/>
            <w:gridSpan w:val="3"/>
          </w:tcPr>
          <w:p w14:paraId="53951390" w14:textId="77777777" w:rsidR="003F290C" w:rsidRPr="003F290C" w:rsidRDefault="003F290C"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r w:rsidRPr="003F290C">
              <w:rPr>
                <w:rFonts w:eastAsia="Yu Mincho" w:cs="Open Sans"/>
                <w:lang w:val="en-US"/>
              </w:rPr>
              <w:t>£35 proxy value per training session</w:t>
            </w:r>
          </w:p>
        </w:tc>
      </w:tr>
      <w:tr w:rsidR="003F290C" w:rsidRPr="003F290C" w14:paraId="6AC97425" w14:textId="77777777" w:rsidTr="00D302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Borders>
              <w:bottom w:val="single" w:sz="12" w:space="0" w:color="01615C"/>
            </w:tcBorders>
          </w:tcPr>
          <w:p w14:paraId="703D7C5A" w14:textId="77777777" w:rsidR="003F290C" w:rsidRPr="003F290C" w:rsidRDefault="003F290C" w:rsidP="003F290C">
            <w:pPr>
              <w:spacing w:before="0" w:after="0"/>
              <w:rPr>
                <w:rFonts w:eastAsia="Yu Mincho" w:cs="Open Sans"/>
                <w:lang w:val="en-US"/>
              </w:rPr>
            </w:pPr>
            <w:r w:rsidRPr="003F290C">
              <w:rPr>
                <w:rFonts w:eastAsia="Yu Mincho" w:cs="Open Sans"/>
                <w:lang w:val="en-US"/>
              </w:rPr>
              <w:t>Sources</w:t>
            </w:r>
          </w:p>
        </w:tc>
        <w:tc>
          <w:tcPr>
            <w:tcW w:w="6802" w:type="dxa"/>
            <w:gridSpan w:val="3"/>
            <w:tcBorders>
              <w:bottom w:val="single" w:sz="12" w:space="0" w:color="01615C"/>
            </w:tcBorders>
          </w:tcPr>
          <w:p w14:paraId="01D88741" w14:textId="77777777" w:rsidR="003F290C" w:rsidRPr="003F290C" w:rsidRDefault="003F290C"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r w:rsidRPr="003F290C">
              <w:rPr>
                <w:rFonts w:eastAsia="Yu Mincho" w:cs="Open Sans"/>
                <w:lang w:val="en-US"/>
              </w:rPr>
              <w:t>Market rate</w:t>
            </w:r>
          </w:p>
        </w:tc>
      </w:tr>
      <w:tr w:rsidR="003F290C" w:rsidRPr="003F290C" w14:paraId="55DFC2B9" w14:textId="77777777" w:rsidTr="00D302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Borders>
              <w:top w:val="single" w:sz="12" w:space="0" w:color="01615C"/>
            </w:tcBorders>
            <w:vAlign w:val="top"/>
          </w:tcPr>
          <w:p w14:paraId="4D799DBD" w14:textId="77777777" w:rsidR="003F290C" w:rsidRPr="003F290C" w:rsidRDefault="003F290C" w:rsidP="003F290C">
            <w:pPr>
              <w:spacing w:before="0" w:after="0"/>
              <w:rPr>
                <w:rFonts w:eastAsia="Yu Mincho" w:cs="Open Sans"/>
                <w:lang w:val="en-US"/>
              </w:rPr>
            </w:pPr>
            <w:r w:rsidRPr="003F290C">
              <w:rPr>
                <w:rFonts w:eastAsia="Yu Mincho" w:cs="Open Sans"/>
                <w:lang w:val="en-US"/>
              </w:rPr>
              <w:t xml:space="preserve">NEET </w:t>
            </w:r>
          </w:p>
        </w:tc>
        <w:tc>
          <w:tcPr>
            <w:tcW w:w="6802" w:type="dxa"/>
            <w:gridSpan w:val="3"/>
            <w:tcBorders>
              <w:top w:val="single" w:sz="12" w:space="0" w:color="01615C"/>
            </w:tcBorders>
          </w:tcPr>
          <w:p w14:paraId="4DA53499" w14:textId="77777777" w:rsidR="003F290C" w:rsidRPr="003F290C" w:rsidRDefault="003F290C"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r w:rsidRPr="003F290C">
              <w:rPr>
                <w:rFonts w:eastAsia="Yu Mincho" w:cs="Open Sans"/>
                <w:lang w:val="en-US"/>
              </w:rPr>
              <w:t>£15,992.01</w:t>
            </w:r>
          </w:p>
        </w:tc>
      </w:tr>
      <w:tr w:rsidR="003F290C" w:rsidRPr="003F290C" w14:paraId="1D3163C6" w14:textId="77777777" w:rsidTr="00D302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Pr>
          <w:p w14:paraId="043E17B1" w14:textId="77777777" w:rsidR="003F290C" w:rsidRPr="003F290C" w:rsidRDefault="003F290C" w:rsidP="003F290C">
            <w:pPr>
              <w:spacing w:before="0" w:after="0"/>
              <w:rPr>
                <w:rFonts w:eastAsia="Yu Mincho" w:cs="Open Sans"/>
                <w:lang w:val="en-US"/>
              </w:rPr>
            </w:pPr>
            <w:r w:rsidRPr="003F290C">
              <w:rPr>
                <w:rFonts w:eastAsia="Yu Mincho" w:cs="Open Sans"/>
                <w:lang w:val="en-US"/>
              </w:rPr>
              <w:t>Sources</w:t>
            </w:r>
          </w:p>
        </w:tc>
        <w:tc>
          <w:tcPr>
            <w:tcW w:w="6802" w:type="dxa"/>
            <w:gridSpan w:val="3"/>
          </w:tcPr>
          <w:p w14:paraId="5D1F84AA" w14:textId="77777777" w:rsidR="003F290C" w:rsidRPr="003F290C" w:rsidRDefault="00EC054E"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hyperlink r:id="rId49" w:history="1">
              <w:proofErr w:type="spellStart"/>
              <w:r w:rsidR="003F290C" w:rsidRPr="003F290C">
                <w:rPr>
                  <w:rFonts w:eastAsia="Yu Mincho" w:cs="Open Sans"/>
                  <w:color w:val="0000FF"/>
                  <w:u w:val="single"/>
                  <w:lang w:val="en-US"/>
                </w:rPr>
                <w:t>Ciclavoro</w:t>
              </w:r>
              <w:proofErr w:type="spellEnd"/>
            </w:hyperlink>
          </w:p>
        </w:tc>
      </w:tr>
      <w:tr w:rsidR="003F290C" w:rsidRPr="001C10AD" w14:paraId="02F43FE5" w14:textId="77777777" w:rsidTr="009F3D0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54" w:type="dxa"/>
            <w:gridSpan w:val="4"/>
            <w:shd w:val="clear" w:color="auto" w:fill="06625D"/>
          </w:tcPr>
          <w:p w14:paraId="0ACD59A2" w14:textId="3BDF8624" w:rsidR="009F3D0B" w:rsidRPr="001C10AD" w:rsidRDefault="003F290C" w:rsidP="003F290C">
            <w:pPr>
              <w:spacing w:before="0" w:after="0"/>
              <w:rPr>
                <w:rFonts w:eastAsia="Yu Mincho" w:cs="Open Sans"/>
                <w:b/>
                <w:color w:val="FFFFFF" w:themeColor="background1"/>
                <w:lang w:val="en-US"/>
              </w:rPr>
            </w:pPr>
            <w:r w:rsidRPr="001C10AD">
              <w:rPr>
                <w:rFonts w:eastAsia="Yu Mincho" w:cs="Open Sans"/>
                <w:b/>
                <w:color w:val="FFFFFF" w:themeColor="background1"/>
                <w:lang w:val="en-US"/>
              </w:rPr>
              <w:t>Economic Outcomes</w:t>
            </w:r>
          </w:p>
        </w:tc>
      </w:tr>
      <w:tr w:rsidR="003F290C" w:rsidRPr="003F290C" w14:paraId="6DBFF579" w14:textId="77777777" w:rsidTr="00D302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Borders>
              <w:top w:val="single" w:sz="12" w:space="0" w:color="01615C"/>
            </w:tcBorders>
          </w:tcPr>
          <w:p w14:paraId="6F43F5D3" w14:textId="77777777" w:rsidR="003F290C" w:rsidRPr="003F290C" w:rsidRDefault="003F290C" w:rsidP="003F290C">
            <w:pPr>
              <w:spacing w:before="0" w:after="0"/>
              <w:rPr>
                <w:rFonts w:eastAsia="Yu Mincho" w:cs="Open Sans"/>
                <w:lang w:val="en-US"/>
              </w:rPr>
            </w:pPr>
            <w:r w:rsidRPr="003F290C">
              <w:rPr>
                <w:rFonts w:eastAsia="Yu Mincho" w:cs="Open Sans"/>
                <w:lang w:val="en-US"/>
              </w:rPr>
              <w:t>Working hours</w:t>
            </w:r>
          </w:p>
        </w:tc>
        <w:tc>
          <w:tcPr>
            <w:tcW w:w="6802" w:type="dxa"/>
            <w:gridSpan w:val="3"/>
            <w:tcBorders>
              <w:top w:val="single" w:sz="12" w:space="0" w:color="01615C"/>
            </w:tcBorders>
          </w:tcPr>
          <w:p w14:paraId="1D3AA45B" w14:textId="77777777" w:rsidR="003F290C" w:rsidRPr="003F290C" w:rsidRDefault="003F290C"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r w:rsidRPr="003F290C">
              <w:rPr>
                <w:rFonts w:eastAsia="Yu Mincho" w:cs="Open Sans"/>
                <w:lang w:val="en-US"/>
              </w:rPr>
              <w:t>£11.44 Adult minimum wage proxy value</w:t>
            </w:r>
          </w:p>
        </w:tc>
      </w:tr>
      <w:tr w:rsidR="003F290C" w:rsidRPr="003F290C" w14:paraId="069895F5" w14:textId="77777777" w:rsidTr="00D302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Pr>
          <w:p w14:paraId="7839088F" w14:textId="77777777" w:rsidR="003F290C" w:rsidRPr="003F290C" w:rsidRDefault="003F290C" w:rsidP="003F290C">
            <w:pPr>
              <w:spacing w:before="0" w:after="0"/>
              <w:rPr>
                <w:rFonts w:eastAsia="Yu Mincho" w:cs="Open Sans"/>
                <w:lang w:val="en-US"/>
              </w:rPr>
            </w:pPr>
            <w:r w:rsidRPr="003F290C">
              <w:rPr>
                <w:rFonts w:eastAsia="Yu Mincho" w:cs="Open Sans"/>
                <w:lang w:val="en-US"/>
              </w:rPr>
              <w:t>Sources</w:t>
            </w:r>
          </w:p>
        </w:tc>
        <w:tc>
          <w:tcPr>
            <w:tcW w:w="6802" w:type="dxa"/>
            <w:gridSpan w:val="3"/>
          </w:tcPr>
          <w:p w14:paraId="3F0A3B7A" w14:textId="77777777" w:rsidR="003F290C" w:rsidRPr="003F290C" w:rsidRDefault="00EC054E"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hyperlink r:id="rId50" w:history="1">
              <w:r w:rsidR="003F290C" w:rsidRPr="003F290C">
                <w:rPr>
                  <w:rFonts w:eastAsia="Yu Mincho" w:cs="Open Sans"/>
                  <w:color w:val="0000FF"/>
                  <w:u w:val="single"/>
                  <w:lang w:val="en-US"/>
                </w:rPr>
                <w:t>HM Gov</w:t>
              </w:r>
            </w:hyperlink>
          </w:p>
        </w:tc>
      </w:tr>
      <w:tr w:rsidR="003F290C" w:rsidRPr="003F290C" w14:paraId="1F2027CA" w14:textId="77777777" w:rsidTr="00D302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vAlign w:val="top"/>
          </w:tcPr>
          <w:p w14:paraId="26BD9B4B" w14:textId="77777777" w:rsidR="003F290C" w:rsidRPr="003F290C" w:rsidRDefault="003F290C" w:rsidP="003F290C">
            <w:pPr>
              <w:spacing w:before="0" w:after="0"/>
              <w:rPr>
                <w:rFonts w:eastAsia="Yu Mincho" w:cs="Open Sans"/>
                <w:lang w:val="en-US"/>
              </w:rPr>
            </w:pPr>
            <w:r w:rsidRPr="003F290C">
              <w:rPr>
                <w:rFonts w:eastAsia="Yu Mincho" w:cs="Open Sans"/>
                <w:lang w:val="en-US"/>
              </w:rPr>
              <w:t>Spending</w:t>
            </w:r>
          </w:p>
        </w:tc>
        <w:tc>
          <w:tcPr>
            <w:tcW w:w="3259" w:type="dxa"/>
          </w:tcPr>
          <w:p w14:paraId="52FB4411" w14:textId="77777777" w:rsidR="003F290C" w:rsidRPr="003F290C" w:rsidRDefault="003F290C"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r w:rsidRPr="003F290C">
              <w:rPr>
                <w:rFonts w:eastAsia="Yu Mincho" w:cs="Open Sans"/>
                <w:lang w:val="en-US"/>
              </w:rPr>
              <w:t>Spend: Variable</w:t>
            </w:r>
          </w:p>
        </w:tc>
        <w:tc>
          <w:tcPr>
            <w:tcW w:w="3543" w:type="dxa"/>
            <w:gridSpan w:val="2"/>
            <w:vAlign w:val="top"/>
          </w:tcPr>
          <w:p w14:paraId="0C6F2662" w14:textId="77777777" w:rsidR="003F290C" w:rsidRPr="003F290C" w:rsidRDefault="003F290C"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r w:rsidRPr="003F290C">
              <w:rPr>
                <w:rFonts w:eastAsia="Yu Mincho" w:cs="Open Sans"/>
                <w:lang w:val="en-US"/>
              </w:rPr>
              <w:t>Sector multipliers</w:t>
            </w:r>
          </w:p>
        </w:tc>
      </w:tr>
      <w:tr w:rsidR="003F290C" w:rsidRPr="003F290C" w14:paraId="53F31A45" w14:textId="77777777" w:rsidTr="00D302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tcBorders>
              <w:bottom w:val="single" w:sz="12" w:space="0" w:color="01615C"/>
            </w:tcBorders>
            <w:vAlign w:val="top"/>
          </w:tcPr>
          <w:p w14:paraId="2FA32DFA" w14:textId="77777777" w:rsidR="003F290C" w:rsidRPr="003F290C" w:rsidRDefault="003F290C" w:rsidP="003F290C">
            <w:pPr>
              <w:spacing w:before="0" w:after="0"/>
              <w:rPr>
                <w:rFonts w:eastAsia="Yu Mincho" w:cs="Open Sans"/>
                <w:lang w:val="en-US"/>
              </w:rPr>
            </w:pPr>
            <w:r w:rsidRPr="003F290C">
              <w:rPr>
                <w:rFonts w:eastAsia="Yu Mincho" w:cs="Open Sans"/>
                <w:lang w:val="en-US"/>
              </w:rPr>
              <w:t>Sources</w:t>
            </w:r>
          </w:p>
        </w:tc>
        <w:tc>
          <w:tcPr>
            <w:tcW w:w="3259" w:type="dxa"/>
            <w:tcBorders>
              <w:bottom w:val="single" w:sz="12" w:space="0" w:color="01615C"/>
            </w:tcBorders>
          </w:tcPr>
          <w:p w14:paraId="22278F23" w14:textId="77777777" w:rsidR="003F290C" w:rsidRPr="003F290C" w:rsidRDefault="003F290C"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r w:rsidRPr="003F290C">
              <w:rPr>
                <w:rFonts w:eastAsia="Yu Mincho" w:cs="Open Sans"/>
                <w:lang w:val="en-US"/>
              </w:rPr>
              <w:t>Parent survey</w:t>
            </w:r>
          </w:p>
        </w:tc>
        <w:tc>
          <w:tcPr>
            <w:tcW w:w="3543" w:type="dxa"/>
            <w:gridSpan w:val="2"/>
            <w:tcBorders>
              <w:bottom w:val="single" w:sz="12" w:space="0" w:color="01615C"/>
            </w:tcBorders>
            <w:vAlign w:val="top"/>
          </w:tcPr>
          <w:p w14:paraId="62AAF7D9" w14:textId="77777777" w:rsidR="003F290C" w:rsidRPr="003F290C" w:rsidRDefault="00EC054E"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hyperlink r:id="rId51" w:history="1">
              <w:r w:rsidR="003F290C" w:rsidRPr="003F290C">
                <w:rPr>
                  <w:rFonts w:eastAsia="Yu Mincho" w:cs="Open Sans"/>
                  <w:color w:val="0000FF"/>
                  <w:u w:val="single"/>
                  <w:lang w:val="en-US"/>
                </w:rPr>
                <w:t>EU</w:t>
              </w:r>
            </w:hyperlink>
          </w:p>
        </w:tc>
      </w:tr>
      <w:tr w:rsidR="003F290C" w:rsidRPr="001C10AD" w14:paraId="2F2F000C" w14:textId="77777777" w:rsidTr="00EC5A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54" w:type="dxa"/>
            <w:gridSpan w:val="4"/>
            <w:shd w:val="clear" w:color="auto" w:fill="06625D"/>
          </w:tcPr>
          <w:p w14:paraId="3043AC1F" w14:textId="77777777" w:rsidR="003F290C" w:rsidRPr="001C10AD" w:rsidRDefault="003F290C" w:rsidP="003F290C">
            <w:pPr>
              <w:spacing w:before="0" w:after="0"/>
              <w:rPr>
                <w:rFonts w:eastAsia="Yu Mincho" w:cs="Open Sans"/>
                <w:b/>
                <w:bCs w:val="0"/>
                <w:lang w:val="en-US"/>
              </w:rPr>
            </w:pPr>
            <w:r w:rsidRPr="001C10AD">
              <w:rPr>
                <w:rFonts w:eastAsia="Yu Mincho" w:cs="Open Sans"/>
                <w:b/>
                <w:bCs w:val="0"/>
                <w:color w:val="FFFFFF" w:themeColor="background1"/>
                <w:lang w:val="en-US"/>
              </w:rPr>
              <w:t>Other Data</w:t>
            </w:r>
          </w:p>
        </w:tc>
      </w:tr>
      <w:tr w:rsidR="003F290C" w:rsidRPr="003F290C" w14:paraId="7E5F207D" w14:textId="77777777" w:rsidTr="00D302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vAlign w:val="top"/>
          </w:tcPr>
          <w:p w14:paraId="39219D95" w14:textId="77777777" w:rsidR="003F290C" w:rsidRPr="003F290C" w:rsidRDefault="003F290C" w:rsidP="003F290C">
            <w:pPr>
              <w:spacing w:before="0" w:after="0"/>
              <w:rPr>
                <w:rFonts w:eastAsia="Yu Mincho" w:cs="Open Sans"/>
                <w:lang w:val="en-US"/>
              </w:rPr>
            </w:pPr>
            <w:r w:rsidRPr="003F290C">
              <w:rPr>
                <w:rFonts w:eastAsia="Yu Mincho" w:cs="Open Sans"/>
                <w:lang w:val="en-US"/>
              </w:rPr>
              <w:t>Physical inactivity rates</w:t>
            </w:r>
          </w:p>
        </w:tc>
        <w:tc>
          <w:tcPr>
            <w:tcW w:w="6802" w:type="dxa"/>
            <w:gridSpan w:val="3"/>
          </w:tcPr>
          <w:p w14:paraId="59A73312" w14:textId="77777777" w:rsidR="003F290C" w:rsidRPr="003F290C" w:rsidRDefault="003F290C" w:rsidP="003F290C">
            <w:pPr>
              <w:spacing w:before="0" w:after="0"/>
              <w:cnfStyle w:val="000000100000" w:firstRow="0" w:lastRow="0" w:firstColumn="0" w:lastColumn="0" w:oddVBand="0" w:evenVBand="0" w:oddHBand="1" w:evenHBand="0" w:firstRowFirstColumn="0" w:firstRowLastColumn="0" w:lastRowFirstColumn="0" w:lastRowLastColumn="0"/>
              <w:rPr>
                <w:rFonts w:eastAsia="Yu Mincho" w:cs="Open Sans"/>
                <w:lang w:val="en-US"/>
              </w:rPr>
            </w:pPr>
            <w:r w:rsidRPr="003F290C">
              <w:rPr>
                <w:rFonts w:eastAsia="Yu Mincho" w:cs="Open Sans"/>
                <w:lang w:val="en-US"/>
              </w:rPr>
              <w:t>28.9%</w:t>
            </w:r>
          </w:p>
        </w:tc>
      </w:tr>
      <w:tr w:rsidR="003F290C" w:rsidRPr="003F290C" w14:paraId="5B4D17D9" w14:textId="77777777" w:rsidTr="00D302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vAlign w:val="top"/>
          </w:tcPr>
          <w:p w14:paraId="226E4B48" w14:textId="77777777" w:rsidR="003F290C" w:rsidRPr="003F290C" w:rsidRDefault="003F290C" w:rsidP="003F290C">
            <w:pPr>
              <w:spacing w:before="0" w:after="0"/>
              <w:rPr>
                <w:rFonts w:eastAsia="Yu Mincho" w:cs="Open Sans"/>
                <w:lang w:val="en-US"/>
              </w:rPr>
            </w:pPr>
          </w:p>
        </w:tc>
        <w:tc>
          <w:tcPr>
            <w:tcW w:w="6802" w:type="dxa"/>
            <w:gridSpan w:val="3"/>
          </w:tcPr>
          <w:p w14:paraId="7C4AC3F9" w14:textId="77777777" w:rsidR="003F290C" w:rsidRPr="003F290C" w:rsidRDefault="00EC054E" w:rsidP="003F290C">
            <w:pPr>
              <w:spacing w:before="0" w:after="0"/>
              <w:cnfStyle w:val="000000010000" w:firstRow="0" w:lastRow="0" w:firstColumn="0" w:lastColumn="0" w:oddVBand="0" w:evenVBand="0" w:oddHBand="0" w:evenHBand="1" w:firstRowFirstColumn="0" w:firstRowLastColumn="0" w:lastRowFirstColumn="0" w:lastRowLastColumn="0"/>
              <w:rPr>
                <w:rFonts w:eastAsia="Yu Mincho" w:cs="Open Sans"/>
                <w:lang w:val="en-US"/>
              </w:rPr>
            </w:pPr>
            <w:hyperlink r:id="rId52" w:history="1">
              <w:r w:rsidR="003F290C" w:rsidRPr="003F290C">
                <w:rPr>
                  <w:rFonts w:eastAsia="Yu Mincho" w:cs="Open Sans"/>
                  <w:color w:val="0000FF"/>
                  <w:u w:val="single"/>
                  <w:lang w:val="en-US"/>
                </w:rPr>
                <w:t>Sport England</w:t>
              </w:r>
            </w:hyperlink>
          </w:p>
        </w:tc>
      </w:tr>
    </w:tbl>
    <w:p w14:paraId="57A07874" w14:textId="77777777" w:rsidR="00E10753" w:rsidRDefault="00E10753" w:rsidP="006D00FD">
      <w:pPr>
        <w:spacing w:before="0" w:after="160"/>
      </w:pPr>
    </w:p>
    <w:p w14:paraId="3035248A" w14:textId="77777777" w:rsidR="00F54AAD" w:rsidRDefault="00F54AAD" w:rsidP="006D00FD">
      <w:pPr>
        <w:spacing w:before="0" w:after="160"/>
      </w:pPr>
    </w:p>
    <w:p w14:paraId="58E01AEE" w14:textId="77777777" w:rsidR="00F54AAD" w:rsidRDefault="00F54AAD" w:rsidP="006D00FD">
      <w:pPr>
        <w:spacing w:before="0" w:after="160"/>
      </w:pPr>
    </w:p>
    <w:p w14:paraId="51C42AA4" w14:textId="77777777" w:rsidR="00F54AAD" w:rsidRDefault="00F54AAD" w:rsidP="006D00FD">
      <w:pPr>
        <w:spacing w:before="0" w:after="160"/>
      </w:pPr>
    </w:p>
    <w:p w14:paraId="64F28A9F" w14:textId="77777777" w:rsidR="00F54AAD" w:rsidRDefault="00F54AAD" w:rsidP="006D00FD">
      <w:pPr>
        <w:spacing w:before="0" w:after="160"/>
      </w:pPr>
    </w:p>
    <w:p w14:paraId="7A6FD7DE" w14:textId="77777777" w:rsidR="00F54AAD" w:rsidRDefault="00F54AAD" w:rsidP="006D00FD">
      <w:pPr>
        <w:spacing w:before="0" w:after="160"/>
      </w:pPr>
    </w:p>
    <w:p w14:paraId="4E0C8FF4" w14:textId="77777777" w:rsidR="001C10AD" w:rsidRDefault="001C10AD">
      <w:pPr>
        <w:spacing w:before="0" w:after="160"/>
        <w:rPr>
          <w:rFonts w:ascii="Lexend SemiBold" w:eastAsiaTheme="majorEastAsia" w:hAnsi="Lexend SemiBold" w:cstheme="majorBidi"/>
          <w:color w:val="01615C"/>
          <w:sz w:val="28"/>
          <w:szCs w:val="26"/>
        </w:rPr>
      </w:pPr>
      <w:r>
        <w:br w:type="page"/>
      </w:r>
    </w:p>
    <w:p w14:paraId="4DF2F060" w14:textId="4074707F" w:rsidR="008225E0" w:rsidRDefault="008225E0" w:rsidP="008225E0">
      <w:pPr>
        <w:pStyle w:val="Heading2"/>
      </w:pPr>
      <w:r>
        <w:lastRenderedPageBreak/>
        <w:t xml:space="preserve">Appendix 2: Glossary of Terms  </w:t>
      </w:r>
    </w:p>
    <w:p w14:paraId="0872292E" w14:textId="77777777" w:rsidR="00F54AAD" w:rsidRPr="00B63449" w:rsidRDefault="00F54AAD" w:rsidP="00F54AAD">
      <w:pPr>
        <w:rPr>
          <w:rFonts w:cs="Open Sans"/>
          <w:b/>
        </w:rPr>
      </w:pPr>
    </w:p>
    <w:p w14:paraId="59A9AE9D" w14:textId="2686BA1B" w:rsidR="00F54AAD" w:rsidRPr="00B63449" w:rsidRDefault="00F54AAD" w:rsidP="00C1068D">
      <w:pPr>
        <w:spacing w:line="360" w:lineRule="auto"/>
        <w:rPr>
          <w:rFonts w:cs="Open Sans"/>
        </w:rPr>
      </w:pPr>
      <w:r w:rsidRPr="00B63449">
        <w:rPr>
          <w:rFonts w:cs="Open Sans"/>
          <w:b/>
        </w:rPr>
        <w:t>Absence from school</w:t>
      </w:r>
      <w:r w:rsidRPr="00B63449">
        <w:rPr>
          <w:rFonts w:cs="Open Sans"/>
        </w:rPr>
        <w:t>: School attendance below 90% in any defined period.</w:t>
      </w:r>
    </w:p>
    <w:p w14:paraId="5AD7D6A2" w14:textId="45746A80" w:rsidR="00F54AAD" w:rsidRPr="00B63449" w:rsidRDefault="00F54AAD" w:rsidP="00C1068D">
      <w:pPr>
        <w:spacing w:line="360" w:lineRule="auto"/>
        <w:rPr>
          <w:rFonts w:cs="Open Sans"/>
        </w:rPr>
      </w:pPr>
      <w:r w:rsidRPr="00B63449">
        <w:rPr>
          <w:rFonts w:cs="Open Sans"/>
          <w:b/>
        </w:rPr>
        <w:t>Educational attainment</w:t>
      </w:r>
      <w:r w:rsidRPr="00B63449">
        <w:rPr>
          <w:rFonts w:cs="Open Sans"/>
        </w:rPr>
        <w:t>: The highest level of education completed.</w:t>
      </w:r>
    </w:p>
    <w:p w14:paraId="54205835" w14:textId="4A3DB0A0" w:rsidR="00F54AAD" w:rsidRPr="00B63449" w:rsidRDefault="00F54AAD" w:rsidP="00C1068D">
      <w:pPr>
        <w:spacing w:line="360" w:lineRule="auto"/>
        <w:rPr>
          <w:rFonts w:cs="Open Sans"/>
          <w:color w:val="000000" w:themeColor="text1"/>
        </w:rPr>
      </w:pPr>
      <w:r w:rsidRPr="00B63449">
        <w:rPr>
          <w:rFonts w:cs="Open Sans"/>
          <w:b/>
          <w:color w:val="000000" w:themeColor="text1"/>
        </w:rPr>
        <w:t>Gross Value Added (GVA)</w:t>
      </w:r>
      <w:r w:rsidRPr="00B63449">
        <w:rPr>
          <w:rFonts w:cs="Open Sans"/>
          <w:color w:val="000000" w:themeColor="text1"/>
        </w:rPr>
        <w:t>: The value generated by any unit engaged in the production of good and services.</w:t>
      </w:r>
    </w:p>
    <w:p w14:paraId="21AF5844" w14:textId="444C53F2" w:rsidR="00F54AAD" w:rsidRPr="00C1068D" w:rsidRDefault="00F54AAD" w:rsidP="00C1068D">
      <w:pPr>
        <w:spacing w:line="360" w:lineRule="auto"/>
        <w:rPr>
          <w:rFonts w:cs="Open Sans"/>
          <w:color w:val="000000" w:themeColor="text1"/>
        </w:rPr>
      </w:pPr>
      <w:r w:rsidRPr="00B63449">
        <w:rPr>
          <w:rFonts w:cs="Open Sans"/>
          <w:b/>
          <w:color w:val="000000" w:themeColor="text1"/>
        </w:rPr>
        <w:t>Indices of deprivation</w:t>
      </w:r>
      <w:r w:rsidRPr="00B63449">
        <w:rPr>
          <w:rFonts w:cs="Open Sans"/>
          <w:color w:val="000000" w:themeColor="text1"/>
        </w:rPr>
        <w:t>: A measure of relative deprivation in small areas in England called lower-layer super output areas.</w:t>
      </w:r>
    </w:p>
    <w:p w14:paraId="6BA36B8C" w14:textId="573F7C12" w:rsidR="00F54AAD" w:rsidRPr="00B63449" w:rsidRDefault="00F54AAD" w:rsidP="00C1068D">
      <w:pPr>
        <w:spacing w:line="360" w:lineRule="auto"/>
        <w:rPr>
          <w:rFonts w:cs="Open Sans"/>
        </w:rPr>
      </w:pPr>
      <w:r w:rsidRPr="00B63449">
        <w:rPr>
          <w:rFonts w:cs="Open Sans"/>
          <w:b/>
        </w:rPr>
        <w:t>Not in Education, Employment or Training (NEET)</w:t>
      </w:r>
      <w:r w:rsidRPr="00B63449">
        <w:rPr>
          <w:rFonts w:cs="Open Sans"/>
        </w:rPr>
        <w:t>: An acronym for Not in Education, Employment or Training which refers to a person who is unemployed and not receiving an education or vocational training.</w:t>
      </w:r>
    </w:p>
    <w:p w14:paraId="7CC14E8B" w14:textId="247C3A45" w:rsidR="00F54AAD" w:rsidRPr="00B63449" w:rsidRDefault="00F54AAD" w:rsidP="00C1068D">
      <w:pPr>
        <w:spacing w:line="360" w:lineRule="auto"/>
        <w:rPr>
          <w:rFonts w:cs="Open Sans"/>
        </w:rPr>
      </w:pPr>
      <w:r w:rsidRPr="00B63449">
        <w:rPr>
          <w:rFonts w:cs="Open Sans"/>
          <w:b/>
        </w:rPr>
        <w:t>Participation Programme</w:t>
      </w:r>
      <w:r w:rsidRPr="00B63449">
        <w:rPr>
          <w:rFonts w:cs="Open Sans"/>
        </w:rPr>
        <w:t>: THF programmes that are primarily focused on engaging people in sport and physical activity.</w:t>
      </w:r>
    </w:p>
    <w:p w14:paraId="57AAADC2" w14:textId="47F45D23" w:rsidR="00F54AAD" w:rsidRPr="00B63449" w:rsidRDefault="00F54AAD" w:rsidP="00C1068D">
      <w:pPr>
        <w:spacing w:line="360" w:lineRule="auto"/>
        <w:rPr>
          <w:rStyle w:val="normaltextrun"/>
          <w:rFonts w:cs="Open Sans"/>
        </w:rPr>
      </w:pPr>
      <w:r w:rsidRPr="00B63449">
        <w:rPr>
          <w:rStyle w:val="normaltextrun"/>
          <w:rFonts w:cs="Open Sans"/>
          <w:b/>
        </w:rPr>
        <w:t>Physical activity</w:t>
      </w:r>
      <w:r w:rsidRPr="00B63449">
        <w:rPr>
          <w:rStyle w:val="normaltextrun"/>
          <w:rFonts w:cs="Open Sans"/>
        </w:rPr>
        <w:t>: Movement that is seen to contribute to the Chief Medical Officers guidelines for recommended levels of physical activity.</w:t>
      </w:r>
    </w:p>
    <w:p w14:paraId="1BEB680A" w14:textId="52A5132A" w:rsidR="00F54AAD" w:rsidRPr="00C1068D" w:rsidRDefault="00F54AAD" w:rsidP="00C1068D">
      <w:pPr>
        <w:spacing w:line="360" w:lineRule="auto"/>
        <w:rPr>
          <w:rFonts w:cs="Open Sans"/>
          <w:color w:val="202124"/>
          <w:shd w:val="clear" w:color="auto" w:fill="FFFFFF"/>
        </w:rPr>
      </w:pPr>
      <w:r w:rsidRPr="00B63449">
        <w:rPr>
          <w:rFonts w:cs="Open Sans"/>
          <w:b/>
        </w:rPr>
        <w:t>Risk and Protective Factors</w:t>
      </w:r>
      <w:r w:rsidRPr="00B63449">
        <w:rPr>
          <w:rFonts w:cs="Open Sans"/>
        </w:rPr>
        <w:t xml:space="preserve">: </w:t>
      </w:r>
      <w:r w:rsidRPr="00B63449">
        <w:rPr>
          <w:rFonts w:cs="Open Sans"/>
          <w:color w:val="202124"/>
          <w:shd w:val="clear" w:color="auto" w:fill="FFFFFF"/>
        </w:rPr>
        <w:t>Risk factors are the biological, psychological, family, community, or cultural aspects that precede and are associated with a higher likelihood of negative outcomes. Protective factors are characteristics associated with a lower likelihood of negative outcomes or that reduce a risk factor's impact.</w:t>
      </w:r>
    </w:p>
    <w:p w14:paraId="5DDAAB24" w14:textId="3760C2A2" w:rsidR="00F54AAD" w:rsidRPr="00C1068D" w:rsidRDefault="00F54AAD" w:rsidP="00C1068D">
      <w:pPr>
        <w:spacing w:line="360" w:lineRule="auto"/>
        <w:rPr>
          <w:rFonts w:cs="Open Sans"/>
          <w:color w:val="4D5156"/>
          <w:shd w:val="clear" w:color="auto" w:fill="FFFFFF"/>
        </w:rPr>
      </w:pPr>
      <w:r w:rsidRPr="00B63449">
        <w:rPr>
          <w:rFonts w:cs="Open Sans"/>
          <w:b/>
        </w:rPr>
        <w:t xml:space="preserve">Social </w:t>
      </w:r>
      <w:r w:rsidRPr="00B63449">
        <w:rPr>
          <w:rFonts w:cs="Open Sans"/>
          <w:b/>
          <w:color w:val="000000" w:themeColor="text1"/>
        </w:rPr>
        <w:t>capital</w:t>
      </w:r>
      <w:r w:rsidRPr="00B63449">
        <w:rPr>
          <w:rFonts w:cs="Open Sans"/>
          <w:color w:val="000000" w:themeColor="text1"/>
        </w:rPr>
        <w:t xml:space="preserve">: </w:t>
      </w:r>
      <w:r w:rsidRPr="00B63449">
        <w:rPr>
          <w:rFonts w:cs="Open Sans"/>
          <w:color w:val="000000" w:themeColor="text1"/>
          <w:shd w:val="clear" w:color="auto" w:fill="FFFFFF"/>
        </w:rPr>
        <w:t>the networks of relationships among people who live and work in a particular society, enabling that society to function effectively.</w:t>
      </w:r>
    </w:p>
    <w:p w14:paraId="5C023165" w14:textId="14340F6E" w:rsidR="00F54AAD" w:rsidRPr="00C1068D" w:rsidRDefault="00F54AAD" w:rsidP="00C1068D">
      <w:pPr>
        <w:spacing w:line="360" w:lineRule="auto"/>
        <w:rPr>
          <w:rFonts w:ascii="Arial" w:hAnsi="Arial" w:cs="Arial"/>
          <w:color w:val="040C28"/>
          <w:sz w:val="30"/>
          <w:szCs w:val="30"/>
        </w:rPr>
      </w:pPr>
      <w:r w:rsidRPr="00B63449">
        <w:rPr>
          <w:rFonts w:cs="Open Sans"/>
          <w:b/>
        </w:rPr>
        <w:t>Social Return on Investment (SROI)</w:t>
      </w:r>
      <w:r w:rsidRPr="00B63449">
        <w:rPr>
          <w:rFonts w:cs="Open Sans"/>
          <w:color w:val="000000" w:themeColor="text1"/>
        </w:rPr>
        <w:t>: a method for measuring and assigning monetary values to outcomes that are not traditionally reflected in financial statements, including social, economic, and environmental benefits.</w:t>
      </w:r>
    </w:p>
    <w:p w14:paraId="09313A35" w14:textId="694F8CA6" w:rsidR="00F54AAD" w:rsidRPr="00B63449" w:rsidRDefault="00F54AAD" w:rsidP="00C1068D">
      <w:pPr>
        <w:spacing w:line="360" w:lineRule="auto"/>
        <w:rPr>
          <w:rFonts w:cs="Open Sans"/>
          <w:b/>
        </w:rPr>
      </w:pPr>
      <w:r w:rsidRPr="00B63449">
        <w:rPr>
          <w:rFonts w:cs="Open Sans"/>
          <w:b/>
        </w:rPr>
        <w:t>SROI Ratio</w:t>
      </w:r>
      <w:r w:rsidRPr="00B63449">
        <w:rPr>
          <w:rFonts w:cs="Open Sans"/>
          <w:color w:val="000000" w:themeColor="text1"/>
        </w:rPr>
        <w:t>: A ratio determined by dividing the identified social, economic and environmental value by the financial cost of the investment to identify the return generated for every unit of currency invested.</w:t>
      </w:r>
    </w:p>
    <w:p w14:paraId="1948EBD3" w14:textId="0E85C3C4" w:rsidR="00862D3D" w:rsidRPr="00C1068D" w:rsidRDefault="00F54AAD" w:rsidP="00C1068D">
      <w:pPr>
        <w:spacing w:line="360" w:lineRule="auto"/>
        <w:rPr>
          <w:rFonts w:cs="Open Sans"/>
        </w:rPr>
      </w:pPr>
      <w:r w:rsidRPr="00B63449">
        <w:rPr>
          <w:rFonts w:cs="Open Sans"/>
          <w:b/>
        </w:rPr>
        <w:t>Subjective Wellbeing</w:t>
      </w:r>
      <w:r w:rsidRPr="00B63449">
        <w:rPr>
          <w:rFonts w:cs="Open Sans"/>
        </w:rPr>
        <w:t>: The scientific term for levels of happiness and life satisfaction.</w:t>
      </w:r>
    </w:p>
    <w:sectPr w:rsidR="00862D3D" w:rsidRPr="00C1068D" w:rsidSect="00712DC9">
      <w:pgSz w:w="11906" w:h="16838"/>
      <w:pgMar w:top="1418"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8993B" w14:textId="77777777" w:rsidR="003321C5" w:rsidRDefault="003321C5" w:rsidP="00AA1DCA">
      <w:pPr>
        <w:spacing w:after="0" w:line="240" w:lineRule="auto"/>
      </w:pPr>
      <w:r>
        <w:separator/>
      </w:r>
    </w:p>
  </w:endnote>
  <w:endnote w:type="continuationSeparator" w:id="0">
    <w:p w14:paraId="7B628406" w14:textId="77777777" w:rsidR="003321C5" w:rsidRDefault="003321C5" w:rsidP="00AA1DCA">
      <w:pPr>
        <w:spacing w:after="0" w:line="240" w:lineRule="auto"/>
      </w:pPr>
      <w:r>
        <w:continuationSeparator/>
      </w:r>
    </w:p>
  </w:endnote>
  <w:endnote w:type="continuationNotice" w:id="1">
    <w:p w14:paraId="18F6DDE2" w14:textId="77777777" w:rsidR="003321C5" w:rsidRDefault="003321C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Lexend SemiBold">
    <w:panose1 w:val="00000000000000000000"/>
    <w:charset w:val="00"/>
    <w:family w:val="auto"/>
    <w:pitch w:val="variable"/>
    <w:sig w:usb0="A00000FF" w:usb1="4000205B" w:usb2="00000000" w:usb3="00000000" w:csb0="00000193" w:csb1="00000000"/>
  </w:font>
  <w:font w:name="Lexend">
    <w:panose1 w:val="00000000000000000000"/>
    <w:charset w:val="00"/>
    <w:family w:val="auto"/>
    <w:pitch w:val="variable"/>
    <w:sig w:usb0="A00000FF" w:usb1="4000205B" w:usb2="00000000" w:usb3="00000000" w:csb0="00000193" w:csb1="00000000"/>
  </w:font>
  <w:font w:name="Herculanum">
    <w:charset w:val="4D"/>
    <w:family w:val="auto"/>
    <w:pitch w:val="variable"/>
    <w:sig w:usb0="80000067" w:usb1="00000000" w:usb2="00000000" w:usb3="00000000" w:csb0="00000193" w:csb1="00000000"/>
  </w:font>
  <w:font w:name="Lexend Medium">
    <w:panose1 w:val="00000000000000000000"/>
    <w:charset w:val="00"/>
    <w:family w:val="auto"/>
    <w:pitch w:val="variable"/>
    <w:sig w:usb0="A00000FF" w:usb1="4000205B" w:usb2="00000000" w:usb3="00000000" w:csb0="00000193" w:csb1="00000000"/>
  </w:font>
  <w:font w:name="HELVETICA OBLIQUE">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183A2" w14:textId="77777777" w:rsidR="00CE2751" w:rsidRDefault="00CE2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B0128" w14:textId="24284A5A" w:rsidR="0020511E" w:rsidRDefault="00010A60" w:rsidP="003429D3">
    <w:pPr>
      <w:pStyle w:val="Footertitle"/>
    </w:pPr>
    <w:r>
      <w:rPr>
        <w:noProof/>
      </w:rPr>
      <mc:AlternateContent>
        <mc:Choice Requires="wps">
          <w:drawing>
            <wp:anchor distT="45720" distB="45720" distL="114300" distR="114300" simplePos="0" relativeHeight="251658241" behindDoc="0" locked="0" layoutInCell="1" allowOverlap="1" wp14:anchorId="02CA829E" wp14:editId="2E01AA3C">
              <wp:simplePos x="0" y="0"/>
              <wp:positionH relativeFrom="rightMargin">
                <wp:posOffset>-257175</wp:posOffset>
              </wp:positionH>
              <wp:positionV relativeFrom="paragraph">
                <wp:posOffset>-37465</wp:posOffset>
              </wp:positionV>
              <wp:extent cx="457200" cy="2952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w="9525">
                        <a:noFill/>
                        <a:miter lim="800000"/>
                        <a:headEnd/>
                        <a:tailEnd/>
                      </a:ln>
                    </wps:spPr>
                    <wps:txbx>
                      <w:txbxContent>
                        <w:p w14:paraId="43DF8DC6" w14:textId="77777777" w:rsidR="00010A60" w:rsidRPr="00010A60" w:rsidRDefault="00010A60" w:rsidP="00010A60">
                          <w:pPr>
                            <w:pStyle w:val="Footertitle"/>
                            <w:jc w:val="right"/>
                          </w:pPr>
                          <w:r w:rsidRPr="00010A60">
                            <w:fldChar w:fldCharType="begin"/>
                          </w:r>
                          <w:r w:rsidRPr="00010A60">
                            <w:instrText xml:space="preserve"> PAGE   \* MERGEFORMAT </w:instrText>
                          </w:r>
                          <w:r w:rsidRPr="00010A60">
                            <w:fldChar w:fldCharType="separate"/>
                          </w:r>
                          <w:r w:rsidRPr="00010A60">
                            <w:rPr>
                              <w:noProof/>
                            </w:rPr>
                            <w:t>1</w:t>
                          </w:r>
                          <w:r w:rsidRPr="00010A60">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A829E" id="_x0000_t202" coordsize="21600,21600" o:spt="202" path="m,l,21600r21600,l21600,xe">
              <v:stroke joinstyle="miter"/>
              <v:path gradientshapeok="t" o:connecttype="rect"/>
            </v:shapetype>
            <v:shape id="_x0000_s1029" type="#_x0000_t202" style="position:absolute;margin-left:-20.25pt;margin-top:-2.95pt;width:36pt;height:23.25pt;z-index:251658241;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" stroked="f">
              <v:textbox>
                <w:txbxContent>
                  <w:p w14:paraId="43DF8DC6" w14:textId="77777777" w:rsidR="00010A60" w:rsidRPr="00010A60" w:rsidRDefault="00010A60" w:rsidP="00010A60">
                    <w:pPr>
                      <w:pStyle w:val="Footertitle"/>
                      <w:jc w:val="right"/>
                    </w:pPr>
                    <w:r w:rsidRPr="00010A60">
                      <w:fldChar w:fldCharType="begin"/>
                    </w:r>
                    <w:r w:rsidRPr="00010A60">
                      <w:instrText xml:space="preserve"> PAGE   \* MERGEFORMAT </w:instrText>
                    </w:r>
                    <w:r w:rsidRPr="00010A60">
                      <w:fldChar w:fldCharType="separate"/>
                    </w:r>
                    <w:r w:rsidRPr="00010A60">
                      <w:rPr>
                        <w:noProof/>
                      </w:rPr>
                      <w:t>1</w:t>
                    </w:r>
                    <w:r w:rsidRPr="00010A60">
                      <w:rPr>
                        <w:noProof/>
                      </w:rPr>
                      <w:fldChar w:fldCharType="end"/>
                    </w:r>
                  </w:p>
                </w:txbxContent>
              </v:textbox>
              <w10:wrap type="square" anchorx="margin"/>
            </v:shape>
          </w:pict>
        </mc:Fallback>
      </mc:AlternateContent>
    </w:r>
    <w:r w:rsidR="00B0520E">
      <w:rPr>
        <w:noProof/>
      </w:rPr>
      <mc:AlternateContent>
        <mc:Choice Requires="wps">
          <w:drawing>
            <wp:anchor distT="0" distB="0" distL="114300" distR="114300" simplePos="0" relativeHeight="251658240" behindDoc="0" locked="0" layoutInCell="1" allowOverlap="1" wp14:anchorId="10EC9A8A" wp14:editId="5FF16956">
              <wp:simplePos x="0" y="0"/>
              <wp:positionH relativeFrom="margin">
                <wp:posOffset>0</wp:posOffset>
              </wp:positionH>
              <wp:positionV relativeFrom="paragraph">
                <wp:posOffset>-57785</wp:posOffset>
              </wp:positionV>
              <wp:extent cx="6029325" cy="9362"/>
              <wp:effectExtent l="0" t="0" r="28575" b="29210"/>
              <wp:wrapNone/>
              <wp:docPr id="3" name="Straight Connector 3"/>
              <wp:cNvGraphicFramePr/>
              <a:graphic xmlns:a="http://schemas.openxmlformats.org/drawingml/2006/main">
                <a:graphicData uri="http://schemas.microsoft.com/office/word/2010/wordprocessingShape">
                  <wps:wsp>
                    <wps:cNvCnPr/>
                    <wps:spPr>
                      <a:xfrm>
                        <a:off x="0" y="0"/>
                        <a:ext cx="6029325" cy="9362"/>
                      </a:xfrm>
                      <a:prstGeom prst="line">
                        <a:avLst/>
                      </a:prstGeom>
                      <a:ln>
                        <a:solidFill>
                          <a:srgbClr val="70D44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CAAEE6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5pt" to="474.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" strokecolor="#70d44b" strokeweight=".5pt">
              <v:stroke joinstyle="miter"/>
              <w10:wrap anchorx="margin"/>
            </v:line>
          </w:pict>
        </mc:Fallback>
      </mc:AlternateContent>
    </w:r>
    <w:r w:rsidR="0020511E">
      <w:t xml:space="preserve">Essex </w:t>
    </w:r>
    <w:proofErr w:type="spellStart"/>
    <w:r w:rsidR="0020511E">
      <w:t>ActivAte</w:t>
    </w:r>
    <w:proofErr w:type="spellEnd"/>
    <w:r w:rsidR="0020511E">
      <w:t xml:space="preserve"> Social Impact and Valuation Report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01AE9" w14:textId="77777777" w:rsidR="00CE2751" w:rsidRDefault="00CE2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61FD3" w14:textId="77777777" w:rsidR="003321C5" w:rsidRDefault="003321C5" w:rsidP="00AA1DCA">
      <w:pPr>
        <w:spacing w:after="0" w:line="240" w:lineRule="auto"/>
      </w:pPr>
      <w:r>
        <w:separator/>
      </w:r>
    </w:p>
  </w:footnote>
  <w:footnote w:type="continuationSeparator" w:id="0">
    <w:p w14:paraId="25789D0D" w14:textId="77777777" w:rsidR="003321C5" w:rsidRDefault="003321C5" w:rsidP="00AA1DCA">
      <w:pPr>
        <w:spacing w:after="0" w:line="240" w:lineRule="auto"/>
      </w:pPr>
      <w:r>
        <w:continuationSeparator/>
      </w:r>
    </w:p>
  </w:footnote>
  <w:footnote w:type="continuationNotice" w:id="1">
    <w:p w14:paraId="38450D94" w14:textId="77777777" w:rsidR="003321C5" w:rsidRDefault="003321C5">
      <w:pPr>
        <w:spacing w:before="0" w:after="0" w:line="240" w:lineRule="auto"/>
      </w:pPr>
    </w:p>
  </w:footnote>
  <w:footnote w:id="2">
    <w:p w14:paraId="616E5AA4" w14:textId="277B4462" w:rsidR="00517646" w:rsidRPr="00517646" w:rsidRDefault="00517646">
      <w:pPr>
        <w:pStyle w:val="FootnoteText"/>
        <w:rPr>
          <w:rFonts w:ascii="Open Sans" w:hAnsi="Open Sans" w:cs="Open Sans"/>
        </w:rPr>
      </w:pPr>
      <w:r w:rsidRPr="00517646">
        <w:rPr>
          <w:rStyle w:val="FootnoteReference"/>
          <w:rFonts w:ascii="Open Sans" w:hAnsi="Open Sans" w:cs="Open Sans"/>
        </w:rPr>
        <w:footnoteRef/>
      </w:r>
      <w:r w:rsidRPr="00517646">
        <w:rPr>
          <w:rFonts w:ascii="Open Sans" w:hAnsi="Open Sans" w:cs="Open Sans"/>
        </w:rPr>
        <w:t xml:space="preserve"> See </w:t>
      </w:r>
      <w:hyperlink r:id="rId1" w:history="1">
        <w:r w:rsidRPr="00517646">
          <w:rPr>
            <w:rStyle w:val="Hyperlink"/>
            <w:rFonts w:ascii="Open Sans" w:hAnsi="Open Sans" w:cs="Open Sans"/>
          </w:rPr>
          <w:t>https://uhra.herts.ac.uk/bitstream/handle/2299/26398/UH_Technical_Report.pdf?sequence=2&amp;isAllowed=y</w:t>
        </w:r>
      </w:hyperlink>
      <w:r w:rsidRPr="00517646">
        <w:rPr>
          <w:rFonts w:ascii="Open Sans" w:hAnsi="Open Sans" w:cs="Open Sans"/>
          <w:color w:val="000000"/>
        </w:rPr>
        <w:t xml:space="preserve"> and </w:t>
      </w:r>
      <w:hyperlink r:id="rId2" w:history="1">
        <w:r w:rsidRPr="00517646">
          <w:rPr>
            <w:rStyle w:val="Hyperlink"/>
            <w:rFonts w:ascii="Open Sans" w:hAnsi="Open Sans" w:cs="Open Sans"/>
          </w:rPr>
          <w:t>https://cityharvest.org.uk/people-value-report</w:t>
        </w:r>
      </w:hyperlink>
      <w:r w:rsidRPr="00517646">
        <w:rPr>
          <w:rFonts w:ascii="Open Sans" w:hAnsi="Open Sans" w:cs="Open Sans"/>
          <w:color w:val="000000"/>
        </w:rPr>
        <w:t xml:space="preserve"> </w:t>
      </w:r>
    </w:p>
  </w:footnote>
  <w:footnote w:id="3">
    <w:p w14:paraId="3B1EF97B" w14:textId="05A06197" w:rsidR="00517646" w:rsidRDefault="00517646">
      <w:pPr>
        <w:pStyle w:val="FootnoteText"/>
      </w:pPr>
      <w:r w:rsidRPr="00517646">
        <w:rPr>
          <w:rStyle w:val="FootnoteReference"/>
          <w:rFonts w:ascii="Open Sans" w:hAnsi="Open Sans" w:cs="Open Sans"/>
        </w:rPr>
        <w:footnoteRef/>
      </w:r>
      <w:r w:rsidRPr="00517646">
        <w:rPr>
          <w:rFonts w:ascii="Open Sans" w:hAnsi="Open Sans" w:cs="Open Sans"/>
        </w:rPr>
        <w:t xml:space="preserve"> </w:t>
      </w:r>
      <w:hyperlink r:id="rId3" w:history="1">
        <w:r w:rsidRPr="00517646">
          <w:rPr>
            <w:rStyle w:val="Hyperlink"/>
            <w:rFonts w:ascii="Open Sans" w:hAnsi="Open Sans" w:cs="Open Sans"/>
          </w:rPr>
          <w:t>https://www.sportengland.org/guidance-and-support/measuring-impact?section=social_and_economic_value_of_community_sport</w:t>
        </w:r>
      </w:hyperlink>
      <w:r>
        <w:t xml:space="preserve"> </w:t>
      </w:r>
    </w:p>
  </w:footnote>
  <w:footnote w:id="4">
    <w:p w14:paraId="59C4350D" w14:textId="77777777" w:rsidR="0020511E" w:rsidRPr="003D7CFC" w:rsidRDefault="0020511E" w:rsidP="0020511E">
      <w:pPr>
        <w:rPr>
          <w:rFonts w:cs="Open Sans"/>
          <w:sz w:val="20"/>
          <w:szCs w:val="20"/>
        </w:rPr>
      </w:pPr>
      <w:r w:rsidRPr="003D7CFC">
        <w:rPr>
          <w:rStyle w:val="FootnoteReference"/>
          <w:rFonts w:cs="Open Sans"/>
          <w:sz w:val="20"/>
          <w:szCs w:val="20"/>
        </w:rPr>
        <w:footnoteRef/>
      </w:r>
      <w:r w:rsidRPr="003D7CFC">
        <w:rPr>
          <w:rFonts w:cs="Open Sans"/>
          <w:sz w:val="20"/>
          <w:szCs w:val="20"/>
        </w:rPr>
        <w:t xml:space="preserve"> </w:t>
      </w:r>
      <w:hyperlink r:id="rId4" w:history="1">
        <w:r w:rsidRPr="003D7CFC">
          <w:rPr>
            <w:rFonts w:cs="Open Sans"/>
            <w:color w:val="0000FF"/>
            <w:sz w:val="20"/>
            <w:szCs w:val="20"/>
            <w:u w:val="single"/>
          </w:rPr>
          <w:t>https://socialvalueint.org/social-value/what-is-social-value/</w:t>
        </w:r>
      </w:hyperlink>
    </w:p>
  </w:footnote>
  <w:footnote w:id="5">
    <w:p w14:paraId="57341773" w14:textId="77777777" w:rsidR="0020511E" w:rsidRPr="00D929DF" w:rsidRDefault="0020511E" w:rsidP="0020511E">
      <w:pPr>
        <w:pStyle w:val="FootnoteText"/>
        <w:rPr>
          <w:rFonts w:ascii="Open Sans" w:hAnsi="Open Sans" w:cs="Open Sans"/>
          <w:color w:val="000000" w:themeColor="text1"/>
        </w:rPr>
      </w:pPr>
      <w:r w:rsidRPr="00D929DF">
        <w:rPr>
          <w:rStyle w:val="FootnoteReference"/>
          <w:rFonts w:ascii="Open Sans" w:hAnsi="Open Sans" w:cs="Open Sans"/>
          <w:color w:val="000000" w:themeColor="text1"/>
        </w:rPr>
        <w:footnoteRef/>
      </w:r>
      <w:r w:rsidRPr="00D929DF">
        <w:rPr>
          <w:rFonts w:ascii="Open Sans" w:hAnsi="Open Sans" w:cs="Open Sans"/>
          <w:color w:val="000000" w:themeColor="text1"/>
        </w:rPr>
        <w:t xml:space="preserve"> Social Value UK</w:t>
      </w:r>
      <w:r>
        <w:rPr>
          <w:rFonts w:ascii="Open Sans" w:hAnsi="Open Sans" w:cs="Open Sans"/>
          <w:color w:val="000000" w:themeColor="text1"/>
        </w:rPr>
        <w:t xml:space="preserve"> (</w:t>
      </w:r>
      <w:r w:rsidRPr="00D929DF">
        <w:rPr>
          <w:rFonts w:ascii="Open Sans" w:hAnsi="Open Sans" w:cs="Open Sans"/>
          <w:color w:val="000000" w:themeColor="text1"/>
        </w:rPr>
        <w:t>2012</w:t>
      </w:r>
      <w:r>
        <w:rPr>
          <w:rFonts w:ascii="Open Sans" w:hAnsi="Open Sans" w:cs="Open Sans"/>
          <w:color w:val="000000" w:themeColor="text1"/>
        </w:rPr>
        <w:t>)</w:t>
      </w:r>
      <w:r w:rsidRPr="00D929DF">
        <w:rPr>
          <w:rFonts w:ascii="Open Sans" w:hAnsi="Open Sans" w:cs="Open Sans"/>
          <w:color w:val="000000" w:themeColor="text1"/>
        </w:rPr>
        <w:t xml:space="preserve"> </w:t>
      </w:r>
      <w:r w:rsidRPr="00D929DF">
        <w:rPr>
          <w:rFonts w:ascii="Open Sans" w:hAnsi="Open Sans" w:cs="Open Sans"/>
          <w:i/>
          <w:iCs/>
          <w:color w:val="000000" w:themeColor="text1"/>
        </w:rPr>
        <w:t xml:space="preserve">A Guide to Social Return </w:t>
      </w:r>
      <w:proofErr w:type="gramStart"/>
      <w:r w:rsidRPr="00D929DF">
        <w:rPr>
          <w:rFonts w:ascii="Open Sans" w:hAnsi="Open Sans" w:cs="Open Sans"/>
          <w:i/>
          <w:iCs/>
          <w:color w:val="000000" w:themeColor="text1"/>
        </w:rPr>
        <w:t>On</w:t>
      </w:r>
      <w:proofErr w:type="gramEnd"/>
      <w:r w:rsidRPr="00D929DF">
        <w:rPr>
          <w:rFonts w:ascii="Open Sans" w:hAnsi="Open Sans" w:cs="Open Sans"/>
          <w:i/>
          <w:iCs/>
          <w:color w:val="000000" w:themeColor="text1"/>
        </w:rPr>
        <w:t xml:space="preserve"> Investment</w:t>
      </w:r>
      <w:r w:rsidRPr="00D929DF">
        <w:rPr>
          <w:rFonts w:ascii="Open Sans" w:hAnsi="Open Sans" w:cs="Open Sans"/>
          <w:color w:val="000000" w:themeColor="text1"/>
        </w:rPr>
        <w:t>, http://www.socialvalueuk.org</w:t>
      </w:r>
    </w:p>
  </w:footnote>
  <w:footnote w:id="6">
    <w:p w14:paraId="40CB8C11" w14:textId="77777777" w:rsidR="00FD6E25" w:rsidRPr="00B03F13" w:rsidRDefault="00FD6E25" w:rsidP="00FD6E25">
      <w:pPr>
        <w:rPr>
          <w:rFonts w:cs="Open Sans"/>
          <w:sz w:val="20"/>
          <w:szCs w:val="20"/>
        </w:rPr>
      </w:pPr>
      <w:r w:rsidRPr="00B03F13">
        <w:rPr>
          <w:rStyle w:val="FootnoteReference"/>
          <w:rFonts w:cs="Open Sans"/>
          <w:sz w:val="20"/>
          <w:szCs w:val="20"/>
        </w:rPr>
        <w:footnoteRef/>
      </w:r>
      <w:r w:rsidRPr="00B03F13">
        <w:rPr>
          <w:rFonts w:cs="Open Sans"/>
          <w:sz w:val="20"/>
          <w:szCs w:val="20"/>
        </w:rPr>
        <w:t xml:space="preserve"> </w:t>
      </w:r>
      <w:hyperlink r:id="rId5" w:history="1">
        <w:r w:rsidRPr="007229C8">
          <w:rPr>
            <w:rStyle w:val="Hyperlink"/>
            <w:rFonts w:cs="Open Sans"/>
            <w:sz w:val="20"/>
            <w:szCs w:val="20"/>
          </w:rPr>
          <w:t>https://sk.sagepub.com/reference/substance/n306.xml</w:t>
        </w:r>
      </w:hyperlink>
      <w:r>
        <w:rPr>
          <w:rFonts w:cs="Open Sans"/>
          <w:sz w:val="20"/>
          <w:szCs w:val="20"/>
        </w:rPr>
        <w:t xml:space="preserve"> </w:t>
      </w:r>
    </w:p>
  </w:footnote>
  <w:footnote w:id="7">
    <w:p w14:paraId="5BC9344D" w14:textId="77777777" w:rsidR="00FD6E25" w:rsidRPr="00D03E3C" w:rsidRDefault="00FD6E25" w:rsidP="00FD6E25">
      <w:pPr>
        <w:pStyle w:val="FootnoteText"/>
        <w:rPr>
          <w:rFonts w:ascii="Open Sans" w:hAnsi="Open Sans" w:cs="Open Sans"/>
        </w:rPr>
      </w:pPr>
      <w:r w:rsidRPr="00D03E3C">
        <w:rPr>
          <w:rStyle w:val="FootnoteReference"/>
          <w:rFonts w:ascii="Open Sans" w:hAnsi="Open Sans" w:cs="Open Sans"/>
        </w:rPr>
        <w:footnoteRef/>
      </w:r>
      <w:r w:rsidRPr="00D03E3C">
        <w:rPr>
          <w:rFonts w:ascii="Open Sans" w:hAnsi="Open Sans" w:cs="Open Sans"/>
        </w:rPr>
        <w:t xml:space="preserve"> See for example </w:t>
      </w:r>
      <w:hyperlink r:id="rId6" w:history="1">
        <w:r w:rsidRPr="00D03E3C">
          <w:rPr>
            <w:rStyle w:val="Hyperlink"/>
            <w:rFonts w:ascii="Open Sans" w:eastAsiaTheme="majorEastAsia" w:hAnsi="Open Sans" w:cs="Open Sans"/>
          </w:rPr>
          <w:t>https://www.aomrc.org.uk/wp-content/uploads/2016/05/Exercise_the_Miracle_Cure_0215.pdf</w:t>
        </w:r>
      </w:hyperlink>
      <w:r w:rsidRPr="00D03E3C">
        <w:rPr>
          <w:rFonts w:ascii="Open Sans" w:hAnsi="Open Sans" w:cs="Open Sans"/>
        </w:rPr>
        <w:t xml:space="preserve"> </w:t>
      </w:r>
    </w:p>
    <w:p w14:paraId="50E85CCA" w14:textId="77777777" w:rsidR="00FD6E25" w:rsidRDefault="00EC054E" w:rsidP="00FD6E25">
      <w:pPr>
        <w:pStyle w:val="FootnoteText"/>
      </w:pPr>
      <w:hyperlink r:id="rId7" w:history="1">
        <w:r w:rsidR="00FD6E25" w:rsidRPr="004872A6">
          <w:rPr>
            <w:rStyle w:val="Hyperlink"/>
            <w:rFonts w:ascii="Open Sans" w:eastAsiaTheme="majorEastAsia" w:hAnsi="Open Sans" w:cs="Open Sans"/>
          </w:rPr>
          <w:t>https://sportengland-production-files.s3.eu-west-2.amazonaws.com/s3fs-public/2020-09/Social%20return%20on%20investment.pdf?VersionId=5BgvLn09jwpTesBJ4BXhVfRhV4TYgm9E</w:t>
        </w:r>
      </w:hyperlink>
    </w:p>
  </w:footnote>
  <w:footnote w:id="8">
    <w:p w14:paraId="7D3CA405" w14:textId="77777777" w:rsidR="00FD6E25" w:rsidRPr="00FD5B96" w:rsidRDefault="00FD6E25" w:rsidP="00FD6E25">
      <w:pPr>
        <w:pStyle w:val="FootnoteText"/>
        <w:rPr>
          <w:rFonts w:ascii="Open Sans" w:hAnsi="Open Sans" w:cs="Open Sans"/>
        </w:rPr>
      </w:pPr>
      <w:r w:rsidRPr="00FD5B96">
        <w:rPr>
          <w:rStyle w:val="FootnoteReference"/>
          <w:rFonts w:ascii="Open Sans" w:hAnsi="Open Sans" w:cs="Open Sans"/>
        </w:rPr>
        <w:footnoteRef/>
      </w:r>
      <w:r w:rsidRPr="00FD5B96">
        <w:rPr>
          <w:rFonts w:ascii="Open Sans" w:hAnsi="Open Sans" w:cs="Open Sans"/>
        </w:rPr>
        <w:t xml:space="preserve"> </w:t>
      </w:r>
      <w:hyperlink r:id="rId8" w:history="1">
        <w:r w:rsidRPr="007229C8">
          <w:rPr>
            <w:rStyle w:val="Hyperlink"/>
            <w:rFonts w:ascii="Open Sans" w:eastAsiaTheme="majorEastAsia" w:hAnsi="Open Sans" w:cs="Open Sans"/>
          </w:rPr>
          <w:t>https://www.investopedia.com/terms/c/consumer-spending.asp</w:t>
        </w:r>
      </w:hyperlink>
      <w:r>
        <w:rPr>
          <w:rFonts w:ascii="Open Sans" w:hAnsi="Open Sans" w:cs="Open Sans"/>
        </w:rPr>
        <w:t xml:space="preserve"> </w:t>
      </w:r>
    </w:p>
  </w:footnote>
  <w:footnote w:id="9">
    <w:p w14:paraId="1A6D5093" w14:textId="77777777" w:rsidR="00FD6E25" w:rsidRPr="001D5B98" w:rsidRDefault="00FD6E25" w:rsidP="00FD6E25">
      <w:pPr>
        <w:pStyle w:val="FootnoteText"/>
        <w:rPr>
          <w:rFonts w:ascii="Open Sans" w:hAnsi="Open Sans" w:cs="Open Sans"/>
        </w:rPr>
      </w:pPr>
      <w:r w:rsidRPr="001D5B98">
        <w:rPr>
          <w:rStyle w:val="FootnoteReference"/>
          <w:rFonts w:ascii="Open Sans" w:hAnsi="Open Sans" w:cs="Open Sans"/>
        </w:rPr>
        <w:footnoteRef/>
      </w:r>
      <w:r w:rsidRPr="001D5B98">
        <w:rPr>
          <w:rFonts w:ascii="Open Sans" w:hAnsi="Open Sans" w:cs="Open Sans"/>
        </w:rPr>
        <w:t xml:space="preserve"> Directorate-General for Education, Youth, Sport and Culture (European Commission) (2018) </w:t>
      </w:r>
      <w:r w:rsidRPr="001D5B98">
        <w:rPr>
          <w:rFonts w:ascii="Open Sans" w:hAnsi="Open Sans" w:cs="Open Sans"/>
          <w:i/>
          <w:iCs/>
        </w:rPr>
        <w:t>Study on the economic impact of sport through sport satellite accounts</w:t>
      </w:r>
      <w:r w:rsidRPr="001D5B98">
        <w:rPr>
          <w:rFonts w:ascii="Open Sans" w:hAnsi="Open Sans" w:cs="Open Sans"/>
        </w:rPr>
        <w:t>, Brussels: European Commission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2CB0" w14:textId="3E5E000F" w:rsidR="00CE2751" w:rsidRDefault="00CE2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BD7B4" w14:textId="37351ACA" w:rsidR="00CE2751" w:rsidRDefault="00CE27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120B" w14:textId="52025404" w:rsidR="00CE2751" w:rsidRDefault="00CE2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38A18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4AA1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5A025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F004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AE52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A07E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5C71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7C5C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6216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8AAD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25597"/>
    <w:multiLevelType w:val="hybridMultilevel"/>
    <w:tmpl w:val="A57C0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4236A8"/>
    <w:multiLevelType w:val="hybridMultilevel"/>
    <w:tmpl w:val="BFCEB2A6"/>
    <w:lvl w:ilvl="0" w:tplc="F3F49A6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37B3C"/>
    <w:multiLevelType w:val="hybridMultilevel"/>
    <w:tmpl w:val="165AB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C5159"/>
    <w:multiLevelType w:val="multilevel"/>
    <w:tmpl w:val="F808D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3F11B1"/>
    <w:multiLevelType w:val="hybridMultilevel"/>
    <w:tmpl w:val="BF804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B4F9E"/>
    <w:multiLevelType w:val="hybridMultilevel"/>
    <w:tmpl w:val="61268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2D309D"/>
    <w:multiLevelType w:val="hybridMultilevel"/>
    <w:tmpl w:val="57025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335E2A"/>
    <w:multiLevelType w:val="hybridMultilevel"/>
    <w:tmpl w:val="76D2C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D15F70"/>
    <w:multiLevelType w:val="hybridMultilevel"/>
    <w:tmpl w:val="26FE2F62"/>
    <w:lvl w:ilvl="0" w:tplc="4E82429A">
      <w:start w:val="1"/>
      <w:numFmt w:val="bullet"/>
      <w:pStyle w:val="ListParagraph"/>
      <w:lvlText w:val=""/>
      <w:lvlJc w:val="left"/>
      <w:pPr>
        <w:ind w:left="1440" w:hanging="360"/>
      </w:pPr>
      <w:rPr>
        <w:rFonts w:ascii="Symbol" w:hAnsi="Symbol" w:hint="default"/>
        <w:color w:val="70D44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9E931CE"/>
    <w:multiLevelType w:val="hybridMultilevel"/>
    <w:tmpl w:val="F424C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A97542"/>
    <w:multiLevelType w:val="hybridMultilevel"/>
    <w:tmpl w:val="6AB0724C"/>
    <w:lvl w:ilvl="0" w:tplc="669A8370">
      <w:start w:val="1"/>
      <w:numFmt w:val="bullet"/>
      <w:lvlText w:val=""/>
      <w:lvlJc w:val="left"/>
      <w:pPr>
        <w:ind w:left="720" w:hanging="360"/>
      </w:pPr>
      <w:rPr>
        <w:rFonts w:ascii="Symbol" w:hAnsi="Symbol" w:hint="default"/>
        <w:color w:val="75D35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2B2BD5"/>
    <w:multiLevelType w:val="hybridMultilevel"/>
    <w:tmpl w:val="7E702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E82961"/>
    <w:multiLevelType w:val="hybridMultilevel"/>
    <w:tmpl w:val="557A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030E17"/>
    <w:multiLevelType w:val="hybridMultilevel"/>
    <w:tmpl w:val="56963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491A9D"/>
    <w:multiLevelType w:val="hybridMultilevel"/>
    <w:tmpl w:val="D8389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4882825">
    <w:abstractNumId w:val="12"/>
  </w:num>
  <w:num w:numId="2" w16cid:durableId="892887713">
    <w:abstractNumId w:val="18"/>
  </w:num>
  <w:num w:numId="3" w16cid:durableId="1682514519">
    <w:abstractNumId w:val="9"/>
  </w:num>
  <w:num w:numId="4" w16cid:durableId="1164932244">
    <w:abstractNumId w:val="7"/>
  </w:num>
  <w:num w:numId="5" w16cid:durableId="916407177">
    <w:abstractNumId w:val="6"/>
  </w:num>
  <w:num w:numId="6" w16cid:durableId="1109544180">
    <w:abstractNumId w:val="5"/>
  </w:num>
  <w:num w:numId="7" w16cid:durableId="653681138">
    <w:abstractNumId w:val="4"/>
  </w:num>
  <w:num w:numId="8" w16cid:durableId="1314409957">
    <w:abstractNumId w:val="8"/>
  </w:num>
  <w:num w:numId="9" w16cid:durableId="457339556">
    <w:abstractNumId w:val="3"/>
  </w:num>
  <w:num w:numId="10" w16cid:durableId="2122067037">
    <w:abstractNumId w:val="2"/>
  </w:num>
  <w:num w:numId="11" w16cid:durableId="1539004711">
    <w:abstractNumId w:val="1"/>
  </w:num>
  <w:num w:numId="12" w16cid:durableId="1622953628">
    <w:abstractNumId w:val="0"/>
  </w:num>
  <w:num w:numId="13" w16cid:durableId="2099936223">
    <w:abstractNumId w:val="13"/>
  </w:num>
  <w:num w:numId="14" w16cid:durableId="1386179350">
    <w:abstractNumId w:val="24"/>
  </w:num>
  <w:num w:numId="15" w16cid:durableId="2064013802">
    <w:abstractNumId w:val="17"/>
  </w:num>
  <w:num w:numId="16" w16cid:durableId="1291210346">
    <w:abstractNumId w:val="10"/>
  </w:num>
  <w:num w:numId="17" w16cid:durableId="1582643835">
    <w:abstractNumId w:val="16"/>
  </w:num>
  <w:num w:numId="18" w16cid:durableId="748117133">
    <w:abstractNumId w:val="21"/>
  </w:num>
  <w:num w:numId="19" w16cid:durableId="969479605">
    <w:abstractNumId w:val="23"/>
  </w:num>
  <w:num w:numId="20" w16cid:durableId="315188448">
    <w:abstractNumId w:val="15"/>
  </w:num>
  <w:num w:numId="21" w16cid:durableId="2029527183">
    <w:abstractNumId w:val="14"/>
  </w:num>
  <w:num w:numId="22" w16cid:durableId="2071921969">
    <w:abstractNumId w:val="19"/>
  </w:num>
  <w:num w:numId="23" w16cid:durableId="1844780606">
    <w:abstractNumId w:val="22"/>
  </w:num>
  <w:num w:numId="24" w16cid:durableId="502355512">
    <w:abstractNumId w:val="11"/>
  </w:num>
  <w:num w:numId="25" w16cid:durableId="8164616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1E"/>
    <w:rsid w:val="00003DD4"/>
    <w:rsid w:val="00010A60"/>
    <w:rsid w:val="00023C7B"/>
    <w:rsid w:val="000362EA"/>
    <w:rsid w:val="00037020"/>
    <w:rsid w:val="0004619B"/>
    <w:rsid w:val="00086B09"/>
    <w:rsid w:val="000A3293"/>
    <w:rsid w:val="000B370B"/>
    <w:rsid w:val="000B7196"/>
    <w:rsid w:val="000E556D"/>
    <w:rsid w:val="000E61FB"/>
    <w:rsid w:val="000F0A54"/>
    <w:rsid w:val="000F3786"/>
    <w:rsid w:val="000F7AC9"/>
    <w:rsid w:val="00105F62"/>
    <w:rsid w:val="00110AFE"/>
    <w:rsid w:val="00117784"/>
    <w:rsid w:val="00134E78"/>
    <w:rsid w:val="00144A1A"/>
    <w:rsid w:val="0017086A"/>
    <w:rsid w:val="00172395"/>
    <w:rsid w:val="00187304"/>
    <w:rsid w:val="001903C1"/>
    <w:rsid w:val="001B1BF3"/>
    <w:rsid w:val="001B657F"/>
    <w:rsid w:val="001C10AD"/>
    <w:rsid w:val="001C1C91"/>
    <w:rsid w:val="001C686D"/>
    <w:rsid w:val="001D24EB"/>
    <w:rsid w:val="001D7E90"/>
    <w:rsid w:val="0020511E"/>
    <w:rsid w:val="00207B86"/>
    <w:rsid w:val="002168F9"/>
    <w:rsid w:val="00221D26"/>
    <w:rsid w:val="002316B6"/>
    <w:rsid w:val="00240A0F"/>
    <w:rsid w:val="002425E6"/>
    <w:rsid w:val="0024340E"/>
    <w:rsid w:val="002462DF"/>
    <w:rsid w:val="002518F7"/>
    <w:rsid w:val="00260149"/>
    <w:rsid w:val="002648EA"/>
    <w:rsid w:val="00265B9F"/>
    <w:rsid w:val="00282829"/>
    <w:rsid w:val="00283F59"/>
    <w:rsid w:val="002877C9"/>
    <w:rsid w:val="0029221C"/>
    <w:rsid w:val="002A714D"/>
    <w:rsid w:val="002A7EFC"/>
    <w:rsid w:val="002B3152"/>
    <w:rsid w:val="002B70FF"/>
    <w:rsid w:val="002D10C5"/>
    <w:rsid w:val="002E02FE"/>
    <w:rsid w:val="002E2EFD"/>
    <w:rsid w:val="002E7D7C"/>
    <w:rsid w:val="002F2708"/>
    <w:rsid w:val="0030442B"/>
    <w:rsid w:val="00304BE2"/>
    <w:rsid w:val="003120D2"/>
    <w:rsid w:val="00316254"/>
    <w:rsid w:val="0032009A"/>
    <w:rsid w:val="00326ECD"/>
    <w:rsid w:val="00327466"/>
    <w:rsid w:val="003321C5"/>
    <w:rsid w:val="003429D3"/>
    <w:rsid w:val="00342F57"/>
    <w:rsid w:val="00343CF7"/>
    <w:rsid w:val="00360549"/>
    <w:rsid w:val="00362059"/>
    <w:rsid w:val="003635F3"/>
    <w:rsid w:val="003A0E47"/>
    <w:rsid w:val="003C08AD"/>
    <w:rsid w:val="003C2EF0"/>
    <w:rsid w:val="003D6F42"/>
    <w:rsid w:val="003F117D"/>
    <w:rsid w:val="003F290C"/>
    <w:rsid w:val="003F7B75"/>
    <w:rsid w:val="00401E46"/>
    <w:rsid w:val="00404F78"/>
    <w:rsid w:val="00412735"/>
    <w:rsid w:val="00424111"/>
    <w:rsid w:val="00473DE6"/>
    <w:rsid w:val="004A554E"/>
    <w:rsid w:val="004C7D68"/>
    <w:rsid w:val="004F0DC6"/>
    <w:rsid w:val="004F2A60"/>
    <w:rsid w:val="00517646"/>
    <w:rsid w:val="00520195"/>
    <w:rsid w:val="005230A8"/>
    <w:rsid w:val="00523E50"/>
    <w:rsid w:val="0054012B"/>
    <w:rsid w:val="00556AF2"/>
    <w:rsid w:val="00567A3F"/>
    <w:rsid w:val="005F3961"/>
    <w:rsid w:val="005F778A"/>
    <w:rsid w:val="00611D73"/>
    <w:rsid w:val="0062373E"/>
    <w:rsid w:val="006238FB"/>
    <w:rsid w:val="00623D39"/>
    <w:rsid w:val="00627E25"/>
    <w:rsid w:val="006472CE"/>
    <w:rsid w:val="00657471"/>
    <w:rsid w:val="00660608"/>
    <w:rsid w:val="006652BC"/>
    <w:rsid w:val="006665CA"/>
    <w:rsid w:val="00691826"/>
    <w:rsid w:val="00694471"/>
    <w:rsid w:val="00695944"/>
    <w:rsid w:val="00697459"/>
    <w:rsid w:val="006B194E"/>
    <w:rsid w:val="006C16FF"/>
    <w:rsid w:val="006C3E07"/>
    <w:rsid w:val="006C4D8B"/>
    <w:rsid w:val="006D00FD"/>
    <w:rsid w:val="006E0A6E"/>
    <w:rsid w:val="006F4791"/>
    <w:rsid w:val="0070194E"/>
    <w:rsid w:val="00704E81"/>
    <w:rsid w:val="00707E56"/>
    <w:rsid w:val="00710E9F"/>
    <w:rsid w:val="00712DC9"/>
    <w:rsid w:val="00733B5B"/>
    <w:rsid w:val="007343A7"/>
    <w:rsid w:val="007426EC"/>
    <w:rsid w:val="00743447"/>
    <w:rsid w:val="00746EFC"/>
    <w:rsid w:val="00752991"/>
    <w:rsid w:val="00761663"/>
    <w:rsid w:val="00774C1B"/>
    <w:rsid w:val="00780BF1"/>
    <w:rsid w:val="007A2F28"/>
    <w:rsid w:val="007B0858"/>
    <w:rsid w:val="007B1CC9"/>
    <w:rsid w:val="007B5384"/>
    <w:rsid w:val="007C1D45"/>
    <w:rsid w:val="007C5AF3"/>
    <w:rsid w:val="007D3EBB"/>
    <w:rsid w:val="007D49F3"/>
    <w:rsid w:val="007D7ACA"/>
    <w:rsid w:val="007E0D0E"/>
    <w:rsid w:val="008225E0"/>
    <w:rsid w:val="0083162E"/>
    <w:rsid w:val="0083304C"/>
    <w:rsid w:val="008541FC"/>
    <w:rsid w:val="00856E81"/>
    <w:rsid w:val="00860928"/>
    <w:rsid w:val="00862D3D"/>
    <w:rsid w:val="00877A22"/>
    <w:rsid w:val="00885409"/>
    <w:rsid w:val="00891DBB"/>
    <w:rsid w:val="008A046F"/>
    <w:rsid w:val="008A4E76"/>
    <w:rsid w:val="008A7A9E"/>
    <w:rsid w:val="008B6C0D"/>
    <w:rsid w:val="008C62DE"/>
    <w:rsid w:val="008C76E1"/>
    <w:rsid w:val="008D39BC"/>
    <w:rsid w:val="008E017B"/>
    <w:rsid w:val="008E4446"/>
    <w:rsid w:val="008F5E9E"/>
    <w:rsid w:val="00905442"/>
    <w:rsid w:val="00914859"/>
    <w:rsid w:val="0092714D"/>
    <w:rsid w:val="00942F13"/>
    <w:rsid w:val="0094323F"/>
    <w:rsid w:val="0094603C"/>
    <w:rsid w:val="00953041"/>
    <w:rsid w:val="00957217"/>
    <w:rsid w:val="00967B00"/>
    <w:rsid w:val="00970F51"/>
    <w:rsid w:val="009767B1"/>
    <w:rsid w:val="00983A21"/>
    <w:rsid w:val="009848D8"/>
    <w:rsid w:val="009903BC"/>
    <w:rsid w:val="0099402D"/>
    <w:rsid w:val="00997078"/>
    <w:rsid w:val="009A3936"/>
    <w:rsid w:val="009B43B4"/>
    <w:rsid w:val="009C2FC8"/>
    <w:rsid w:val="009E7543"/>
    <w:rsid w:val="009F3D0B"/>
    <w:rsid w:val="00A15145"/>
    <w:rsid w:val="00A25E60"/>
    <w:rsid w:val="00A43680"/>
    <w:rsid w:val="00A47CA5"/>
    <w:rsid w:val="00A551CB"/>
    <w:rsid w:val="00A57067"/>
    <w:rsid w:val="00A61F60"/>
    <w:rsid w:val="00A62DC9"/>
    <w:rsid w:val="00A72D3D"/>
    <w:rsid w:val="00A776AE"/>
    <w:rsid w:val="00A86BE7"/>
    <w:rsid w:val="00AA0825"/>
    <w:rsid w:val="00AA1DCA"/>
    <w:rsid w:val="00AC2CDB"/>
    <w:rsid w:val="00AC3B7A"/>
    <w:rsid w:val="00AD19B4"/>
    <w:rsid w:val="00AD3A68"/>
    <w:rsid w:val="00AE2878"/>
    <w:rsid w:val="00AF260C"/>
    <w:rsid w:val="00AF6C0C"/>
    <w:rsid w:val="00B0520E"/>
    <w:rsid w:val="00B16FA0"/>
    <w:rsid w:val="00B26C9A"/>
    <w:rsid w:val="00B274A6"/>
    <w:rsid w:val="00B314A3"/>
    <w:rsid w:val="00B3162F"/>
    <w:rsid w:val="00B5536D"/>
    <w:rsid w:val="00B642DB"/>
    <w:rsid w:val="00B659B4"/>
    <w:rsid w:val="00B8405B"/>
    <w:rsid w:val="00B842F8"/>
    <w:rsid w:val="00B92DE9"/>
    <w:rsid w:val="00BA31D1"/>
    <w:rsid w:val="00BA73A9"/>
    <w:rsid w:val="00BE3FB1"/>
    <w:rsid w:val="00BF4E37"/>
    <w:rsid w:val="00C06C69"/>
    <w:rsid w:val="00C1068D"/>
    <w:rsid w:val="00C42DC2"/>
    <w:rsid w:val="00C6732C"/>
    <w:rsid w:val="00C67A25"/>
    <w:rsid w:val="00C73BEB"/>
    <w:rsid w:val="00C83324"/>
    <w:rsid w:val="00CD5D32"/>
    <w:rsid w:val="00CE2751"/>
    <w:rsid w:val="00CE48D4"/>
    <w:rsid w:val="00CE5BF5"/>
    <w:rsid w:val="00CF7786"/>
    <w:rsid w:val="00D0701D"/>
    <w:rsid w:val="00D11388"/>
    <w:rsid w:val="00D21870"/>
    <w:rsid w:val="00D30270"/>
    <w:rsid w:val="00D509E8"/>
    <w:rsid w:val="00D53C74"/>
    <w:rsid w:val="00D55D95"/>
    <w:rsid w:val="00D95864"/>
    <w:rsid w:val="00DA5E31"/>
    <w:rsid w:val="00DB32B7"/>
    <w:rsid w:val="00DB7875"/>
    <w:rsid w:val="00DC579A"/>
    <w:rsid w:val="00DD20FE"/>
    <w:rsid w:val="00DD6983"/>
    <w:rsid w:val="00DE0567"/>
    <w:rsid w:val="00E05A0C"/>
    <w:rsid w:val="00E10753"/>
    <w:rsid w:val="00E224B1"/>
    <w:rsid w:val="00E25DF6"/>
    <w:rsid w:val="00E2782D"/>
    <w:rsid w:val="00E30A76"/>
    <w:rsid w:val="00E62599"/>
    <w:rsid w:val="00E67465"/>
    <w:rsid w:val="00E70ACE"/>
    <w:rsid w:val="00E80949"/>
    <w:rsid w:val="00E90407"/>
    <w:rsid w:val="00EA0483"/>
    <w:rsid w:val="00EC054E"/>
    <w:rsid w:val="00EC5ADE"/>
    <w:rsid w:val="00EC76FC"/>
    <w:rsid w:val="00EF6775"/>
    <w:rsid w:val="00F05CE5"/>
    <w:rsid w:val="00F12255"/>
    <w:rsid w:val="00F20D33"/>
    <w:rsid w:val="00F438D5"/>
    <w:rsid w:val="00F44AFA"/>
    <w:rsid w:val="00F51A87"/>
    <w:rsid w:val="00F54AAD"/>
    <w:rsid w:val="00F708E0"/>
    <w:rsid w:val="00F73531"/>
    <w:rsid w:val="00F80CDE"/>
    <w:rsid w:val="00F81723"/>
    <w:rsid w:val="00F81A97"/>
    <w:rsid w:val="00F83070"/>
    <w:rsid w:val="00F8690D"/>
    <w:rsid w:val="00F87FDC"/>
    <w:rsid w:val="00FD2F75"/>
    <w:rsid w:val="00FD4548"/>
    <w:rsid w:val="00FD6E25"/>
    <w:rsid w:val="00FE2561"/>
    <w:rsid w:val="00FE6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4BB6B"/>
  <w15:chartTrackingRefBased/>
  <w15:docId w15:val="{34926331-1D1E-4007-9872-B0403B92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E9F"/>
    <w:pPr>
      <w:spacing w:before="120" w:after="120"/>
    </w:pPr>
    <w:rPr>
      <w:rFonts w:ascii="Open Sans" w:hAnsi="Open Sans"/>
    </w:rPr>
  </w:style>
  <w:style w:type="paragraph" w:styleId="Heading1">
    <w:name w:val="heading 1"/>
    <w:basedOn w:val="Normal"/>
    <w:next w:val="Normal"/>
    <w:link w:val="Heading1Char"/>
    <w:autoRedefine/>
    <w:uiPriority w:val="9"/>
    <w:qFormat/>
    <w:rsid w:val="00E90407"/>
    <w:pPr>
      <w:keepNext/>
      <w:keepLines/>
      <w:spacing w:before="240" w:line="240" w:lineRule="auto"/>
      <w:outlineLvl w:val="0"/>
    </w:pPr>
    <w:rPr>
      <w:rFonts w:ascii="Lexend SemiBold" w:eastAsiaTheme="majorEastAsia" w:hAnsi="Lexend SemiBold" w:cstheme="majorBidi"/>
      <w:color w:val="01615C"/>
      <w:sz w:val="32"/>
      <w:szCs w:val="32"/>
    </w:rPr>
  </w:style>
  <w:style w:type="paragraph" w:styleId="Heading2">
    <w:name w:val="heading 2"/>
    <w:basedOn w:val="Normal"/>
    <w:next w:val="Normal"/>
    <w:link w:val="Heading2Char"/>
    <w:autoRedefine/>
    <w:uiPriority w:val="9"/>
    <w:unhideWhenUsed/>
    <w:qFormat/>
    <w:rsid w:val="00C67A25"/>
    <w:pPr>
      <w:keepNext/>
      <w:keepLines/>
      <w:spacing w:before="480"/>
      <w:outlineLvl w:val="1"/>
    </w:pPr>
    <w:rPr>
      <w:rFonts w:ascii="Lexend SemiBold" w:eastAsiaTheme="majorEastAsia" w:hAnsi="Lexend SemiBold" w:cstheme="majorBidi"/>
      <w:color w:val="01615C"/>
      <w:sz w:val="28"/>
      <w:szCs w:val="26"/>
    </w:rPr>
  </w:style>
  <w:style w:type="paragraph" w:styleId="Heading3">
    <w:name w:val="heading 3"/>
    <w:basedOn w:val="Normal"/>
    <w:next w:val="Normal"/>
    <w:link w:val="Heading3Char"/>
    <w:uiPriority w:val="9"/>
    <w:unhideWhenUsed/>
    <w:qFormat/>
    <w:rsid w:val="003D6F42"/>
    <w:pPr>
      <w:keepNext/>
      <w:keepLines/>
      <w:spacing w:before="0"/>
      <w:outlineLvl w:val="2"/>
    </w:pPr>
    <w:rPr>
      <w:rFonts w:ascii="Lexend SemiBold" w:eastAsiaTheme="majorEastAsia" w:hAnsi="Lexend SemiBold" w:cstheme="majorBidi"/>
      <w:color w:val="01615C"/>
      <w:sz w:val="24"/>
      <w:szCs w:val="24"/>
    </w:rPr>
  </w:style>
  <w:style w:type="paragraph" w:styleId="Heading4">
    <w:name w:val="heading 4"/>
    <w:basedOn w:val="Normal"/>
    <w:next w:val="Normal"/>
    <w:link w:val="Heading4Char"/>
    <w:uiPriority w:val="9"/>
    <w:unhideWhenUsed/>
    <w:qFormat/>
    <w:rsid w:val="004F2A60"/>
    <w:pPr>
      <w:keepNext/>
      <w:keepLines/>
      <w:spacing w:before="40"/>
      <w:outlineLvl w:val="3"/>
    </w:pPr>
    <w:rPr>
      <w:rFonts w:ascii="Lexend" w:eastAsiaTheme="majorEastAsia" w:hAnsi="Lexend" w:cstheme="majorBidi"/>
      <w:iCs/>
      <w:color w:val="01615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A714D"/>
    <w:pPr>
      <w:spacing w:after="0" w:line="240" w:lineRule="auto"/>
    </w:pPr>
    <w:rPr>
      <w:rFonts w:ascii="Open Sans" w:eastAsiaTheme="minorEastAsia" w:hAnsi="Open Sans"/>
      <w:lang w:val="en-US"/>
    </w:rPr>
  </w:style>
  <w:style w:type="character" w:customStyle="1" w:styleId="NoSpacingChar">
    <w:name w:val="No Spacing Char"/>
    <w:basedOn w:val="DefaultParagraphFont"/>
    <w:link w:val="NoSpacing"/>
    <w:uiPriority w:val="1"/>
    <w:rsid w:val="002A714D"/>
    <w:rPr>
      <w:rFonts w:ascii="Open Sans" w:eastAsiaTheme="minorEastAsia" w:hAnsi="Open Sans"/>
      <w:lang w:val="en-US"/>
    </w:rPr>
  </w:style>
  <w:style w:type="paragraph" w:styleId="Header">
    <w:name w:val="header"/>
    <w:basedOn w:val="Normal"/>
    <w:link w:val="HeaderChar"/>
    <w:uiPriority w:val="99"/>
    <w:unhideWhenUsed/>
    <w:rsid w:val="00AA1D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DCA"/>
  </w:style>
  <w:style w:type="paragraph" w:styleId="Footer">
    <w:name w:val="footer"/>
    <w:basedOn w:val="Normal"/>
    <w:link w:val="FooterChar"/>
    <w:uiPriority w:val="99"/>
    <w:unhideWhenUsed/>
    <w:rsid w:val="00AA1D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DCA"/>
  </w:style>
  <w:style w:type="character" w:styleId="PlaceholderText">
    <w:name w:val="Placeholder Text"/>
    <w:basedOn w:val="DefaultParagraphFont"/>
    <w:uiPriority w:val="99"/>
    <w:semiHidden/>
    <w:rsid w:val="00694471"/>
    <w:rPr>
      <w:color w:val="808080"/>
    </w:rPr>
  </w:style>
  <w:style w:type="character" w:customStyle="1" w:styleId="Heading1Char">
    <w:name w:val="Heading 1 Char"/>
    <w:basedOn w:val="DefaultParagraphFont"/>
    <w:link w:val="Heading1"/>
    <w:uiPriority w:val="9"/>
    <w:rsid w:val="00E90407"/>
    <w:rPr>
      <w:rFonts w:ascii="Lexend SemiBold" w:eastAsiaTheme="majorEastAsia" w:hAnsi="Lexend SemiBold" w:cstheme="majorBidi"/>
      <w:color w:val="01615C"/>
      <w:sz w:val="32"/>
      <w:szCs w:val="32"/>
    </w:rPr>
  </w:style>
  <w:style w:type="character" w:customStyle="1" w:styleId="Heading2Char">
    <w:name w:val="Heading 2 Char"/>
    <w:basedOn w:val="DefaultParagraphFont"/>
    <w:link w:val="Heading2"/>
    <w:uiPriority w:val="9"/>
    <w:rsid w:val="00C67A25"/>
    <w:rPr>
      <w:rFonts w:ascii="Lexend SemiBold" w:eastAsiaTheme="majorEastAsia" w:hAnsi="Lexend SemiBold" w:cstheme="majorBidi"/>
      <w:color w:val="01615C"/>
      <w:sz w:val="28"/>
      <w:szCs w:val="26"/>
    </w:rPr>
  </w:style>
  <w:style w:type="table" w:styleId="TableGrid">
    <w:name w:val="Table Grid"/>
    <w:basedOn w:val="TableNormal"/>
    <w:rsid w:val="00473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D6F42"/>
    <w:rPr>
      <w:rFonts w:ascii="Lexend SemiBold" w:eastAsiaTheme="majorEastAsia" w:hAnsi="Lexend SemiBold" w:cstheme="majorBidi"/>
      <w:color w:val="01615C"/>
      <w:sz w:val="24"/>
      <w:szCs w:val="24"/>
    </w:rPr>
  </w:style>
  <w:style w:type="paragraph" w:customStyle="1" w:styleId="Footertitle">
    <w:name w:val="Footer title"/>
    <w:basedOn w:val="Footer"/>
    <w:qFormat/>
    <w:rsid w:val="00B0520E"/>
    <w:rPr>
      <w:color w:val="595959" w:themeColor="text1" w:themeTint="A6"/>
      <w:sz w:val="18"/>
      <w:szCs w:val="20"/>
    </w:rPr>
  </w:style>
  <w:style w:type="character" w:customStyle="1" w:styleId="Heading4Char">
    <w:name w:val="Heading 4 Char"/>
    <w:basedOn w:val="DefaultParagraphFont"/>
    <w:link w:val="Heading4"/>
    <w:uiPriority w:val="9"/>
    <w:rsid w:val="004F2A60"/>
    <w:rPr>
      <w:rFonts w:ascii="Lexend" w:eastAsiaTheme="majorEastAsia" w:hAnsi="Lexend" w:cstheme="majorBidi"/>
      <w:iCs/>
      <w:color w:val="01615C"/>
    </w:rPr>
  </w:style>
  <w:style w:type="paragraph" w:styleId="Title">
    <w:name w:val="Title"/>
    <w:aliases w:val="White Cover Title"/>
    <w:basedOn w:val="Normal"/>
    <w:next w:val="Normal"/>
    <w:link w:val="TitleChar"/>
    <w:uiPriority w:val="10"/>
    <w:qFormat/>
    <w:rsid w:val="002648EA"/>
    <w:pPr>
      <w:framePr w:w="8505" w:wrap="around" w:vAnchor="text" w:hAnchor="text" w:y="1"/>
      <w:spacing w:after="0" w:line="240" w:lineRule="auto"/>
      <w:contextualSpacing/>
    </w:pPr>
    <w:rPr>
      <w:rFonts w:ascii="Lexend SemiBold" w:eastAsiaTheme="majorEastAsia" w:hAnsi="Lexend SemiBold" w:cstheme="majorBidi"/>
      <w:color w:val="FFFFFF" w:themeColor="background1"/>
      <w:spacing w:val="-10"/>
      <w:kern w:val="28"/>
      <w:sz w:val="50"/>
      <w:szCs w:val="56"/>
    </w:rPr>
  </w:style>
  <w:style w:type="character" w:customStyle="1" w:styleId="TitleChar">
    <w:name w:val="Title Char"/>
    <w:aliases w:val="White Cover Title Char"/>
    <w:basedOn w:val="DefaultParagraphFont"/>
    <w:link w:val="Title"/>
    <w:uiPriority w:val="10"/>
    <w:rsid w:val="002648EA"/>
    <w:rPr>
      <w:rFonts w:ascii="Lexend SemiBold" w:eastAsiaTheme="majorEastAsia" w:hAnsi="Lexend SemiBold" w:cstheme="majorBidi"/>
      <w:color w:val="FFFFFF" w:themeColor="background1"/>
      <w:spacing w:val="-10"/>
      <w:kern w:val="28"/>
      <w:sz w:val="50"/>
      <w:szCs w:val="56"/>
    </w:rPr>
  </w:style>
  <w:style w:type="paragraph" w:styleId="ListParagraph">
    <w:name w:val="List Paragraph"/>
    <w:basedOn w:val="Normal"/>
    <w:uiPriority w:val="34"/>
    <w:qFormat/>
    <w:rsid w:val="00260149"/>
    <w:pPr>
      <w:numPr>
        <w:numId w:val="2"/>
      </w:numPr>
      <w:ind w:left="738" w:hanging="284"/>
      <w:contextualSpacing/>
    </w:pPr>
  </w:style>
  <w:style w:type="table" w:styleId="TableGridLight">
    <w:name w:val="Grid Table Light"/>
    <w:basedOn w:val="TableNormal"/>
    <w:uiPriority w:val="40"/>
    <w:rsid w:val="006B19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6">
    <w:name w:val="Grid Table 4 Accent 6"/>
    <w:aliases w:val="Substance Table"/>
    <w:basedOn w:val="TableNormal"/>
    <w:uiPriority w:val="49"/>
    <w:rsid w:val="00710E9F"/>
    <w:pPr>
      <w:spacing w:after="0" w:line="240" w:lineRule="auto"/>
    </w:pPr>
    <w:rPr>
      <w:rFonts w:ascii="Open Sans" w:hAnsi="Open Sans"/>
      <w:color w:val="01615C"/>
    </w:rPr>
    <w:tblPr>
      <w:tblStyleRowBandSize w:val="1"/>
      <w:tblStyleColBandSize w:val="1"/>
      <w:tblBorders>
        <w:top w:val="single" w:sz="4" w:space="0" w:color="01615C"/>
        <w:left w:val="single" w:sz="4" w:space="0" w:color="01615C"/>
        <w:bottom w:val="single" w:sz="4" w:space="0" w:color="01615C"/>
        <w:right w:val="single" w:sz="4" w:space="0" w:color="01615C"/>
        <w:insideH w:val="single" w:sz="4" w:space="0" w:color="01615C"/>
        <w:insideV w:val="single" w:sz="4" w:space="0" w:color="01615C"/>
      </w:tblBorders>
    </w:tblPr>
    <w:tcPr>
      <w:vAlign w:val="center"/>
    </w:tcPr>
    <w:tblStylePr w:type="firstRow">
      <w:rPr>
        <w:rFonts w:ascii="Herculanum" w:hAnsi="Herculanum"/>
        <w:b/>
        <w:bCs/>
        <w:color w:val="FFFFFF" w:themeColor="background1"/>
      </w:rPr>
      <w:tblPr/>
      <w:tcPr>
        <w:shd w:val="clear" w:color="auto" w:fill="01615C"/>
      </w:tcPr>
    </w:tblStylePr>
    <w:tblStylePr w:type="lastRow">
      <w:rPr>
        <w:rFonts w:asciiTheme="minorHAnsi" w:hAnsiTheme="minorHAnsi"/>
        <w:b/>
        <w:bCs/>
        <w:color w:val="01615C"/>
        <w:sz w:val="22"/>
      </w:rPr>
      <w:tblPr/>
      <w:tcPr>
        <w:tcBorders>
          <w:top w:val="double" w:sz="4" w:space="0" w:color="70D44B" w:themeColor="accent6"/>
        </w:tcBorders>
      </w:tcPr>
    </w:tblStylePr>
    <w:tblStylePr w:type="firstCol">
      <w:rPr>
        <w:rFonts w:asciiTheme="minorHAnsi" w:hAnsiTheme="minorHAnsi"/>
        <w:b w:val="0"/>
        <w:bCs/>
        <w:sz w:val="22"/>
      </w:rPr>
    </w:tblStylePr>
    <w:tblStylePr w:type="lastCol">
      <w:rPr>
        <w:b/>
        <w:bCs/>
        <w:sz w:val="20"/>
      </w:rPr>
    </w:tblStylePr>
    <w:tblStylePr w:type="band1Vert">
      <w:rPr>
        <w:sz w:val="22"/>
      </w:rPr>
      <w:tblPr/>
      <w:tcPr>
        <w:shd w:val="clear" w:color="auto" w:fill="E2F6DA" w:themeFill="accent6" w:themeFillTint="33"/>
      </w:tcPr>
    </w:tblStylePr>
    <w:tblStylePr w:type="band2Vert">
      <w:rPr>
        <w:sz w:val="22"/>
      </w:rPr>
    </w:tblStylePr>
    <w:tblStylePr w:type="band1Horz">
      <w:rPr>
        <w:rFonts w:asciiTheme="minorHAnsi" w:hAnsiTheme="minorHAnsi"/>
        <w:b w:val="0"/>
        <w:color w:val="01615C"/>
        <w:sz w:val="22"/>
      </w:rPr>
      <w:tblPr/>
      <w:tcPr>
        <w:shd w:val="clear" w:color="auto" w:fill="EEF4F4"/>
      </w:tcPr>
    </w:tblStylePr>
    <w:tblStylePr w:type="band2Horz">
      <w:rPr>
        <w:rFonts w:asciiTheme="minorHAnsi" w:hAnsiTheme="minorHAnsi"/>
        <w:b w:val="0"/>
        <w:color w:val="01615C"/>
        <w:sz w:val="22"/>
      </w:rPr>
    </w:tblStylePr>
  </w:style>
  <w:style w:type="character" w:styleId="IntenseEmphasis">
    <w:name w:val="Intense Emphasis"/>
    <w:basedOn w:val="DefaultParagraphFont"/>
    <w:uiPriority w:val="21"/>
    <w:qFormat/>
    <w:rsid w:val="00877A22"/>
    <w:rPr>
      <w:i/>
      <w:iCs/>
      <w:color w:val="01615C"/>
    </w:rPr>
  </w:style>
  <w:style w:type="paragraph" w:customStyle="1" w:styleId="Bodytext-60width">
    <w:name w:val="Body text - 60% width"/>
    <w:basedOn w:val="Normal"/>
    <w:qFormat/>
    <w:rsid w:val="003C2EF0"/>
    <w:pPr>
      <w:framePr w:w="6804" w:wrap="notBeside" w:vAnchor="text" w:hAnchor="text" w:y="1"/>
    </w:pPr>
  </w:style>
  <w:style w:type="paragraph" w:styleId="Caption">
    <w:name w:val="caption"/>
    <w:basedOn w:val="Normal"/>
    <w:next w:val="Normal"/>
    <w:uiPriority w:val="35"/>
    <w:unhideWhenUsed/>
    <w:qFormat/>
    <w:rsid w:val="007C5AF3"/>
    <w:pPr>
      <w:spacing w:before="0" w:line="240" w:lineRule="auto"/>
    </w:pPr>
    <w:rPr>
      <w:i/>
      <w:iCs/>
      <w:color w:val="01615C"/>
      <w:sz w:val="20"/>
      <w:szCs w:val="18"/>
    </w:rPr>
  </w:style>
  <w:style w:type="paragraph" w:customStyle="1" w:styleId="Bodytext-Teal">
    <w:name w:val="Body text - Teal"/>
    <w:basedOn w:val="Heading4"/>
    <w:qFormat/>
    <w:rsid w:val="00282829"/>
    <w:pPr>
      <w:spacing w:before="120" w:after="0"/>
    </w:pPr>
    <w:rPr>
      <w:rFonts w:ascii="Open Sans" w:hAnsi="Open Sans"/>
    </w:rPr>
  </w:style>
  <w:style w:type="paragraph" w:customStyle="1" w:styleId="BrightGreenheading">
    <w:name w:val="Bright Green heading"/>
    <w:basedOn w:val="Heading3"/>
    <w:qFormat/>
    <w:rsid w:val="000B7196"/>
    <w:rPr>
      <w:color w:val="70D44B"/>
    </w:rPr>
  </w:style>
  <w:style w:type="paragraph" w:customStyle="1" w:styleId="PageTitle">
    <w:name w:val="Page Title"/>
    <w:basedOn w:val="Title"/>
    <w:qFormat/>
    <w:rsid w:val="00D55D95"/>
    <w:pPr>
      <w:framePr w:wrap="around"/>
    </w:pPr>
    <w:rPr>
      <w:color w:val="19322E"/>
    </w:rPr>
  </w:style>
  <w:style w:type="paragraph" w:customStyle="1" w:styleId="BoxedQuote-Pale">
    <w:name w:val="Boxed Quote - Pale"/>
    <w:basedOn w:val="Normal"/>
    <w:qFormat/>
    <w:rsid w:val="00997078"/>
    <w:pPr>
      <w:pBdr>
        <w:top w:val="single" w:sz="48" w:space="10" w:color="D6EDE4"/>
        <w:left w:val="single" w:sz="48" w:space="10" w:color="D6EDE4"/>
        <w:bottom w:val="single" w:sz="48" w:space="10" w:color="D6EDE4"/>
        <w:right w:val="single" w:sz="48" w:space="10" w:color="D6EDE4"/>
      </w:pBdr>
      <w:shd w:val="clear" w:color="auto" w:fill="D6EDE4"/>
      <w:spacing w:line="240" w:lineRule="auto"/>
      <w:ind w:left="397" w:right="113"/>
    </w:pPr>
    <w:rPr>
      <w:i/>
      <w:color w:val="01615C"/>
      <w:sz w:val="40"/>
      <w:szCs w:val="40"/>
    </w:rPr>
  </w:style>
  <w:style w:type="paragraph" w:customStyle="1" w:styleId="LargeQuote">
    <w:name w:val="Large Quote"/>
    <w:basedOn w:val="Normal"/>
    <w:qFormat/>
    <w:rsid w:val="00997078"/>
    <w:rPr>
      <w:i/>
      <w:color w:val="0C4E59"/>
      <w:sz w:val="40"/>
    </w:rPr>
  </w:style>
  <w:style w:type="paragraph" w:customStyle="1" w:styleId="BoxedQuote-Dark">
    <w:name w:val="Boxed Quote - Dark"/>
    <w:basedOn w:val="BoxedQuote-Pale"/>
    <w:qFormat/>
    <w:rsid w:val="00997078"/>
    <w:pPr>
      <w:pBdr>
        <w:top w:val="single" w:sz="48" w:space="10" w:color="0C4E59"/>
        <w:left w:val="single" w:sz="48" w:space="10" w:color="0C4E59"/>
        <w:bottom w:val="single" w:sz="48" w:space="10" w:color="0C4E59"/>
        <w:right w:val="single" w:sz="48" w:space="10" w:color="0C4E59"/>
      </w:pBdr>
      <w:shd w:val="clear" w:color="auto" w:fill="0C4E59"/>
    </w:pPr>
    <w:rPr>
      <w:i w:val="0"/>
      <w:color w:val="FFFFFF" w:themeColor="background1"/>
    </w:rPr>
  </w:style>
  <w:style w:type="paragraph" w:customStyle="1" w:styleId="BoxedText-ExtraLarge">
    <w:name w:val="Boxed Text - Extra Large"/>
    <w:basedOn w:val="BoxedQuote-Dark"/>
    <w:qFormat/>
    <w:rsid w:val="00316254"/>
    <w:pPr>
      <w:pBdr>
        <w:top w:val="single" w:sz="48" w:space="10" w:color="06625D"/>
        <w:left w:val="single" w:sz="48" w:space="10" w:color="06625D"/>
        <w:bottom w:val="single" w:sz="48" w:space="10" w:color="06625D"/>
        <w:right w:val="single" w:sz="48" w:space="10" w:color="06625D"/>
      </w:pBdr>
      <w:shd w:val="clear" w:color="auto" w:fill="06625D"/>
    </w:pPr>
    <w:rPr>
      <w:rFonts w:ascii="Lexend Medium" w:hAnsi="Lexend Medium"/>
      <w:sz w:val="72"/>
    </w:rPr>
  </w:style>
  <w:style w:type="paragraph" w:customStyle="1" w:styleId="TableHeader">
    <w:name w:val="Table Header"/>
    <w:basedOn w:val="Heading3"/>
    <w:qFormat/>
    <w:rsid w:val="00697459"/>
  </w:style>
  <w:style w:type="table" w:customStyle="1" w:styleId="SubstanceTable1">
    <w:name w:val="Substance Table1"/>
    <w:basedOn w:val="TableNormal"/>
    <w:next w:val="TableGrid"/>
    <w:rsid w:val="0020511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0511E"/>
    <w:pPr>
      <w:spacing w:before="0"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20511E"/>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unhideWhenUsed/>
    <w:rsid w:val="0020511E"/>
    <w:rPr>
      <w:vertAlign w:val="superscript"/>
    </w:rPr>
  </w:style>
  <w:style w:type="table" w:customStyle="1" w:styleId="GridTable4-Accent61">
    <w:name w:val="Grid Table 4 - Accent 61"/>
    <w:basedOn w:val="TableNormal"/>
    <w:next w:val="GridTable4-Accent6"/>
    <w:uiPriority w:val="49"/>
    <w:rsid w:val="0020511E"/>
    <w:pPr>
      <w:spacing w:after="0" w:line="240" w:lineRule="auto"/>
    </w:pPr>
    <w:rPr>
      <w:rFonts w:ascii="Open Sans" w:hAnsi="Open Sans"/>
      <w:color w:val="01615C"/>
    </w:rPr>
    <w:tblPr>
      <w:tblStyleRowBandSize w:val="1"/>
      <w:tblStyleColBandSize w:val="1"/>
      <w:tblBorders>
        <w:top w:val="single" w:sz="4" w:space="0" w:color="01615C"/>
        <w:left w:val="single" w:sz="4" w:space="0" w:color="01615C"/>
        <w:bottom w:val="single" w:sz="4" w:space="0" w:color="01615C"/>
        <w:right w:val="single" w:sz="4" w:space="0" w:color="01615C"/>
        <w:insideH w:val="single" w:sz="4" w:space="0" w:color="01615C"/>
        <w:insideV w:val="single" w:sz="4" w:space="0" w:color="01615C"/>
      </w:tblBorders>
    </w:tblPr>
    <w:tcPr>
      <w:vAlign w:val="center"/>
    </w:tcPr>
    <w:tblStylePr w:type="firstRow">
      <w:rPr>
        <w:rFonts w:ascii="HELVETICA OBLIQUE" w:hAnsi="HELVETICA OBLIQUE"/>
        <w:b/>
        <w:bCs/>
        <w:color w:val="FFFFFF"/>
      </w:rPr>
      <w:tblPr/>
      <w:tcPr>
        <w:shd w:val="clear" w:color="auto" w:fill="01615C"/>
      </w:tcPr>
    </w:tblStylePr>
    <w:tblStylePr w:type="lastRow">
      <w:rPr>
        <w:rFonts w:ascii="Calibri" w:hAnsi="Calibri"/>
        <w:b/>
        <w:bCs/>
        <w:color w:val="01615C"/>
        <w:sz w:val="22"/>
      </w:rPr>
      <w:tblPr/>
      <w:tcPr>
        <w:tcBorders>
          <w:top w:val="double" w:sz="4" w:space="0" w:color="70AD47"/>
        </w:tcBorders>
      </w:tcPr>
    </w:tblStylePr>
    <w:tblStylePr w:type="firstCol">
      <w:rPr>
        <w:rFonts w:ascii="Calibri" w:hAnsi="Calibri"/>
        <w:b w:val="0"/>
        <w:bCs/>
        <w:sz w:val="22"/>
      </w:rPr>
    </w:tblStylePr>
    <w:tblStylePr w:type="lastCol">
      <w:rPr>
        <w:b/>
        <w:bCs/>
        <w:sz w:val="20"/>
      </w:rPr>
    </w:tblStylePr>
    <w:tblStylePr w:type="band1Vert">
      <w:rPr>
        <w:sz w:val="22"/>
      </w:rPr>
      <w:tblPr/>
      <w:tcPr>
        <w:shd w:val="clear" w:color="auto" w:fill="E2EFD9"/>
      </w:tcPr>
    </w:tblStylePr>
    <w:tblStylePr w:type="band2Vert">
      <w:rPr>
        <w:sz w:val="22"/>
      </w:rPr>
    </w:tblStylePr>
    <w:tblStylePr w:type="band1Horz">
      <w:rPr>
        <w:rFonts w:ascii="Calibri" w:hAnsi="Calibri"/>
        <w:b w:val="0"/>
        <w:color w:val="01615C"/>
        <w:sz w:val="22"/>
      </w:rPr>
      <w:tblPr/>
      <w:tcPr>
        <w:shd w:val="clear" w:color="auto" w:fill="EEF4F4"/>
      </w:tcPr>
    </w:tblStylePr>
    <w:tblStylePr w:type="band2Horz">
      <w:rPr>
        <w:rFonts w:ascii="Calibri" w:hAnsi="Calibri"/>
        <w:b w:val="0"/>
        <w:color w:val="01615C"/>
        <w:sz w:val="22"/>
      </w:rPr>
    </w:tblStylePr>
  </w:style>
  <w:style w:type="character" w:customStyle="1" w:styleId="normaltextrun">
    <w:name w:val="normaltextrun"/>
    <w:basedOn w:val="DefaultParagraphFont"/>
    <w:rsid w:val="00FD6E25"/>
  </w:style>
  <w:style w:type="character" w:styleId="Hyperlink">
    <w:name w:val="Hyperlink"/>
    <w:basedOn w:val="DefaultParagraphFont"/>
    <w:uiPriority w:val="99"/>
    <w:unhideWhenUsed/>
    <w:rsid w:val="00FD6E25"/>
    <w:rPr>
      <w:color w:val="0000FF"/>
      <w:u w:val="single"/>
    </w:rPr>
  </w:style>
  <w:style w:type="paragraph" w:customStyle="1" w:styleId="paragraph">
    <w:name w:val="paragraph"/>
    <w:basedOn w:val="Normal"/>
    <w:rsid w:val="006C4D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C4D8B"/>
  </w:style>
  <w:style w:type="table" w:customStyle="1" w:styleId="SubstanceTable2">
    <w:name w:val="Substance Table2"/>
    <w:basedOn w:val="TableNormal"/>
    <w:next w:val="TableGrid"/>
    <w:rsid w:val="0041273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bstanceTable3">
    <w:name w:val="Substance Table3"/>
    <w:basedOn w:val="TableNormal"/>
    <w:next w:val="TableGrid"/>
    <w:rsid w:val="007343A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343A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SubstanceTable4">
    <w:name w:val="Substance Table4"/>
    <w:basedOn w:val="TableNormal"/>
    <w:next w:val="TableGrid"/>
    <w:rsid w:val="00523E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2">
    <w:name w:val="Grid Table 4 - Accent 62"/>
    <w:basedOn w:val="TableNormal"/>
    <w:next w:val="GridTable4-Accent6"/>
    <w:uiPriority w:val="49"/>
    <w:rsid w:val="003F290C"/>
    <w:pPr>
      <w:spacing w:after="0" w:line="240" w:lineRule="auto"/>
    </w:pPr>
    <w:rPr>
      <w:rFonts w:ascii="Open Sans" w:hAnsi="Open Sans"/>
      <w:color w:val="01615C"/>
    </w:rPr>
    <w:tblPr>
      <w:tblStyleRowBandSize w:val="1"/>
      <w:tblStyleColBandSize w:val="1"/>
      <w:tblBorders>
        <w:top w:val="single" w:sz="4" w:space="0" w:color="01615C"/>
        <w:left w:val="single" w:sz="4" w:space="0" w:color="01615C"/>
        <w:bottom w:val="single" w:sz="4" w:space="0" w:color="01615C"/>
        <w:right w:val="single" w:sz="4" w:space="0" w:color="01615C"/>
        <w:insideH w:val="single" w:sz="4" w:space="0" w:color="01615C"/>
        <w:insideV w:val="single" w:sz="4" w:space="0" w:color="01615C"/>
      </w:tblBorders>
    </w:tblPr>
    <w:tcPr>
      <w:vAlign w:val="center"/>
    </w:tcPr>
    <w:tblStylePr w:type="firstRow">
      <w:rPr>
        <w:rFonts w:ascii="HELVETICA OBLIQUE" w:hAnsi="HELVETICA OBLIQUE"/>
        <w:b/>
        <w:bCs/>
        <w:color w:val="FFFFFF"/>
      </w:rPr>
      <w:tblPr/>
      <w:tcPr>
        <w:shd w:val="clear" w:color="auto" w:fill="01615C"/>
      </w:tcPr>
    </w:tblStylePr>
    <w:tblStylePr w:type="lastRow">
      <w:rPr>
        <w:rFonts w:ascii="Calibri" w:hAnsi="Calibri"/>
        <w:b/>
        <w:bCs/>
        <w:color w:val="01615C"/>
        <w:sz w:val="22"/>
      </w:rPr>
      <w:tblPr/>
      <w:tcPr>
        <w:tcBorders>
          <w:top w:val="double" w:sz="4" w:space="0" w:color="70AD47"/>
        </w:tcBorders>
      </w:tcPr>
    </w:tblStylePr>
    <w:tblStylePr w:type="firstCol">
      <w:rPr>
        <w:rFonts w:ascii="Calibri" w:hAnsi="Calibri"/>
        <w:b w:val="0"/>
        <w:bCs/>
        <w:sz w:val="22"/>
      </w:rPr>
    </w:tblStylePr>
    <w:tblStylePr w:type="lastCol">
      <w:rPr>
        <w:b/>
        <w:bCs/>
        <w:sz w:val="20"/>
      </w:rPr>
    </w:tblStylePr>
    <w:tblStylePr w:type="band1Vert">
      <w:rPr>
        <w:sz w:val="22"/>
      </w:rPr>
      <w:tblPr/>
      <w:tcPr>
        <w:shd w:val="clear" w:color="auto" w:fill="E2EFD9"/>
      </w:tcPr>
    </w:tblStylePr>
    <w:tblStylePr w:type="band2Vert">
      <w:rPr>
        <w:sz w:val="22"/>
      </w:rPr>
    </w:tblStylePr>
    <w:tblStylePr w:type="band1Horz">
      <w:rPr>
        <w:rFonts w:ascii="Calibri" w:hAnsi="Calibri"/>
        <w:b w:val="0"/>
        <w:color w:val="01615C"/>
        <w:sz w:val="22"/>
      </w:rPr>
      <w:tblPr/>
      <w:tcPr>
        <w:shd w:val="clear" w:color="auto" w:fill="EEF4F4"/>
      </w:tcPr>
    </w:tblStylePr>
    <w:tblStylePr w:type="band2Horz">
      <w:rPr>
        <w:rFonts w:ascii="Calibri" w:hAnsi="Calibri"/>
        <w:b w:val="0"/>
        <w:color w:val="01615C"/>
        <w:sz w:val="22"/>
      </w:rPr>
    </w:tblStylePr>
  </w:style>
  <w:style w:type="character" w:styleId="UnresolvedMention">
    <w:name w:val="Unresolved Mention"/>
    <w:basedOn w:val="DefaultParagraphFont"/>
    <w:uiPriority w:val="99"/>
    <w:semiHidden/>
    <w:unhideWhenUsed/>
    <w:rsid w:val="00517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07971">
      <w:bodyDiv w:val="1"/>
      <w:marLeft w:val="0"/>
      <w:marRight w:val="0"/>
      <w:marTop w:val="0"/>
      <w:marBottom w:val="0"/>
      <w:divBdr>
        <w:top w:val="none" w:sz="0" w:space="0" w:color="auto"/>
        <w:left w:val="none" w:sz="0" w:space="0" w:color="auto"/>
        <w:bottom w:val="none" w:sz="0" w:space="0" w:color="auto"/>
        <w:right w:val="none" w:sz="0" w:space="0" w:color="auto"/>
      </w:divBdr>
      <w:divsChild>
        <w:div w:id="694042069">
          <w:marLeft w:val="0"/>
          <w:marRight w:val="0"/>
          <w:marTop w:val="0"/>
          <w:marBottom w:val="0"/>
          <w:divBdr>
            <w:top w:val="none" w:sz="0" w:space="0" w:color="auto"/>
            <w:left w:val="none" w:sz="0" w:space="0" w:color="auto"/>
            <w:bottom w:val="none" w:sz="0" w:space="0" w:color="auto"/>
            <w:right w:val="none" w:sz="0" w:space="0" w:color="auto"/>
          </w:divBdr>
        </w:div>
      </w:divsChild>
    </w:div>
    <w:div w:id="1808401388">
      <w:bodyDiv w:val="1"/>
      <w:marLeft w:val="0"/>
      <w:marRight w:val="0"/>
      <w:marTop w:val="0"/>
      <w:marBottom w:val="0"/>
      <w:divBdr>
        <w:top w:val="none" w:sz="0" w:space="0" w:color="auto"/>
        <w:left w:val="none" w:sz="0" w:space="0" w:color="auto"/>
        <w:bottom w:val="none" w:sz="0" w:space="0" w:color="auto"/>
        <w:right w:val="none" w:sz="0" w:space="0" w:color="auto"/>
      </w:divBdr>
      <w:divsChild>
        <w:div w:id="1607150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yperlink" Target="http://www.ehnheart.org/images/CVD-statistics-report-August-2017.pdf" TargetMode="External"/><Relationship Id="rId39" Type="http://schemas.openxmlformats.org/officeDocument/2006/relationships/hyperlink" Target="https://pubmed.ncbi.nlm.nih.gov/20298969/" TargetMode="External"/><Relationship Id="rId21" Type="http://schemas.openxmlformats.org/officeDocument/2006/relationships/hyperlink" Target="http://www.ehnheart.org/images/CVD-statistics-report-August-2017.pdf" TargetMode="External"/><Relationship Id="rId34" Type="http://schemas.openxmlformats.org/officeDocument/2006/relationships/hyperlink" Target="https://pubmed.ncbi.nlm.nih.gov/22175760/" TargetMode="External"/><Relationship Id="rId42" Type="http://schemas.openxmlformats.org/officeDocument/2006/relationships/hyperlink" Target="https://assets.publishing.service.gov.uk/media/60fa9169d3bf7f0448719daf/Wellbeing_guidance_for_appraisal_-_supplementary_Green_Book_guidance.pdf" TargetMode="External"/><Relationship Id="rId47" Type="http://schemas.openxmlformats.org/officeDocument/2006/relationships/hyperlink" Target="https://stats.oecd.org/Index.aspx?DataSetCode=EAG_EARNINGS" TargetMode="External"/><Relationship Id="rId50" Type="http://schemas.openxmlformats.org/officeDocument/2006/relationships/hyperlink" Target="https://www.gov.uk/national-minimum-wage-rates"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www.aomrc.org.uk/wp-content/uploads/2016/05/Exercise_the_Miracle_Cure_0215.pdf" TargetMode="External"/><Relationship Id="rId33" Type="http://schemas.openxmlformats.org/officeDocument/2006/relationships/hyperlink" Target="https://cmis.essex.gov.uk/essexcmis5/Document.ashx?" TargetMode="External"/><Relationship Id="rId38" Type="http://schemas.openxmlformats.org/officeDocument/2006/relationships/hyperlink" Target="https://www.aomrc.org.uk/wp-content/uploads/2016/05/Exercise_the_Miracle_Cure_0215.pdf" TargetMode="External"/><Relationship Id="rId46" Type="http://schemas.openxmlformats.org/officeDocument/2006/relationships/hyperlink" Target="https://sportengland-production-files.s3.eu-west-2.amazonaws.com/s3fs-public/2020-09/Social%20return%20on%20investment.pdf?VersionId=5BgvLn09jwpTesBJ4BXhVfRhV4TYgm9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hyperlink" Target="http://www.ehnheart.org/images/CVD-statistics-report-August-2017.pdf" TargetMode="External"/><Relationship Id="rId41" Type="http://schemas.openxmlformats.org/officeDocument/2006/relationships/hyperlink" Target="https://cityharvest.org.uk/people-value-report/"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ehnheart.org/images/CVD-statistics-report-August-2017.pdf" TargetMode="External"/><Relationship Id="rId32" Type="http://schemas.openxmlformats.org/officeDocument/2006/relationships/hyperlink" Target="https://link.springer.com/content/pdf/10.1007%2Fs00125-002-0858-x.pdf" TargetMode="External"/><Relationship Id="rId37" Type="http://schemas.openxmlformats.org/officeDocument/2006/relationships/hyperlink" Target="https://www.alzheimer-europe.org/Policy-in-Practice2/Country-comparisons/2013-The-prevalence-of-dementia-in-Europe" TargetMode="External"/><Relationship Id="rId40" Type="http://schemas.openxmlformats.org/officeDocument/2006/relationships/hyperlink" Target="https://uhra.herts.ac.uk/bitstream/handle/2299/26398/UH_Technical_Report.pdf?sequence=2&amp;isAllowed=y" TargetMode="External"/><Relationship Id="rId45" Type="http://schemas.openxmlformats.org/officeDocument/2006/relationships/hyperlink" Target="https://www.thinknpc.org/resource-hub/misspent-youth/"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art.torvergata.it/retrieve/handle/2108/94767/333517/Mennini%20anti-hypertensive_2015.pdf" TargetMode="External"/><Relationship Id="rId28" Type="http://schemas.openxmlformats.org/officeDocument/2006/relationships/hyperlink" Target="https://www.aomrc.org.uk/wp-content/uploads/2016/05/Exercise_the_Miracle_Cure_0215.pdf" TargetMode="External"/><Relationship Id="rId36" Type="http://schemas.openxmlformats.org/officeDocument/2006/relationships/hyperlink" Target="https://pubmed.ncbi.nlm.nih.gov/22175760/" TargetMode="External"/><Relationship Id="rId49" Type="http://schemas.openxmlformats.org/officeDocument/2006/relationships/hyperlink" Target="https://www.cliclavoro.gov.it/Barometro-Del-Lavoro/Documents/NEET_2012_EUROFOUND.pdf"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www.aomrc.org.uk/wp-content/uploads/2016/05/Exercise_the_Miracle_Cure_0215.pdf" TargetMode="External"/><Relationship Id="rId44" Type="http://schemas.openxmlformats.org/officeDocument/2006/relationships/hyperlink" Target="https://explore-education-statistics.service.gov.uk/find-statistics/pupil-absence-in-schools-in-england" TargetMode="External"/><Relationship Id="rId52" Type="http://schemas.openxmlformats.org/officeDocument/2006/relationships/hyperlink" Target="https://activelives.sportengland.org/Result?queryId=11937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aomrc.org.uk/wp-content/uploads/2016/05/Exercise_the_Miracle_Cure_0215.pdf" TargetMode="External"/><Relationship Id="rId27" Type="http://schemas.openxmlformats.org/officeDocument/2006/relationships/hyperlink" Target="http://www.ehnheart.org/images/CVD-statistics-report-August-2017.pdf" TargetMode="External"/><Relationship Id="rId30" Type="http://schemas.openxmlformats.org/officeDocument/2006/relationships/hyperlink" Target="http://www.ehnheart.org/images/CVD-statistics-report-August-2017.pdf" TargetMode="External"/><Relationship Id="rId35" Type="http://schemas.openxmlformats.org/officeDocument/2006/relationships/hyperlink" Target="https://cmis.essex.gov.uk/essexcmis5/Document.ashx?" TargetMode="External"/><Relationship Id="rId43" Type="http://schemas.openxmlformats.org/officeDocument/2006/relationships/hyperlink" Target="https://www.gov.uk/national-minimum-wage-rates" TargetMode="External"/><Relationship Id="rId48" Type="http://schemas.openxmlformats.org/officeDocument/2006/relationships/hyperlink" Target="https://www.gov.uk/national-minimum-wage-rates" TargetMode="External"/><Relationship Id="rId8" Type="http://schemas.openxmlformats.org/officeDocument/2006/relationships/webSettings" Target="webSettings.xml"/><Relationship Id="rId51" Type="http://schemas.openxmlformats.org/officeDocument/2006/relationships/hyperlink" Target="https://op.europa.eu/en/publication-detail/-/publication/865ef44c-5ca1-11e8-ab41-01aa75ed71a1/language-en"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investopedia.com/terms/c/consumer-spending.asp" TargetMode="External"/><Relationship Id="rId3" Type="http://schemas.openxmlformats.org/officeDocument/2006/relationships/hyperlink" Target="https://www.sportengland.org/guidance-and-support/measuring-impact?section=social_and_economic_value_of_community_sport" TargetMode="External"/><Relationship Id="rId7" Type="http://schemas.openxmlformats.org/officeDocument/2006/relationships/hyperlink" Target="https://sportengland-production-files.s3.eu-west-2.amazonaws.com/s3fs-public/2020-09/Social%20return%20on%20investment.pdf?VersionId=5BgvLn09jwpTesBJ4BXhVfRhV4TYgm9E" TargetMode="External"/><Relationship Id="rId2" Type="http://schemas.openxmlformats.org/officeDocument/2006/relationships/hyperlink" Target="https://cityharvest.org.uk/people-value-report" TargetMode="External"/><Relationship Id="rId1" Type="http://schemas.openxmlformats.org/officeDocument/2006/relationships/hyperlink" Target="https://uhra.herts.ac.uk/bitstream/handle/2299/26398/UH_Technical_Report.pdf?sequence=2&amp;isAllowed=y" TargetMode="External"/><Relationship Id="rId6" Type="http://schemas.openxmlformats.org/officeDocument/2006/relationships/hyperlink" Target="https://www.aomrc.org.uk/wp-content/uploads/2016/05/Exercise_the_Miracle_Cure_0215.pdf" TargetMode="External"/><Relationship Id="rId5" Type="http://schemas.openxmlformats.org/officeDocument/2006/relationships/hyperlink" Target="https://sk.sagepub.com/reference/substance/n306.xml" TargetMode="External"/><Relationship Id="rId4" Type="http://schemas.openxmlformats.org/officeDocument/2006/relationships/hyperlink" Target="https://socialvalueint.org/social-value/what-is-social-valu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7EA571509040748A392C66FA8C5A2F"/>
        <w:category>
          <w:name w:val="General"/>
          <w:gallery w:val="placeholder"/>
        </w:category>
        <w:types>
          <w:type w:val="bbPlcHdr"/>
        </w:types>
        <w:behaviors>
          <w:behavior w:val="content"/>
        </w:behaviors>
        <w:guid w:val="{C61DD896-B0FD-4074-88B3-D06849F0D3C0}"/>
      </w:docPartPr>
      <w:docPartBody>
        <w:p w:rsidR="006C3298" w:rsidRDefault="006C3298">
          <w:pPr>
            <w:pStyle w:val="F27EA571509040748A392C66FA8C5A2F"/>
          </w:pPr>
          <w:r w:rsidRPr="002648EA">
            <w:t>Attitudes towards data collection, management and development, and the impact of management on economic value of sea angling in the UK.]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Lexend SemiBold">
    <w:panose1 w:val="00000000000000000000"/>
    <w:charset w:val="00"/>
    <w:family w:val="auto"/>
    <w:pitch w:val="variable"/>
    <w:sig w:usb0="A00000FF" w:usb1="4000205B" w:usb2="00000000" w:usb3="00000000" w:csb0="00000193" w:csb1="00000000"/>
  </w:font>
  <w:font w:name="Lexend">
    <w:panose1 w:val="00000000000000000000"/>
    <w:charset w:val="00"/>
    <w:family w:val="auto"/>
    <w:pitch w:val="variable"/>
    <w:sig w:usb0="A00000FF" w:usb1="4000205B" w:usb2="00000000" w:usb3="00000000" w:csb0="00000193" w:csb1="00000000"/>
  </w:font>
  <w:font w:name="Herculanum">
    <w:charset w:val="4D"/>
    <w:family w:val="auto"/>
    <w:pitch w:val="variable"/>
    <w:sig w:usb0="80000067" w:usb1="00000000" w:usb2="00000000" w:usb3="00000000" w:csb0="00000193" w:csb1="00000000"/>
  </w:font>
  <w:font w:name="Lexend Medium">
    <w:panose1 w:val="00000000000000000000"/>
    <w:charset w:val="00"/>
    <w:family w:val="auto"/>
    <w:pitch w:val="variable"/>
    <w:sig w:usb0="A00000FF" w:usb1="4000205B" w:usb2="00000000" w:usb3="00000000" w:csb0="00000193" w:csb1="00000000"/>
  </w:font>
  <w:font w:name="HELVETICA OBLIQUE">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298"/>
    <w:rsid w:val="001903C1"/>
    <w:rsid w:val="004C6A46"/>
    <w:rsid w:val="006C3298"/>
    <w:rsid w:val="007B1B1D"/>
    <w:rsid w:val="00970F51"/>
    <w:rsid w:val="00F30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7EA571509040748A392C66FA8C5A2F">
    <w:name w:val="F27EA571509040748A392C66FA8C5A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1">
      <a:dk1>
        <a:sysClr val="windowText" lastClr="000000"/>
      </a:dk1>
      <a:lt1>
        <a:sysClr val="window" lastClr="FFFFFF"/>
      </a:lt1>
      <a:dk2>
        <a:srgbClr val="44546A"/>
      </a:dk2>
      <a:lt2>
        <a:srgbClr val="E7E6E6"/>
      </a:lt2>
      <a:accent1>
        <a:srgbClr val="01615C"/>
      </a:accent1>
      <a:accent2>
        <a:srgbClr val="ED7D31"/>
      </a:accent2>
      <a:accent3>
        <a:srgbClr val="A5A5A5"/>
      </a:accent3>
      <a:accent4>
        <a:srgbClr val="FFC000"/>
      </a:accent4>
      <a:accent5>
        <a:srgbClr val="5B9BD5"/>
      </a:accent5>
      <a:accent6>
        <a:srgbClr val="70D44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F5D5C4E99ED4588D1D523F04DFD6D" ma:contentTypeVersion="3" ma:contentTypeDescription="Create a new document." ma:contentTypeScope="" ma:versionID="85187b29208cf04874a62294423a1451">
  <xsd:schema xmlns:xsd="http://www.w3.org/2001/XMLSchema" xmlns:xs="http://www.w3.org/2001/XMLSchema" xmlns:p="http://schemas.microsoft.com/office/2006/metadata/properties" xmlns:ns2="8e383d92-008d-4d16-a11a-b3c4407855ed" targetNamespace="http://schemas.microsoft.com/office/2006/metadata/properties" ma:root="true" ma:fieldsID="8310ae416b0a50c3a07db18de7d4d6f1" ns2:_="">
    <xsd:import namespace="8e383d92-008d-4d16-a11a-b3c4407855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83d92-008d-4d16-a11a-b3c440785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BAD4D-D9DD-44F6-873D-501CFF710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83d92-008d-4d16-a11a-b3c440785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FE7DA-3705-4F0F-B0CF-9B5440B2511C}">
  <ds:schemaRefs>
    <ds:schemaRef ds:uri="http://schemas.microsoft.com/sharepoint/v3/contenttype/forms"/>
  </ds:schemaRefs>
</ds:datastoreItem>
</file>

<file path=customXml/itemProps3.xml><?xml version="1.0" encoding="utf-8"?>
<ds:datastoreItem xmlns:ds="http://schemas.openxmlformats.org/officeDocument/2006/customXml" ds:itemID="{12E5C132-C70C-4101-B518-22509977BB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FDB6CE-131F-40E4-8EF5-D7123DB78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5251</Words>
  <Characters>29934</Characters>
  <Application>Microsoft Office Word</Application>
  <DocSecurity>4</DocSecurity>
  <Lines>249</Lines>
  <Paragraphs>70</Paragraphs>
  <ScaleCrop>false</ScaleCrop>
  <HeadingPairs>
    <vt:vector size="2" baseType="variant">
      <vt:variant>
        <vt:lpstr>Title</vt:lpstr>
      </vt:variant>
      <vt:variant>
        <vt:i4>1</vt:i4>
      </vt:variant>
    </vt:vector>
  </HeadingPairs>
  <TitlesOfParts>
    <vt:vector size="1" baseType="lpstr">
      <vt:lpstr>The title of the report goes here, most likely across multiple lines</vt:lpstr>
    </vt:vector>
  </TitlesOfParts>
  <Company/>
  <LinksUpToDate>false</LinksUpToDate>
  <CharactersWithSpaces>35115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the report goes here, most likely across multiple lines</dc:title>
  <dc:subject/>
  <dc:creator>Luke Bullock</dc:creator>
  <cp:keywords/>
  <dc:description/>
  <cp:lastModifiedBy>Hannah Taylor - Senior Researcher</cp:lastModifiedBy>
  <cp:revision>2</cp:revision>
  <dcterms:created xsi:type="dcterms:W3CDTF">2024-07-31T11:32:00Z</dcterms:created>
  <dcterms:modified xsi:type="dcterms:W3CDTF">2024-07-31T11:32:00Z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0x010100D63F5D5C4E99ED4588D1D523F04DFD6D</vt:lpwstr>
  </property>
  <property fmtid="{D5CDD505-2E9C-101B-9397-08002B2CF9AE}" pid="3" name="MSIP_Label_39d8be9e-c8d9-4b9c-bd40-2c27cc7ea2e6_Enabled">
    <vt:lpwstr>true</vt:lpwstr>
  </property>
  <property fmtid="{D5CDD505-2E9C-101B-9397-08002B2CF9AE}" pid="4" name="MSIP_Label_39d8be9e-c8d9-4b9c-bd40-2c27cc7ea2e6_SetDate">
    <vt:lpwstr>2024-07-31T11:32:59Z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4ffee111-88b6-41d0-a2cb-e2b15d11249c</vt:lpwstr>
  </property>
  <property fmtid="{D5CDD505-2E9C-101B-9397-08002B2CF9AE}" pid="9" name="MSIP_Label_39d8be9e-c8d9-4b9c-bd40-2c27cc7ea2e6_ContentBits">
    <vt:lpwstr>0</vt:lpwstr>
  </property>
</Properties>
</file>