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907B" w14:textId="77777777" w:rsidR="00F070D8" w:rsidRDefault="007D2A5A" w:rsidP="00F070D8">
      <w:pPr>
        <w:pStyle w:val="Coverimageplaceholder"/>
      </w:pPr>
      <w:sdt>
        <w:sdtPr>
          <w:id w:val="-1480220296"/>
          <w:picture/>
        </w:sdtPr>
        <w:sdtEndPr/>
        <w:sdtContent/>
      </w:sdt>
    </w:p>
    <w:p w14:paraId="7118AEC6" w14:textId="77777777" w:rsidR="004C5D58" w:rsidRDefault="004C5D58" w:rsidP="00F070D8">
      <w:pPr>
        <w:pStyle w:val="Heading1"/>
        <w:rPr>
          <w:sz w:val="72"/>
          <w:szCs w:val="28"/>
        </w:rPr>
      </w:pPr>
    </w:p>
    <w:p w14:paraId="5AF5D7F1" w14:textId="77777777" w:rsidR="004C5D58" w:rsidRDefault="004C5D58" w:rsidP="00F070D8">
      <w:pPr>
        <w:pStyle w:val="Heading1"/>
        <w:rPr>
          <w:sz w:val="72"/>
          <w:szCs w:val="28"/>
        </w:rPr>
      </w:pPr>
    </w:p>
    <w:p w14:paraId="246A15B0" w14:textId="77777777" w:rsidR="004C5D58" w:rsidRDefault="004C5D58" w:rsidP="00F070D8">
      <w:pPr>
        <w:pStyle w:val="Heading1"/>
        <w:rPr>
          <w:sz w:val="72"/>
          <w:szCs w:val="28"/>
        </w:rPr>
      </w:pPr>
    </w:p>
    <w:p w14:paraId="14CED250" w14:textId="77777777" w:rsidR="004C5D58" w:rsidRDefault="004C5D58" w:rsidP="00F070D8">
      <w:pPr>
        <w:pStyle w:val="Heading1"/>
        <w:rPr>
          <w:sz w:val="72"/>
          <w:szCs w:val="28"/>
        </w:rPr>
      </w:pPr>
    </w:p>
    <w:p w14:paraId="5D670494" w14:textId="77777777" w:rsidR="004C5D58" w:rsidRDefault="004C5D58" w:rsidP="00F070D8">
      <w:pPr>
        <w:pStyle w:val="Heading1"/>
        <w:rPr>
          <w:sz w:val="72"/>
          <w:szCs w:val="28"/>
        </w:rPr>
      </w:pPr>
    </w:p>
    <w:p w14:paraId="54278079" w14:textId="77777777" w:rsidR="004C5D58" w:rsidRDefault="004C5D58" w:rsidP="00F070D8">
      <w:pPr>
        <w:pStyle w:val="Heading1"/>
        <w:rPr>
          <w:sz w:val="72"/>
          <w:szCs w:val="28"/>
        </w:rPr>
      </w:pPr>
    </w:p>
    <w:p w14:paraId="0A789294" w14:textId="77777777" w:rsidR="004C5D58" w:rsidRDefault="004C5D58" w:rsidP="00F070D8">
      <w:pPr>
        <w:pStyle w:val="Heading1"/>
        <w:rPr>
          <w:sz w:val="72"/>
          <w:szCs w:val="28"/>
        </w:rPr>
      </w:pPr>
    </w:p>
    <w:p w14:paraId="4E9BEB77" w14:textId="77777777" w:rsidR="004C5D58" w:rsidRDefault="004C5D58" w:rsidP="00F070D8">
      <w:pPr>
        <w:pStyle w:val="Heading1"/>
        <w:rPr>
          <w:sz w:val="72"/>
          <w:szCs w:val="28"/>
        </w:rPr>
      </w:pPr>
    </w:p>
    <w:p w14:paraId="4EA51ACF" w14:textId="77777777" w:rsidR="004C5D58" w:rsidRDefault="004C5D58" w:rsidP="00F070D8">
      <w:pPr>
        <w:pStyle w:val="Heading1"/>
        <w:rPr>
          <w:sz w:val="72"/>
          <w:szCs w:val="28"/>
        </w:rPr>
      </w:pPr>
    </w:p>
    <w:p w14:paraId="73E7D46B" w14:textId="5ABC2394" w:rsidR="00F070D8" w:rsidRPr="00B84E62" w:rsidRDefault="00EB55B9" w:rsidP="00F070D8">
      <w:pPr>
        <w:pStyle w:val="Heading1"/>
        <w:rPr>
          <w:sz w:val="72"/>
          <w:szCs w:val="28"/>
        </w:rPr>
      </w:pPr>
      <w:r w:rsidRPr="00B84E62">
        <w:rPr>
          <w:sz w:val="72"/>
          <w:szCs w:val="28"/>
        </w:rPr>
        <w:t>Essex Climate Action Research</w:t>
      </w:r>
    </w:p>
    <w:p w14:paraId="18A3A1D7" w14:textId="6E9222A5" w:rsidR="00D53536" w:rsidRPr="00D53536" w:rsidRDefault="00FC1800" w:rsidP="007D2A5A">
      <w:pPr>
        <w:pStyle w:val="Subtitle"/>
        <w:spacing w:before="1680"/>
      </w:pPr>
      <w:r w:rsidRPr="00B84E62">
        <w:rPr>
          <w:noProof/>
          <w:sz w:val="56"/>
          <w:szCs w:val="18"/>
        </w:rPr>
        <mc:AlternateContent>
          <mc:Choice Requires="wps">
            <w:drawing>
              <wp:anchor distT="0" distB="0" distL="114300" distR="114300" simplePos="0" relativeHeight="251659264" behindDoc="0" locked="0" layoutInCell="1" allowOverlap="1" wp14:anchorId="2282CEA2" wp14:editId="0F3DF3FF">
                <wp:simplePos x="0" y="0"/>
                <wp:positionH relativeFrom="page">
                  <wp:posOffset>720090</wp:posOffset>
                </wp:positionH>
                <wp:positionV relativeFrom="page">
                  <wp:posOffset>7827010</wp:posOffset>
                </wp:positionV>
                <wp:extent cx="18468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68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22EACB" id="Straight Connector 3"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616.3pt" to="202.1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" strokecolor="#004899 [3204]" strokeweight="2pt">
                <v:stroke joinstyle="miter"/>
                <w10:wrap anchorx="page" anchory="page"/>
              </v:line>
            </w:pict>
          </mc:Fallback>
        </mc:AlternateContent>
      </w:r>
      <w:r w:rsidR="00EB55B9" w:rsidRPr="00B84E62">
        <w:rPr>
          <w:sz w:val="56"/>
          <w:szCs w:val="18"/>
        </w:rPr>
        <w:t>Summary report (July 2021)</w:t>
      </w:r>
    </w:p>
    <w:p w14:paraId="58848221" w14:textId="77777777" w:rsidR="00FC1800" w:rsidRDefault="00F070D8" w:rsidP="00F070D8">
      <w:pPr>
        <w:pStyle w:val="Logoplaceholder"/>
      </w:pPr>
      <w:r>
        <w:rPr>
          <w:noProof/>
        </w:rPr>
        <w:drawing>
          <wp:inline distT="0" distB="0" distL="0" distR="0" wp14:anchorId="56C63AA1" wp14:editId="0DC406C9">
            <wp:extent cx="1259134" cy="608400"/>
            <wp:effectExtent l="0" t="0" r="0" b="1270"/>
            <wp:docPr id="10" name="Picture 10" descr="E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Essex County Council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9134" cy="608400"/>
                    </a:xfrm>
                    <a:prstGeom prst="rect">
                      <a:avLst/>
                    </a:prstGeom>
                  </pic:spPr>
                </pic:pic>
              </a:graphicData>
            </a:graphic>
          </wp:inline>
        </w:drawing>
      </w:r>
    </w:p>
    <w:p w14:paraId="6E8121B3" w14:textId="77777777" w:rsidR="00F070D8" w:rsidRPr="00CA236A" w:rsidRDefault="00F070D8" w:rsidP="00F070D8">
      <w:pPr>
        <w:pStyle w:val="Logoplaceholder"/>
        <w:sectPr w:rsidR="00F070D8" w:rsidRPr="00CA236A" w:rsidSect="004712AE">
          <w:headerReference w:type="even" r:id="rId12"/>
          <w:headerReference w:type="default" r:id="rId13"/>
          <w:footerReference w:type="even" r:id="rId14"/>
          <w:footerReference w:type="default" r:id="rId15"/>
          <w:headerReference w:type="first" r:id="rId16"/>
          <w:footerReference w:type="first" r:id="rId17"/>
          <w:pgSz w:w="11906" w:h="16838"/>
          <w:pgMar w:top="0" w:right="1134" w:bottom="0" w:left="0" w:header="709" w:footer="709" w:gutter="0"/>
          <w:cols w:space="708"/>
          <w:docGrid w:linePitch="360"/>
        </w:sectPr>
      </w:pPr>
    </w:p>
    <w:p w14:paraId="6AF6B793" w14:textId="77777777" w:rsidR="002F68C5" w:rsidRPr="00CA236A" w:rsidRDefault="007A4106" w:rsidP="00F070D8">
      <w:pPr>
        <w:pStyle w:val="ContentsHeading"/>
      </w:pPr>
      <w:r w:rsidRPr="00CA236A">
        <w:lastRenderedPageBreak/>
        <w:t>Contents</w:t>
      </w:r>
    </w:p>
    <w:p w14:paraId="2E841113" w14:textId="56D9068C" w:rsidR="00766B77" w:rsidRDefault="00442186">
      <w:pPr>
        <w:pStyle w:val="TOC1"/>
        <w:rPr>
          <w:rFonts w:eastAsiaTheme="minorEastAsia"/>
          <w:b w:val="0"/>
          <w:noProof/>
          <w:color w:val="auto"/>
          <w:sz w:val="22"/>
          <w:lang w:eastAsia="en-GB"/>
        </w:rPr>
      </w:pPr>
      <w:r w:rsidRPr="00CA236A">
        <w:fldChar w:fldCharType="begin"/>
      </w:r>
      <w:r w:rsidRPr="00CA236A">
        <w:instrText xml:space="preserve"> TOC \h \z \u \t "Heading 3,1,Heading 4,2" </w:instrText>
      </w:r>
      <w:r w:rsidRPr="00CA236A">
        <w:fldChar w:fldCharType="separate"/>
      </w:r>
      <w:hyperlink w:anchor="_Toc77688206" w:history="1">
        <w:r w:rsidR="00766B77" w:rsidRPr="00941366">
          <w:rPr>
            <w:rStyle w:val="Hyperlink"/>
            <w:noProof/>
          </w:rPr>
          <w:t>Background and objectives</w:t>
        </w:r>
        <w:r w:rsidR="00766B77">
          <w:rPr>
            <w:noProof/>
            <w:webHidden/>
          </w:rPr>
          <w:tab/>
        </w:r>
        <w:r w:rsidR="00766B77">
          <w:rPr>
            <w:noProof/>
            <w:webHidden/>
          </w:rPr>
          <w:fldChar w:fldCharType="begin"/>
        </w:r>
        <w:r w:rsidR="00766B77">
          <w:rPr>
            <w:noProof/>
            <w:webHidden/>
          </w:rPr>
          <w:instrText xml:space="preserve"> PAGEREF _Toc77688206 \h </w:instrText>
        </w:r>
        <w:r w:rsidR="00766B77">
          <w:rPr>
            <w:noProof/>
            <w:webHidden/>
          </w:rPr>
        </w:r>
        <w:r w:rsidR="00766B77">
          <w:rPr>
            <w:noProof/>
            <w:webHidden/>
          </w:rPr>
          <w:fldChar w:fldCharType="separate"/>
        </w:r>
        <w:r w:rsidR="007D2A5A">
          <w:rPr>
            <w:noProof/>
            <w:webHidden/>
          </w:rPr>
          <w:t>3</w:t>
        </w:r>
        <w:r w:rsidR="00766B77">
          <w:rPr>
            <w:noProof/>
            <w:webHidden/>
          </w:rPr>
          <w:fldChar w:fldCharType="end"/>
        </w:r>
      </w:hyperlink>
    </w:p>
    <w:p w14:paraId="1B8FD82D" w14:textId="61C2C76B" w:rsidR="00766B77" w:rsidRDefault="00766B77">
      <w:pPr>
        <w:pStyle w:val="TOC1"/>
        <w:rPr>
          <w:rFonts w:eastAsiaTheme="minorEastAsia"/>
          <w:b w:val="0"/>
          <w:noProof/>
          <w:color w:val="auto"/>
          <w:sz w:val="22"/>
          <w:lang w:eastAsia="en-GB"/>
        </w:rPr>
      </w:pPr>
      <w:hyperlink w:anchor="_Toc77688207" w:history="1">
        <w:r w:rsidRPr="00941366">
          <w:rPr>
            <w:rStyle w:val="Hyperlink"/>
            <w:noProof/>
          </w:rPr>
          <w:t>Methodology</w:t>
        </w:r>
        <w:r>
          <w:rPr>
            <w:noProof/>
            <w:webHidden/>
          </w:rPr>
          <w:tab/>
        </w:r>
        <w:r>
          <w:rPr>
            <w:noProof/>
            <w:webHidden/>
          </w:rPr>
          <w:fldChar w:fldCharType="begin"/>
        </w:r>
        <w:r>
          <w:rPr>
            <w:noProof/>
            <w:webHidden/>
          </w:rPr>
          <w:instrText xml:space="preserve"> PAGEREF _Toc77688207 \h </w:instrText>
        </w:r>
        <w:r>
          <w:rPr>
            <w:noProof/>
            <w:webHidden/>
          </w:rPr>
        </w:r>
        <w:r>
          <w:rPr>
            <w:noProof/>
            <w:webHidden/>
          </w:rPr>
          <w:fldChar w:fldCharType="separate"/>
        </w:r>
        <w:r w:rsidR="007D2A5A">
          <w:rPr>
            <w:noProof/>
            <w:webHidden/>
          </w:rPr>
          <w:t>3</w:t>
        </w:r>
        <w:r>
          <w:rPr>
            <w:noProof/>
            <w:webHidden/>
          </w:rPr>
          <w:fldChar w:fldCharType="end"/>
        </w:r>
      </w:hyperlink>
    </w:p>
    <w:p w14:paraId="7864FAC1" w14:textId="49CB8598" w:rsidR="00766B77" w:rsidRDefault="00766B77">
      <w:pPr>
        <w:pStyle w:val="TOC1"/>
        <w:rPr>
          <w:rFonts w:eastAsiaTheme="minorEastAsia"/>
          <w:b w:val="0"/>
          <w:noProof/>
          <w:color w:val="auto"/>
          <w:sz w:val="22"/>
          <w:lang w:eastAsia="en-GB"/>
        </w:rPr>
      </w:pPr>
      <w:hyperlink w:anchor="_Toc77688208" w:history="1">
        <w:r w:rsidRPr="00941366">
          <w:rPr>
            <w:rStyle w:val="Hyperlink"/>
            <w:noProof/>
          </w:rPr>
          <w:t>Key findings</w:t>
        </w:r>
        <w:r>
          <w:rPr>
            <w:noProof/>
            <w:webHidden/>
          </w:rPr>
          <w:tab/>
        </w:r>
        <w:r>
          <w:rPr>
            <w:noProof/>
            <w:webHidden/>
          </w:rPr>
          <w:fldChar w:fldCharType="begin"/>
        </w:r>
        <w:r>
          <w:rPr>
            <w:noProof/>
            <w:webHidden/>
          </w:rPr>
          <w:instrText xml:space="preserve"> PAGEREF _Toc77688208 \h </w:instrText>
        </w:r>
        <w:r>
          <w:rPr>
            <w:noProof/>
            <w:webHidden/>
          </w:rPr>
        </w:r>
        <w:r>
          <w:rPr>
            <w:noProof/>
            <w:webHidden/>
          </w:rPr>
          <w:fldChar w:fldCharType="separate"/>
        </w:r>
        <w:r w:rsidR="007D2A5A">
          <w:rPr>
            <w:noProof/>
            <w:webHidden/>
          </w:rPr>
          <w:t>4</w:t>
        </w:r>
        <w:r>
          <w:rPr>
            <w:noProof/>
            <w:webHidden/>
          </w:rPr>
          <w:fldChar w:fldCharType="end"/>
        </w:r>
      </w:hyperlink>
    </w:p>
    <w:p w14:paraId="54F4B818" w14:textId="2E83F3E1" w:rsidR="00766B77" w:rsidRDefault="00766B77">
      <w:pPr>
        <w:pStyle w:val="TOC1"/>
        <w:rPr>
          <w:rFonts w:eastAsiaTheme="minorEastAsia"/>
          <w:b w:val="0"/>
          <w:noProof/>
          <w:color w:val="auto"/>
          <w:sz w:val="22"/>
          <w:lang w:eastAsia="en-GB"/>
        </w:rPr>
      </w:pPr>
      <w:hyperlink w:anchor="_Toc77688209" w:history="1">
        <w:r w:rsidRPr="00941366">
          <w:rPr>
            <w:rStyle w:val="Hyperlink"/>
            <w:noProof/>
          </w:rPr>
          <w:t>Resident segments</w:t>
        </w:r>
        <w:r>
          <w:rPr>
            <w:noProof/>
            <w:webHidden/>
          </w:rPr>
          <w:tab/>
        </w:r>
        <w:r>
          <w:rPr>
            <w:noProof/>
            <w:webHidden/>
          </w:rPr>
          <w:fldChar w:fldCharType="begin"/>
        </w:r>
        <w:r>
          <w:rPr>
            <w:noProof/>
            <w:webHidden/>
          </w:rPr>
          <w:instrText xml:space="preserve"> PAGEREF _Toc77688209 \h </w:instrText>
        </w:r>
        <w:r>
          <w:rPr>
            <w:noProof/>
            <w:webHidden/>
          </w:rPr>
        </w:r>
        <w:r>
          <w:rPr>
            <w:noProof/>
            <w:webHidden/>
          </w:rPr>
          <w:fldChar w:fldCharType="separate"/>
        </w:r>
        <w:r w:rsidR="007D2A5A">
          <w:rPr>
            <w:noProof/>
            <w:webHidden/>
          </w:rPr>
          <w:t>4</w:t>
        </w:r>
        <w:r>
          <w:rPr>
            <w:noProof/>
            <w:webHidden/>
          </w:rPr>
          <w:fldChar w:fldCharType="end"/>
        </w:r>
      </w:hyperlink>
    </w:p>
    <w:p w14:paraId="4B4765D5" w14:textId="216C3940" w:rsidR="00766B77" w:rsidRDefault="00766B77">
      <w:pPr>
        <w:pStyle w:val="TOC1"/>
        <w:rPr>
          <w:rFonts w:eastAsiaTheme="minorEastAsia"/>
          <w:b w:val="0"/>
          <w:noProof/>
          <w:color w:val="auto"/>
          <w:sz w:val="22"/>
          <w:lang w:eastAsia="en-GB"/>
        </w:rPr>
      </w:pPr>
      <w:hyperlink w:anchor="_Toc77688210" w:history="1">
        <w:r w:rsidRPr="00941366">
          <w:rPr>
            <w:rStyle w:val="Hyperlink"/>
            <w:noProof/>
          </w:rPr>
          <w:t>Exploring climate action behaviours</w:t>
        </w:r>
        <w:r>
          <w:rPr>
            <w:noProof/>
            <w:webHidden/>
          </w:rPr>
          <w:tab/>
        </w:r>
        <w:r>
          <w:rPr>
            <w:noProof/>
            <w:webHidden/>
          </w:rPr>
          <w:fldChar w:fldCharType="begin"/>
        </w:r>
        <w:r>
          <w:rPr>
            <w:noProof/>
            <w:webHidden/>
          </w:rPr>
          <w:instrText xml:space="preserve"> PAGEREF _Toc77688210 \h </w:instrText>
        </w:r>
        <w:r>
          <w:rPr>
            <w:noProof/>
            <w:webHidden/>
          </w:rPr>
        </w:r>
        <w:r>
          <w:rPr>
            <w:noProof/>
            <w:webHidden/>
          </w:rPr>
          <w:fldChar w:fldCharType="separate"/>
        </w:r>
        <w:r w:rsidR="007D2A5A">
          <w:rPr>
            <w:noProof/>
            <w:webHidden/>
          </w:rPr>
          <w:t>7</w:t>
        </w:r>
        <w:r>
          <w:rPr>
            <w:noProof/>
            <w:webHidden/>
          </w:rPr>
          <w:fldChar w:fldCharType="end"/>
        </w:r>
      </w:hyperlink>
    </w:p>
    <w:p w14:paraId="0D1A728D" w14:textId="6F1FB3A6" w:rsidR="00766B77" w:rsidRDefault="00766B77">
      <w:pPr>
        <w:pStyle w:val="TOC1"/>
        <w:rPr>
          <w:rFonts w:eastAsiaTheme="minorEastAsia"/>
          <w:b w:val="0"/>
          <w:noProof/>
          <w:color w:val="auto"/>
          <w:sz w:val="22"/>
          <w:lang w:eastAsia="en-GB"/>
        </w:rPr>
      </w:pPr>
      <w:hyperlink w:anchor="_Toc77688211" w:history="1">
        <w:r w:rsidRPr="00941366">
          <w:rPr>
            <w:rStyle w:val="Hyperlink"/>
            <w:noProof/>
          </w:rPr>
          <w:t>Barriers to behaviour change</w:t>
        </w:r>
        <w:r>
          <w:rPr>
            <w:noProof/>
            <w:webHidden/>
          </w:rPr>
          <w:tab/>
        </w:r>
        <w:r>
          <w:rPr>
            <w:noProof/>
            <w:webHidden/>
          </w:rPr>
          <w:fldChar w:fldCharType="begin"/>
        </w:r>
        <w:r>
          <w:rPr>
            <w:noProof/>
            <w:webHidden/>
          </w:rPr>
          <w:instrText xml:space="preserve"> PAGEREF _Toc77688211 \h </w:instrText>
        </w:r>
        <w:r>
          <w:rPr>
            <w:noProof/>
            <w:webHidden/>
          </w:rPr>
        </w:r>
        <w:r>
          <w:rPr>
            <w:noProof/>
            <w:webHidden/>
          </w:rPr>
          <w:fldChar w:fldCharType="separate"/>
        </w:r>
        <w:r w:rsidR="007D2A5A">
          <w:rPr>
            <w:noProof/>
            <w:webHidden/>
          </w:rPr>
          <w:t>8</w:t>
        </w:r>
        <w:r>
          <w:rPr>
            <w:noProof/>
            <w:webHidden/>
          </w:rPr>
          <w:fldChar w:fldCharType="end"/>
        </w:r>
      </w:hyperlink>
    </w:p>
    <w:p w14:paraId="225BFEC3" w14:textId="4AA93A5A" w:rsidR="007A4106" w:rsidRPr="00CA236A" w:rsidRDefault="00442186" w:rsidP="00CA236A">
      <w:r w:rsidRPr="00CA236A">
        <w:fldChar w:fldCharType="end"/>
      </w:r>
      <w:r w:rsidR="007A4106" w:rsidRPr="00CA236A">
        <w:br w:type="page"/>
      </w:r>
    </w:p>
    <w:p w14:paraId="3E49480C" w14:textId="77777777" w:rsidR="00056387" w:rsidRPr="00CA236A" w:rsidRDefault="001478FC" w:rsidP="002E7DE6">
      <w:pPr>
        <w:pStyle w:val="Heading3"/>
        <w:spacing w:before="480"/>
      </w:pPr>
      <w:bookmarkStart w:id="0" w:name="_Hlk77578369"/>
      <w:bookmarkStart w:id="1" w:name="_Toc77688206"/>
      <w:r>
        <w:lastRenderedPageBreak/>
        <w:t>Background and objectives</w:t>
      </w:r>
      <w:bookmarkEnd w:id="1"/>
    </w:p>
    <w:p w14:paraId="1C5DB998" w14:textId="39F02764" w:rsidR="001478FC" w:rsidRDefault="001478FC" w:rsidP="001478FC">
      <w:r w:rsidRPr="001478FC">
        <w:t xml:space="preserve">This research was conducted by </w:t>
      </w:r>
      <w:proofErr w:type="spellStart"/>
      <w:r w:rsidRPr="001478FC">
        <w:t>BritainThinks</w:t>
      </w:r>
      <w:proofErr w:type="spellEnd"/>
      <w:r w:rsidRPr="001478FC">
        <w:t xml:space="preserve"> – working with Essex County Council’s Research &amp; Citizen Insight team - between March-June 2021. </w:t>
      </w:r>
    </w:p>
    <w:bookmarkEnd w:id="0"/>
    <w:p w14:paraId="52A5CFC3" w14:textId="77777777" w:rsidR="001478FC" w:rsidRPr="001478FC" w:rsidRDefault="001478FC" w:rsidP="001478FC">
      <w:pPr>
        <w:pStyle w:val="Normalbeforebullets"/>
      </w:pPr>
      <w:r w:rsidRPr="001478FC">
        <w:t>The objectives were to:</w:t>
      </w:r>
    </w:p>
    <w:p w14:paraId="3E2059FC" w14:textId="6982217E" w:rsidR="001478FC" w:rsidRPr="001478FC" w:rsidRDefault="001478FC" w:rsidP="001478FC">
      <w:pPr>
        <w:pStyle w:val="ListParagraph"/>
      </w:pPr>
      <w:r w:rsidRPr="001478FC">
        <w:t xml:space="preserve">Understand residents’ current behaviours relating to climate action and their views towards climate change </w:t>
      </w:r>
      <w:r w:rsidR="00766B77">
        <w:t>and</w:t>
      </w:r>
      <w:r w:rsidRPr="001478FC">
        <w:t xml:space="preserve"> the environment</w:t>
      </w:r>
    </w:p>
    <w:p w14:paraId="7A28F2D5" w14:textId="77777777" w:rsidR="001478FC" w:rsidRPr="001478FC" w:rsidRDefault="001478FC" w:rsidP="001478FC">
      <w:pPr>
        <w:pStyle w:val="ListParagraph"/>
      </w:pPr>
      <w:r w:rsidRPr="001478FC">
        <w:t xml:space="preserve">Understand what residents see as the primary barriers (capability, </w:t>
      </w:r>
      <w:proofErr w:type="gramStart"/>
      <w:r w:rsidRPr="001478FC">
        <w:t>opportunity</w:t>
      </w:r>
      <w:proofErr w:type="gramEnd"/>
      <w:r w:rsidRPr="001478FC">
        <w:t xml:space="preserve"> and motivation) to engaging more with climate action behaviours </w:t>
      </w:r>
    </w:p>
    <w:p w14:paraId="0FF8D0DD" w14:textId="77777777" w:rsidR="001478FC" w:rsidRDefault="001478FC" w:rsidP="001478FC">
      <w:pPr>
        <w:pStyle w:val="ListParagraph"/>
      </w:pPr>
      <w:r w:rsidRPr="001478FC">
        <w:t>Explore what might be needed to increase capability, opportunity and/or motivation for climate action to create behaviour change</w:t>
      </w:r>
    </w:p>
    <w:p w14:paraId="57716EF2" w14:textId="77777777" w:rsidR="001478FC" w:rsidRDefault="001478FC" w:rsidP="001478FC">
      <w:r w:rsidRPr="001478FC">
        <w:t xml:space="preserve">The research will be used to support the Essex Climate Action Commission, Essex County </w:t>
      </w:r>
      <w:proofErr w:type="gramStart"/>
      <w:r w:rsidRPr="001478FC">
        <w:t>Council</w:t>
      </w:r>
      <w:proofErr w:type="gramEnd"/>
      <w:r w:rsidRPr="001478FC">
        <w:t xml:space="preserve"> and partner organisations in Essex in their strategy to increase engagement with climate action among Essex residents.</w:t>
      </w:r>
    </w:p>
    <w:p w14:paraId="35BA30C0" w14:textId="77777777" w:rsidR="001478FC" w:rsidRPr="00CA236A" w:rsidRDefault="001478FC" w:rsidP="00B84E62">
      <w:pPr>
        <w:pStyle w:val="Heading3"/>
        <w:spacing w:before="480"/>
      </w:pPr>
      <w:bookmarkStart w:id="2" w:name="_Toc77688207"/>
      <w:r>
        <w:t>Methodology</w:t>
      </w:r>
      <w:bookmarkEnd w:id="2"/>
    </w:p>
    <w:p w14:paraId="42ED12BC" w14:textId="3021F24C" w:rsidR="001478FC" w:rsidRDefault="00B800BE" w:rsidP="00B800BE">
      <w:pPr>
        <w:pStyle w:val="Normalbeforebullets"/>
      </w:pPr>
      <w:r w:rsidRPr="00B84E62">
        <w:t xml:space="preserve">The research </w:t>
      </w:r>
      <w:r w:rsidR="00766B77">
        <w:t>took</w:t>
      </w:r>
      <w:r w:rsidRPr="00B84E62">
        <w:t xml:space="preserve"> a multi-stage quantitative and qualitative approach:</w:t>
      </w:r>
    </w:p>
    <w:p w14:paraId="1BF4A019" w14:textId="77777777" w:rsidR="00B800BE" w:rsidRDefault="00B800BE" w:rsidP="00B84E62">
      <w:pPr>
        <w:pStyle w:val="ListParagraph"/>
        <w:numPr>
          <w:ilvl w:val="1"/>
          <w:numId w:val="38"/>
        </w:numPr>
      </w:pPr>
      <w:r w:rsidRPr="00B800BE">
        <w:rPr>
          <w:b/>
          <w:bCs/>
        </w:rPr>
        <w:t>Quantitative telephone survey and segmentation</w:t>
      </w:r>
      <w:r>
        <w:t xml:space="preserve">: </w:t>
      </w:r>
      <w:r w:rsidRPr="00B800BE">
        <w:t>1,800 Essex residents took part in a 20-minute survey focussed on environmental engagement and behaviours. Data were weighted to be representative of all Essex adults by age, gender, working status and district. Statistical analysis (Factor Analysis and Latent Class Analysis) was used to generate 5 quantitative typologies based on behavioural commonalities</w:t>
      </w:r>
      <w:r>
        <w:t>.</w:t>
      </w:r>
    </w:p>
    <w:p w14:paraId="12AEA4D8" w14:textId="77777777" w:rsidR="00B800BE" w:rsidRDefault="00B800BE" w:rsidP="00B84E62">
      <w:pPr>
        <w:pStyle w:val="ListParagraph"/>
        <w:numPr>
          <w:ilvl w:val="1"/>
          <w:numId w:val="38"/>
        </w:numPr>
      </w:pPr>
      <w:r>
        <w:rPr>
          <w:b/>
          <w:bCs/>
        </w:rPr>
        <w:t>One</w:t>
      </w:r>
      <w:r w:rsidRPr="00B800BE">
        <w:rPr>
          <w:b/>
          <w:bCs/>
        </w:rPr>
        <w:t>-week digital ethnography and deep-dive interviews:</w:t>
      </w:r>
      <w:r>
        <w:t xml:space="preserve"> </w:t>
      </w:r>
      <w:r w:rsidRPr="00B800BE">
        <w:t>25 participants (</w:t>
      </w:r>
      <w:r>
        <w:t>five</w:t>
      </w:r>
      <w:r w:rsidRPr="00B800BE">
        <w:t xml:space="preserve"> from each segment) took part in a </w:t>
      </w:r>
      <w:r>
        <w:t>one</w:t>
      </w:r>
      <w:r w:rsidRPr="00B800BE">
        <w:t>-week online ethnography exploring their daily lives and behaviours.</w:t>
      </w:r>
      <w:r>
        <w:t xml:space="preserve"> Two</w:t>
      </w:r>
      <w:r w:rsidRPr="00B800BE">
        <w:t xml:space="preserve"> participants from each segment had a follow-up 60-minute telephone interview to explore barriers to climate action behaviours.</w:t>
      </w:r>
    </w:p>
    <w:p w14:paraId="50F6AA11" w14:textId="77777777" w:rsidR="00B800BE" w:rsidRDefault="00B800BE" w:rsidP="00B84E62">
      <w:pPr>
        <w:pStyle w:val="ListParagraph"/>
        <w:numPr>
          <w:ilvl w:val="1"/>
          <w:numId w:val="38"/>
        </w:numPr>
      </w:pPr>
      <w:r w:rsidRPr="00B800BE">
        <w:rPr>
          <w:b/>
          <w:bCs/>
        </w:rPr>
        <w:t>COM-B groups:</w:t>
      </w:r>
      <w:r>
        <w:t xml:space="preserve"> p</w:t>
      </w:r>
      <w:r w:rsidRPr="00B800BE">
        <w:t xml:space="preserve">articipants were split into </w:t>
      </w:r>
      <w:r>
        <w:t>five</w:t>
      </w:r>
      <w:r w:rsidRPr="00B800BE">
        <w:t xml:space="preserve"> focus groups (</w:t>
      </w:r>
      <w:r>
        <w:t>one</w:t>
      </w:r>
      <w:r w:rsidRPr="00B800BE">
        <w:t xml:space="preserve"> per segment) to understand each segment’s attitudes towards climate change/the environment, and what drivers might help to overcome the COM-B barriers uncovered in the depth interviews.</w:t>
      </w:r>
    </w:p>
    <w:p w14:paraId="21E71F7A" w14:textId="77777777" w:rsidR="00B800BE" w:rsidRPr="00B800BE" w:rsidRDefault="00B800BE" w:rsidP="00B84E62">
      <w:pPr>
        <w:pStyle w:val="ListParagraph"/>
        <w:numPr>
          <w:ilvl w:val="1"/>
          <w:numId w:val="38"/>
        </w:numPr>
      </w:pPr>
      <w:r w:rsidRPr="00B800BE">
        <w:rPr>
          <w:b/>
          <w:bCs/>
        </w:rPr>
        <w:t>Communications and deliberation groups:</w:t>
      </w:r>
      <w:r>
        <w:t xml:space="preserve"> </w:t>
      </w:r>
      <w:r w:rsidRPr="00B800BE">
        <w:t>10 participants (</w:t>
      </w:r>
      <w:r>
        <w:t>two</w:t>
      </w:r>
      <w:r w:rsidRPr="00B800BE">
        <w:t xml:space="preserve"> participants from each of the </w:t>
      </w:r>
      <w:r>
        <w:t>five</w:t>
      </w:r>
      <w:r w:rsidRPr="00B800BE">
        <w:t xml:space="preserve"> segments) were provided with a pre-read detailing some current Essex climate action </w:t>
      </w:r>
      <w:proofErr w:type="gramStart"/>
      <w:r w:rsidRPr="00B800BE">
        <w:t>initiatives, and</w:t>
      </w:r>
      <w:proofErr w:type="gramEnd"/>
      <w:r w:rsidRPr="00B800BE">
        <w:t xml:space="preserve"> were then split into </w:t>
      </w:r>
      <w:r>
        <w:t>two</w:t>
      </w:r>
      <w:r w:rsidRPr="00B800BE">
        <w:t xml:space="preserve"> 90-minute focus groups to discuss their reactions to these initiatives and potential climate awareness/action messaging in detail.</w:t>
      </w:r>
    </w:p>
    <w:p w14:paraId="3AAF41DE" w14:textId="77777777" w:rsidR="002E7DE6" w:rsidRDefault="002E7DE6">
      <w:pPr>
        <w:spacing w:after="160" w:line="259" w:lineRule="auto"/>
        <w:rPr>
          <w:rFonts w:asciiTheme="majorHAnsi" w:eastAsiaTheme="majorEastAsia" w:hAnsiTheme="majorHAnsi" w:cstheme="majorBidi"/>
          <w:b/>
          <w:color w:val="004899" w:themeColor="accent1"/>
          <w:sz w:val="36"/>
          <w:szCs w:val="24"/>
        </w:rPr>
      </w:pPr>
      <w:bookmarkStart w:id="3" w:name="_Hlk77578770"/>
      <w:r>
        <w:br w:type="page"/>
      </w:r>
    </w:p>
    <w:p w14:paraId="707EC47A" w14:textId="77777777" w:rsidR="00B800BE" w:rsidRPr="00CA236A" w:rsidRDefault="00B800BE" w:rsidP="002E7DE6">
      <w:pPr>
        <w:pStyle w:val="Heading3"/>
        <w:spacing w:before="480"/>
      </w:pPr>
      <w:bookmarkStart w:id="4" w:name="_Toc77688208"/>
      <w:r>
        <w:lastRenderedPageBreak/>
        <w:t>Key findings</w:t>
      </w:r>
      <w:bookmarkEnd w:id="4"/>
    </w:p>
    <w:p w14:paraId="4A446C90" w14:textId="77777777" w:rsidR="00B800BE" w:rsidRDefault="00B800BE" w:rsidP="00B800BE">
      <w:pPr>
        <w:pStyle w:val="Normalbeforebullets"/>
      </w:pPr>
      <w:r>
        <w:t>The research found that:</w:t>
      </w:r>
    </w:p>
    <w:bookmarkEnd w:id="3"/>
    <w:p w14:paraId="3E05AE0C" w14:textId="1C633745" w:rsidR="00B800BE" w:rsidRDefault="00B800BE" w:rsidP="00B800BE">
      <w:pPr>
        <w:pStyle w:val="ListNumber"/>
        <w:numPr>
          <w:ilvl w:val="0"/>
          <w:numId w:val="33"/>
        </w:numPr>
      </w:pPr>
      <w:proofErr w:type="gramStart"/>
      <w:r w:rsidRPr="00B800BE">
        <w:rPr>
          <w:b/>
          <w:bCs/>
        </w:rPr>
        <w:t>The vast majority of</w:t>
      </w:r>
      <w:proofErr w:type="gramEnd"/>
      <w:r w:rsidRPr="00B800BE">
        <w:rPr>
          <w:b/>
          <w:bCs/>
        </w:rPr>
        <w:t xml:space="preserve"> residents </w:t>
      </w:r>
      <w:r w:rsidR="00766B77">
        <w:rPr>
          <w:b/>
          <w:bCs/>
        </w:rPr>
        <w:t xml:space="preserve">claim to be </w:t>
      </w:r>
      <w:r w:rsidRPr="00B800BE">
        <w:rPr>
          <w:b/>
          <w:bCs/>
        </w:rPr>
        <w:t>concerned about climate change. In practice, the issue often feels distant and less of a priority than other national and local concerns.</w:t>
      </w:r>
      <w:r w:rsidRPr="00B800BE">
        <w:t xml:space="preserve"> Protection of local green spaces is potentially one ‘bridge issue’ that can bring abstract debates about climate action closer to home.</w:t>
      </w:r>
    </w:p>
    <w:p w14:paraId="7AF2E51D" w14:textId="77777777" w:rsidR="00B800BE" w:rsidRDefault="00B800BE" w:rsidP="00B800BE">
      <w:pPr>
        <w:pStyle w:val="ListNumber"/>
        <w:numPr>
          <w:ilvl w:val="0"/>
          <w:numId w:val="33"/>
        </w:numPr>
      </w:pPr>
      <w:r w:rsidRPr="00B800BE">
        <w:rPr>
          <w:b/>
          <w:bCs/>
        </w:rPr>
        <w:t>People over-estimate their current contribution and there is a disconnect between perceptions and reality of how certain behaviours impact climate change.</w:t>
      </w:r>
      <w:r w:rsidRPr="00B800BE">
        <w:t xml:space="preserve"> Most are doing lower effort behaviours like recycling (lower impact) which they see as ‘doing their bit’ and fewer are doing more challenging but more impactful behaviours (e.g.</w:t>
      </w:r>
      <w:r w:rsidR="00EB55B9">
        <w:t xml:space="preserve"> </w:t>
      </w:r>
      <w:r w:rsidRPr="00B800BE">
        <w:t>switching from cars) which they would feel is ‘above and beyond’.</w:t>
      </w:r>
    </w:p>
    <w:p w14:paraId="534C72CF" w14:textId="71CAE82A" w:rsidR="00EB55B9" w:rsidRDefault="00EB55B9" w:rsidP="00B800BE">
      <w:pPr>
        <w:pStyle w:val="ListNumber"/>
        <w:numPr>
          <w:ilvl w:val="0"/>
          <w:numId w:val="33"/>
        </w:numPr>
      </w:pPr>
      <w:r w:rsidRPr="00EB55B9">
        <w:rPr>
          <w:b/>
          <w:bCs/>
        </w:rPr>
        <w:t>Whilst many are open to changing their own behaviours, many environmentally</w:t>
      </w:r>
      <w:r w:rsidR="00766B77">
        <w:rPr>
          <w:b/>
          <w:bCs/>
        </w:rPr>
        <w:t xml:space="preserve"> </w:t>
      </w:r>
      <w:r w:rsidRPr="00EB55B9">
        <w:rPr>
          <w:b/>
          <w:bCs/>
        </w:rPr>
        <w:t>friendly options </w:t>
      </w:r>
      <w:proofErr w:type="gramStart"/>
      <w:r w:rsidRPr="00EB55B9">
        <w:rPr>
          <w:b/>
          <w:bCs/>
        </w:rPr>
        <w:t>are seen as</w:t>
      </w:r>
      <w:proofErr w:type="gramEnd"/>
      <w:r w:rsidRPr="00EB55B9">
        <w:rPr>
          <w:b/>
          <w:bCs/>
        </w:rPr>
        <w:t xml:space="preserve"> challenging to implement or viewed as presenting an unattractive lifestyle change.</w:t>
      </w:r>
      <w:r w:rsidRPr="00EB55B9">
        <w:t xml:space="preserve"> It will not be easy to shift entrenched behaviours and privileges that people currently have.</w:t>
      </w:r>
    </w:p>
    <w:p w14:paraId="36DD50FB" w14:textId="77777777" w:rsidR="001478FC" w:rsidRDefault="00EB55B9" w:rsidP="00EB55B9">
      <w:pPr>
        <w:pStyle w:val="ListNumber"/>
        <w:numPr>
          <w:ilvl w:val="0"/>
          <w:numId w:val="33"/>
        </w:numPr>
      </w:pPr>
      <w:r w:rsidRPr="00EB55B9">
        <w:rPr>
          <w:b/>
          <w:bCs/>
        </w:rPr>
        <w:t>Across the behaviours the research explored, those where residents could appreciate there would be personal benefits are the ones where there is the greatest opportunity to effect behaviour change</w:t>
      </w:r>
      <w:r w:rsidRPr="00EB55B9">
        <w:t xml:space="preserve"> – namely, increasing the number of meat-free days, reducing food waste, and making home upgrades. The areas where participants couldn’t see personal benefits, e.g. transport, will be the most challenging to effect behaviour change.</w:t>
      </w:r>
    </w:p>
    <w:p w14:paraId="63788898" w14:textId="77777777" w:rsidR="00EB55B9" w:rsidRPr="00CA236A" w:rsidRDefault="004D5422" w:rsidP="00B84E62">
      <w:pPr>
        <w:pStyle w:val="Heading3"/>
        <w:spacing w:before="480"/>
      </w:pPr>
      <w:bookmarkStart w:id="5" w:name="_Toc77688209"/>
      <w:r>
        <w:t>Resident segments</w:t>
      </w:r>
      <w:bookmarkEnd w:id="5"/>
    </w:p>
    <w:p w14:paraId="221D2023" w14:textId="77777777" w:rsidR="00B800BE" w:rsidRDefault="004D5422" w:rsidP="004D5422">
      <w:pPr>
        <w:pStyle w:val="Normalbeforebullets"/>
      </w:pPr>
      <w:r w:rsidRPr="004D5422">
        <w:t>Statistical analysis revealed Essex residents can be split into five segments based on their current climate action behaviour</w:t>
      </w:r>
      <w:r w:rsidR="00E65A0F">
        <w:t>s</w:t>
      </w:r>
      <w:r w:rsidR="004C0B34">
        <w:t xml:space="preserve">. In order of </w:t>
      </w:r>
      <w:r w:rsidR="006109C9">
        <w:t>‘</w:t>
      </w:r>
      <w:r w:rsidR="004C0B34">
        <w:t xml:space="preserve">least </w:t>
      </w:r>
      <w:r w:rsidR="006109C9">
        <w:t xml:space="preserve">engaged’ </w:t>
      </w:r>
      <w:r w:rsidR="004C0B34">
        <w:t xml:space="preserve">to </w:t>
      </w:r>
      <w:r w:rsidR="006109C9">
        <w:t>‘</w:t>
      </w:r>
      <w:r w:rsidR="004C0B34">
        <w:t>most engaged</w:t>
      </w:r>
      <w:r w:rsidR="006109C9">
        <w:t>’</w:t>
      </w:r>
      <w:r w:rsidR="004C0B34">
        <w:t>, these are</w:t>
      </w:r>
      <w:r>
        <w:t>:</w:t>
      </w:r>
    </w:p>
    <w:p w14:paraId="5266AE4A" w14:textId="77777777" w:rsidR="004C0B34" w:rsidRDefault="004C0B34" w:rsidP="004C0B34">
      <w:pPr>
        <w:pStyle w:val="ListNumber"/>
        <w:numPr>
          <w:ilvl w:val="0"/>
          <w:numId w:val="36"/>
        </w:numPr>
      </w:pPr>
      <w:r>
        <w:t>Low-action sceptics</w:t>
      </w:r>
    </w:p>
    <w:p w14:paraId="483922FA" w14:textId="77777777" w:rsidR="004C0B34" w:rsidRPr="00DA7747" w:rsidRDefault="004C0B34" w:rsidP="004C0B34">
      <w:pPr>
        <w:pStyle w:val="ListNumber"/>
        <w:numPr>
          <w:ilvl w:val="0"/>
          <w:numId w:val="36"/>
        </w:numPr>
      </w:pPr>
      <w:r>
        <w:t>Low-income renters</w:t>
      </w:r>
    </w:p>
    <w:p w14:paraId="52FF9F58" w14:textId="77777777" w:rsidR="004C0B34" w:rsidRDefault="004C0B34" w:rsidP="004C0B34">
      <w:pPr>
        <w:pStyle w:val="ListNumber"/>
        <w:numPr>
          <w:ilvl w:val="0"/>
          <w:numId w:val="36"/>
        </w:numPr>
      </w:pPr>
      <w:r>
        <w:t xml:space="preserve">Older </w:t>
      </w:r>
      <w:proofErr w:type="gramStart"/>
      <w:r>
        <w:t>home-owners</w:t>
      </w:r>
      <w:proofErr w:type="gramEnd"/>
    </w:p>
    <w:p w14:paraId="3390DA98" w14:textId="77777777" w:rsidR="004C0B34" w:rsidRDefault="004C0B34" w:rsidP="004C0B34">
      <w:pPr>
        <w:pStyle w:val="ListNumber"/>
        <w:numPr>
          <w:ilvl w:val="0"/>
          <w:numId w:val="36"/>
        </w:numPr>
      </w:pPr>
      <w:r>
        <w:t>Younger professionals</w:t>
      </w:r>
    </w:p>
    <w:p w14:paraId="571EDB13" w14:textId="77777777" w:rsidR="004C0B34" w:rsidRDefault="004C0B34" w:rsidP="004C0B34">
      <w:pPr>
        <w:pStyle w:val="ListNumber"/>
        <w:numPr>
          <w:ilvl w:val="0"/>
          <w:numId w:val="36"/>
        </w:numPr>
      </w:pPr>
      <w:r>
        <w:t>Environmentally proactive</w:t>
      </w:r>
    </w:p>
    <w:p w14:paraId="55C74A48" w14:textId="77777777" w:rsidR="006109C9" w:rsidRDefault="006109C9">
      <w:pPr>
        <w:spacing w:after="160" w:line="259" w:lineRule="auto"/>
        <w:rPr>
          <w:highlight w:val="yellow"/>
        </w:rPr>
      </w:pPr>
      <w:r>
        <w:rPr>
          <w:highlight w:val="yellow"/>
        </w:rPr>
        <w:br w:type="page"/>
      </w:r>
    </w:p>
    <w:p w14:paraId="597998F3" w14:textId="77777777" w:rsidR="004C0B34" w:rsidRDefault="004C0B34" w:rsidP="004C0B34">
      <w:r w:rsidRPr="00E65A0F">
        <w:lastRenderedPageBreak/>
        <w:t xml:space="preserve">Table 1 below shows </w:t>
      </w:r>
      <w:r w:rsidR="00E65A0F" w:rsidRPr="00E65A0F">
        <w:t xml:space="preserve">how each segment performs </w:t>
      </w:r>
      <w:r w:rsidR="00E65A0F">
        <w:t xml:space="preserve">against the Essex population, </w:t>
      </w:r>
      <w:r w:rsidR="00E65A0F" w:rsidRPr="00E65A0F">
        <w:t xml:space="preserve">in terms of their </w:t>
      </w:r>
      <w:r w:rsidR="00B84E62">
        <w:t xml:space="preserve">(positive) climate action </w:t>
      </w:r>
      <w:r w:rsidR="00E65A0F" w:rsidRPr="00E65A0F">
        <w:t>behaviours across six areas: transport, food, shopping, waste, energy and home improvements.</w:t>
      </w:r>
    </w:p>
    <w:p w14:paraId="28ED9897" w14:textId="77777777" w:rsidR="00E65A0F" w:rsidRPr="00E65A0F" w:rsidRDefault="00E65A0F" w:rsidP="004C0B34">
      <w:pPr>
        <w:rPr>
          <w:rStyle w:val="Bold"/>
        </w:rPr>
      </w:pPr>
      <w:bookmarkStart w:id="6" w:name="_Hlk77677260"/>
      <w:r>
        <w:rPr>
          <w:rStyle w:val="Bold"/>
        </w:rPr>
        <w:t xml:space="preserve">Table 1: </w:t>
      </w:r>
      <w:r w:rsidR="00B84E62">
        <w:rPr>
          <w:rStyle w:val="Bold"/>
        </w:rPr>
        <w:t xml:space="preserve">Performance of each segment against the Essex population in terms of </w:t>
      </w:r>
      <w:r w:rsidR="00760AA9">
        <w:rPr>
          <w:rStyle w:val="Bold"/>
        </w:rPr>
        <w:t xml:space="preserve">(positive) </w:t>
      </w:r>
      <w:r w:rsidR="00B84E62">
        <w:rPr>
          <w:rStyle w:val="Bold"/>
        </w:rPr>
        <w:t>climate action</w:t>
      </w:r>
      <w:r w:rsidR="00760AA9">
        <w:rPr>
          <w:rStyle w:val="Bold"/>
        </w:rPr>
        <w:t>s behaviours</w:t>
      </w: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Description w:val="The table shows each Segment in every row and the six areas of climate action focus in each column"/>
      </w:tblPr>
      <w:tblGrid>
        <w:gridCol w:w="1869"/>
        <w:gridCol w:w="1437"/>
        <w:gridCol w:w="1251"/>
        <w:gridCol w:w="1423"/>
        <w:gridCol w:w="1160"/>
        <w:gridCol w:w="1160"/>
        <w:gridCol w:w="1333"/>
      </w:tblGrid>
      <w:tr w:rsidR="00760AA9" w14:paraId="7E723E76" w14:textId="77777777" w:rsidTr="00760AA9">
        <w:trPr>
          <w:cnfStyle w:val="100000000000" w:firstRow="1" w:lastRow="0" w:firstColumn="0" w:lastColumn="0" w:oddVBand="0" w:evenVBand="0" w:oddHBand="0" w:evenHBand="0" w:firstRowFirstColumn="0" w:firstRowLastColumn="0" w:lastRowFirstColumn="0" w:lastRowLastColumn="0"/>
        </w:trPr>
        <w:tc>
          <w:tcPr>
            <w:tcW w:w="1876" w:type="dxa"/>
            <w:vAlign w:val="center"/>
          </w:tcPr>
          <w:bookmarkEnd w:id="6"/>
          <w:p w14:paraId="3E03AB6D" w14:textId="77777777" w:rsidR="005470FD" w:rsidRPr="005470FD" w:rsidRDefault="005470FD" w:rsidP="00E65A0F">
            <w:pPr>
              <w:pStyle w:val="Tablecolumnheading"/>
              <w:rPr>
                <w:sz w:val="22"/>
                <w:szCs w:val="20"/>
              </w:rPr>
            </w:pPr>
            <w:r>
              <w:rPr>
                <w:sz w:val="22"/>
                <w:szCs w:val="20"/>
              </w:rPr>
              <w:t>SEGMENT</w:t>
            </w:r>
          </w:p>
        </w:tc>
        <w:tc>
          <w:tcPr>
            <w:tcW w:w="1442" w:type="dxa"/>
            <w:vAlign w:val="center"/>
          </w:tcPr>
          <w:p w14:paraId="2DD454E2" w14:textId="77777777" w:rsidR="005470FD" w:rsidRPr="005470FD" w:rsidRDefault="005470FD" w:rsidP="005470FD">
            <w:pPr>
              <w:pStyle w:val="Tablecolumnheading"/>
              <w:jc w:val="center"/>
              <w:rPr>
                <w:sz w:val="22"/>
                <w:szCs w:val="20"/>
              </w:rPr>
            </w:pPr>
            <w:r w:rsidRPr="005470FD">
              <w:rPr>
                <w:sz w:val="22"/>
                <w:szCs w:val="20"/>
              </w:rPr>
              <w:t>Transport</w:t>
            </w:r>
          </w:p>
        </w:tc>
        <w:tc>
          <w:tcPr>
            <w:tcW w:w="1257" w:type="dxa"/>
            <w:vAlign w:val="center"/>
          </w:tcPr>
          <w:p w14:paraId="45C9253D" w14:textId="77777777" w:rsidR="005470FD" w:rsidRPr="005470FD" w:rsidRDefault="005470FD" w:rsidP="005470FD">
            <w:pPr>
              <w:pStyle w:val="Tablecolumnheading"/>
              <w:jc w:val="center"/>
              <w:rPr>
                <w:sz w:val="22"/>
                <w:szCs w:val="20"/>
              </w:rPr>
            </w:pPr>
            <w:r w:rsidRPr="005470FD">
              <w:rPr>
                <w:sz w:val="22"/>
                <w:szCs w:val="20"/>
              </w:rPr>
              <w:t>Food</w:t>
            </w:r>
          </w:p>
        </w:tc>
        <w:tc>
          <w:tcPr>
            <w:tcW w:w="1428" w:type="dxa"/>
            <w:vAlign w:val="center"/>
          </w:tcPr>
          <w:p w14:paraId="50A66568" w14:textId="77777777" w:rsidR="005470FD" w:rsidRPr="005470FD" w:rsidRDefault="005470FD" w:rsidP="005470FD">
            <w:pPr>
              <w:pStyle w:val="Tablecolumnheading"/>
              <w:jc w:val="center"/>
              <w:rPr>
                <w:sz w:val="22"/>
                <w:szCs w:val="20"/>
              </w:rPr>
            </w:pPr>
            <w:r w:rsidRPr="005470FD">
              <w:rPr>
                <w:sz w:val="22"/>
                <w:szCs w:val="20"/>
              </w:rPr>
              <w:t>Shopping</w:t>
            </w:r>
          </w:p>
        </w:tc>
        <w:tc>
          <w:tcPr>
            <w:tcW w:w="1136" w:type="dxa"/>
            <w:vAlign w:val="center"/>
          </w:tcPr>
          <w:p w14:paraId="1A8D353A" w14:textId="77777777" w:rsidR="005470FD" w:rsidRPr="005470FD" w:rsidRDefault="005470FD" w:rsidP="005470FD">
            <w:pPr>
              <w:pStyle w:val="Tablecolumnheading"/>
              <w:jc w:val="center"/>
              <w:rPr>
                <w:sz w:val="22"/>
                <w:szCs w:val="20"/>
              </w:rPr>
            </w:pPr>
            <w:r w:rsidRPr="005470FD">
              <w:rPr>
                <w:sz w:val="22"/>
                <w:szCs w:val="20"/>
              </w:rPr>
              <w:t>Waste</w:t>
            </w:r>
          </w:p>
        </w:tc>
        <w:tc>
          <w:tcPr>
            <w:tcW w:w="1151" w:type="dxa"/>
            <w:vAlign w:val="center"/>
          </w:tcPr>
          <w:p w14:paraId="363FC1DF" w14:textId="77777777" w:rsidR="005470FD" w:rsidRPr="005470FD" w:rsidRDefault="005470FD" w:rsidP="005470FD">
            <w:pPr>
              <w:pStyle w:val="Tablecolumnheading"/>
              <w:jc w:val="center"/>
              <w:rPr>
                <w:sz w:val="22"/>
                <w:szCs w:val="20"/>
              </w:rPr>
            </w:pPr>
            <w:r w:rsidRPr="005470FD">
              <w:rPr>
                <w:sz w:val="22"/>
                <w:szCs w:val="20"/>
              </w:rPr>
              <w:t>Energy</w:t>
            </w:r>
          </w:p>
        </w:tc>
        <w:tc>
          <w:tcPr>
            <w:tcW w:w="1338" w:type="dxa"/>
            <w:vAlign w:val="center"/>
          </w:tcPr>
          <w:p w14:paraId="46FD4CA5" w14:textId="77777777" w:rsidR="005470FD" w:rsidRPr="005470FD" w:rsidRDefault="005470FD" w:rsidP="005470FD">
            <w:pPr>
              <w:pStyle w:val="Tablecolumnheading"/>
              <w:jc w:val="center"/>
              <w:rPr>
                <w:sz w:val="22"/>
                <w:szCs w:val="20"/>
              </w:rPr>
            </w:pPr>
            <w:r w:rsidRPr="005470FD">
              <w:rPr>
                <w:sz w:val="22"/>
                <w:szCs w:val="20"/>
              </w:rPr>
              <w:t>Home improve-</w:t>
            </w:r>
            <w:proofErr w:type="spellStart"/>
            <w:r w:rsidRPr="005470FD">
              <w:rPr>
                <w:sz w:val="22"/>
                <w:szCs w:val="20"/>
              </w:rPr>
              <w:t>ment</w:t>
            </w:r>
            <w:r w:rsidR="00E65A0F">
              <w:rPr>
                <w:sz w:val="22"/>
                <w:szCs w:val="20"/>
              </w:rPr>
              <w:t>s</w:t>
            </w:r>
            <w:proofErr w:type="spellEnd"/>
          </w:p>
        </w:tc>
      </w:tr>
      <w:tr w:rsidR="00760AA9" w14:paraId="066344CD" w14:textId="77777777" w:rsidTr="00760AA9">
        <w:trPr>
          <w:trHeight w:val="744"/>
        </w:trPr>
        <w:tc>
          <w:tcPr>
            <w:tcW w:w="1876" w:type="dxa"/>
            <w:vAlign w:val="center"/>
          </w:tcPr>
          <w:p w14:paraId="7FD343FA" w14:textId="77777777" w:rsidR="00760AA9" w:rsidRPr="005470FD" w:rsidRDefault="00760AA9" w:rsidP="00760AA9">
            <w:pPr>
              <w:pStyle w:val="Tabletext"/>
              <w:rPr>
                <w:rStyle w:val="Emphasis"/>
                <w:sz w:val="22"/>
                <w:szCs w:val="20"/>
              </w:rPr>
            </w:pPr>
            <w:r w:rsidRPr="005470FD">
              <w:rPr>
                <w:rStyle w:val="Emphasis"/>
                <w:sz w:val="22"/>
                <w:szCs w:val="20"/>
              </w:rPr>
              <w:t>Low-action sceptics</w:t>
            </w:r>
          </w:p>
        </w:tc>
        <w:tc>
          <w:tcPr>
            <w:tcW w:w="1442" w:type="dxa"/>
            <w:shd w:val="clear" w:color="auto" w:fill="FFC6D3" w:themeFill="accent3" w:themeFillTint="33"/>
            <w:vAlign w:val="center"/>
          </w:tcPr>
          <w:p w14:paraId="66E3CB9F" w14:textId="77777777" w:rsidR="00760AA9" w:rsidRPr="00854177" w:rsidRDefault="00760AA9" w:rsidP="00760AA9">
            <w:pPr>
              <w:pStyle w:val="Tabletext"/>
              <w:jc w:val="center"/>
              <w:rPr>
                <w:sz w:val="22"/>
              </w:rPr>
            </w:pPr>
            <w:r w:rsidRPr="00854177">
              <w:rPr>
                <w:sz w:val="22"/>
              </w:rPr>
              <w:t>Below average</w:t>
            </w:r>
          </w:p>
        </w:tc>
        <w:tc>
          <w:tcPr>
            <w:tcW w:w="1257" w:type="dxa"/>
            <w:shd w:val="clear" w:color="auto" w:fill="FFC6D3" w:themeFill="accent3" w:themeFillTint="33"/>
            <w:vAlign w:val="center"/>
          </w:tcPr>
          <w:p w14:paraId="4C079211" w14:textId="77777777" w:rsidR="00760AA9" w:rsidRPr="00854177" w:rsidRDefault="00760AA9" w:rsidP="00760AA9">
            <w:pPr>
              <w:pStyle w:val="Tabletext"/>
              <w:jc w:val="center"/>
              <w:rPr>
                <w:sz w:val="22"/>
              </w:rPr>
            </w:pPr>
            <w:r w:rsidRPr="00854177">
              <w:rPr>
                <w:sz w:val="22"/>
              </w:rPr>
              <w:t>Below average</w:t>
            </w:r>
          </w:p>
        </w:tc>
        <w:tc>
          <w:tcPr>
            <w:tcW w:w="1428" w:type="dxa"/>
            <w:vAlign w:val="center"/>
          </w:tcPr>
          <w:p w14:paraId="597B60F4" w14:textId="77777777" w:rsidR="00760AA9" w:rsidRPr="00854177" w:rsidRDefault="00760AA9" w:rsidP="00760AA9">
            <w:pPr>
              <w:pStyle w:val="Tabletext"/>
              <w:jc w:val="center"/>
              <w:rPr>
                <w:sz w:val="22"/>
              </w:rPr>
            </w:pPr>
            <w:r w:rsidRPr="00854177">
              <w:rPr>
                <w:sz w:val="22"/>
              </w:rPr>
              <w:t>Average</w:t>
            </w:r>
          </w:p>
        </w:tc>
        <w:tc>
          <w:tcPr>
            <w:tcW w:w="1136" w:type="dxa"/>
            <w:shd w:val="clear" w:color="auto" w:fill="FFC6D3" w:themeFill="accent3" w:themeFillTint="33"/>
            <w:vAlign w:val="center"/>
          </w:tcPr>
          <w:p w14:paraId="6D43551E" w14:textId="77777777" w:rsidR="00760AA9" w:rsidRPr="00854177" w:rsidRDefault="00760AA9" w:rsidP="00760AA9">
            <w:pPr>
              <w:pStyle w:val="Tabletext"/>
              <w:jc w:val="center"/>
              <w:rPr>
                <w:sz w:val="22"/>
              </w:rPr>
            </w:pPr>
            <w:r w:rsidRPr="00854177">
              <w:rPr>
                <w:sz w:val="22"/>
              </w:rPr>
              <w:t>Below average</w:t>
            </w:r>
          </w:p>
        </w:tc>
        <w:tc>
          <w:tcPr>
            <w:tcW w:w="1151" w:type="dxa"/>
            <w:shd w:val="clear" w:color="auto" w:fill="FFC6D3" w:themeFill="accent3" w:themeFillTint="33"/>
            <w:vAlign w:val="center"/>
          </w:tcPr>
          <w:p w14:paraId="4B254FFE" w14:textId="77777777" w:rsidR="00760AA9" w:rsidRPr="00854177" w:rsidRDefault="00760AA9" w:rsidP="00760AA9">
            <w:pPr>
              <w:pStyle w:val="Tabletext"/>
              <w:jc w:val="center"/>
              <w:rPr>
                <w:sz w:val="22"/>
              </w:rPr>
            </w:pPr>
            <w:r w:rsidRPr="00854177">
              <w:rPr>
                <w:sz w:val="22"/>
              </w:rPr>
              <w:t>Below average</w:t>
            </w:r>
          </w:p>
        </w:tc>
        <w:tc>
          <w:tcPr>
            <w:tcW w:w="1338" w:type="dxa"/>
            <w:shd w:val="clear" w:color="auto" w:fill="FFC6D3" w:themeFill="accent3" w:themeFillTint="33"/>
            <w:vAlign w:val="center"/>
          </w:tcPr>
          <w:p w14:paraId="717A92EB" w14:textId="77777777" w:rsidR="00760AA9" w:rsidRPr="00854177" w:rsidRDefault="00760AA9" w:rsidP="00760AA9">
            <w:pPr>
              <w:pStyle w:val="Tabletext"/>
              <w:jc w:val="center"/>
              <w:rPr>
                <w:sz w:val="22"/>
              </w:rPr>
            </w:pPr>
            <w:r w:rsidRPr="00854177">
              <w:rPr>
                <w:sz w:val="22"/>
              </w:rPr>
              <w:t>Below average</w:t>
            </w:r>
          </w:p>
        </w:tc>
      </w:tr>
      <w:tr w:rsidR="00760AA9" w14:paraId="7F40D464" w14:textId="77777777" w:rsidTr="00766B77">
        <w:trPr>
          <w:trHeight w:val="916"/>
        </w:trPr>
        <w:tc>
          <w:tcPr>
            <w:tcW w:w="1876" w:type="dxa"/>
            <w:vAlign w:val="center"/>
          </w:tcPr>
          <w:p w14:paraId="295310AA" w14:textId="77777777" w:rsidR="00760AA9" w:rsidRPr="005470FD" w:rsidRDefault="00760AA9" w:rsidP="00760AA9">
            <w:pPr>
              <w:pStyle w:val="Tabletext"/>
              <w:rPr>
                <w:rStyle w:val="Emphasis"/>
                <w:sz w:val="22"/>
                <w:szCs w:val="20"/>
              </w:rPr>
            </w:pPr>
            <w:r>
              <w:rPr>
                <w:rStyle w:val="Emphasis"/>
                <w:sz w:val="22"/>
                <w:szCs w:val="20"/>
              </w:rPr>
              <w:t>L</w:t>
            </w:r>
            <w:r w:rsidRPr="005470FD">
              <w:rPr>
                <w:rStyle w:val="Emphasis"/>
                <w:sz w:val="22"/>
                <w:szCs w:val="20"/>
              </w:rPr>
              <w:t>ow-income renters</w:t>
            </w:r>
          </w:p>
        </w:tc>
        <w:tc>
          <w:tcPr>
            <w:tcW w:w="1442" w:type="dxa"/>
            <w:shd w:val="clear" w:color="auto" w:fill="B2FFCF" w:themeFill="accent6" w:themeFillTint="33"/>
            <w:vAlign w:val="center"/>
          </w:tcPr>
          <w:p w14:paraId="72B31954" w14:textId="77777777" w:rsidR="00760AA9" w:rsidRPr="00854177" w:rsidRDefault="00760AA9" w:rsidP="00760AA9">
            <w:pPr>
              <w:pStyle w:val="Tabletext"/>
              <w:jc w:val="center"/>
              <w:rPr>
                <w:sz w:val="22"/>
              </w:rPr>
            </w:pPr>
            <w:r w:rsidRPr="00854177">
              <w:rPr>
                <w:sz w:val="22"/>
              </w:rPr>
              <w:t>Above average</w:t>
            </w:r>
          </w:p>
        </w:tc>
        <w:tc>
          <w:tcPr>
            <w:tcW w:w="1257" w:type="dxa"/>
            <w:shd w:val="clear" w:color="auto" w:fill="FFC6D3" w:themeFill="accent3" w:themeFillTint="33"/>
            <w:vAlign w:val="center"/>
          </w:tcPr>
          <w:p w14:paraId="5BDFA7F8" w14:textId="77777777" w:rsidR="00760AA9" w:rsidRPr="00854177" w:rsidRDefault="00760AA9" w:rsidP="00760AA9">
            <w:pPr>
              <w:pStyle w:val="Tabletext"/>
              <w:jc w:val="center"/>
              <w:rPr>
                <w:sz w:val="22"/>
              </w:rPr>
            </w:pPr>
            <w:r w:rsidRPr="00854177">
              <w:rPr>
                <w:sz w:val="22"/>
              </w:rPr>
              <w:t>Below average</w:t>
            </w:r>
          </w:p>
        </w:tc>
        <w:tc>
          <w:tcPr>
            <w:tcW w:w="1428" w:type="dxa"/>
            <w:shd w:val="clear" w:color="auto" w:fill="FFC6D3" w:themeFill="accent3" w:themeFillTint="33"/>
            <w:vAlign w:val="center"/>
          </w:tcPr>
          <w:p w14:paraId="2E3BCA0F" w14:textId="77777777" w:rsidR="00760AA9" w:rsidRPr="00854177" w:rsidRDefault="00760AA9" w:rsidP="00760AA9">
            <w:pPr>
              <w:pStyle w:val="Tabletext"/>
              <w:jc w:val="center"/>
              <w:rPr>
                <w:sz w:val="22"/>
              </w:rPr>
            </w:pPr>
            <w:r w:rsidRPr="00854177">
              <w:rPr>
                <w:sz w:val="22"/>
              </w:rPr>
              <w:t>Below average</w:t>
            </w:r>
          </w:p>
        </w:tc>
        <w:tc>
          <w:tcPr>
            <w:tcW w:w="1136" w:type="dxa"/>
            <w:shd w:val="clear" w:color="auto" w:fill="FFC6D3" w:themeFill="accent3" w:themeFillTint="33"/>
            <w:vAlign w:val="center"/>
          </w:tcPr>
          <w:p w14:paraId="46C369AE" w14:textId="77777777" w:rsidR="00760AA9" w:rsidRPr="00854177" w:rsidRDefault="00760AA9" w:rsidP="00760AA9">
            <w:pPr>
              <w:pStyle w:val="Tabletext"/>
              <w:jc w:val="center"/>
              <w:rPr>
                <w:sz w:val="22"/>
              </w:rPr>
            </w:pPr>
            <w:r w:rsidRPr="00854177">
              <w:rPr>
                <w:sz w:val="22"/>
              </w:rPr>
              <w:t>Below average</w:t>
            </w:r>
          </w:p>
        </w:tc>
        <w:tc>
          <w:tcPr>
            <w:tcW w:w="1151" w:type="dxa"/>
            <w:vAlign w:val="center"/>
          </w:tcPr>
          <w:p w14:paraId="51BA15F2" w14:textId="77777777" w:rsidR="00760AA9" w:rsidRPr="00854177" w:rsidRDefault="00760AA9" w:rsidP="00760AA9">
            <w:pPr>
              <w:pStyle w:val="Tabletext"/>
              <w:jc w:val="center"/>
              <w:rPr>
                <w:sz w:val="22"/>
              </w:rPr>
            </w:pPr>
            <w:r w:rsidRPr="00854177">
              <w:rPr>
                <w:sz w:val="22"/>
              </w:rPr>
              <w:t>Average</w:t>
            </w:r>
          </w:p>
        </w:tc>
        <w:tc>
          <w:tcPr>
            <w:tcW w:w="1338" w:type="dxa"/>
            <w:shd w:val="clear" w:color="auto" w:fill="FFC6D3" w:themeFill="accent3" w:themeFillTint="33"/>
            <w:vAlign w:val="center"/>
          </w:tcPr>
          <w:p w14:paraId="6AE8C7AB" w14:textId="77777777" w:rsidR="00760AA9" w:rsidRPr="00854177" w:rsidRDefault="00760AA9" w:rsidP="00760AA9">
            <w:pPr>
              <w:pStyle w:val="Tabletext"/>
              <w:jc w:val="center"/>
              <w:rPr>
                <w:sz w:val="22"/>
              </w:rPr>
            </w:pPr>
            <w:r w:rsidRPr="00854177">
              <w:rPr>
                <w:sz w:val="22"/>
              </w:rPr>
              <w:t>Below average</w:t>
            </w:r>
          </w:p>
        </w:tc>
      </w:tr>
      <w:tr w:rsidR="00760AA9" w14:paraId="08C7CD8D" w14:textId="77777777" w:rsidTr="00760AA9">
        <w:trPr>
          <w:trHeight w:val="776"/>
        </w:trPr>
        <w:tc>
          <w:tcPr>
            <w:tcW w:w="1876" w:type="dxa"/>
            <w:vAlign w:val="center"/>
          </w:tcPr>
          <w:p w14:paraId="75210878" w14:textId="77777777" w:rsidR="00760AA9" w:rsidRPr="005470FD" w:rsidRDefault="00760AA9" w:rsidP="00760AA9">
            <w:pPr>
              <w:pStyle w:val="Tabletext"/>
              <w:rPr>
                <w:rStyle w:val="Emphasis"/>
                <w:sz w:val="22"/>
                <w:szCs w:val="20"/>
              </w:rPr>
            </w:pPr>
            <w:r w:rsidRPr="005470FD">
              <w:rPr>
                <w:rStyle w:val="Emphasis"/>
                <w:sz w:val="22"/>
                <w:szCs w:val="20"/>
              </w:rPr>
              <w:t xml:space="preserve">Older </w:t>
            </w:r>
            <w:proofErr w:type="gramStart"/>
            <w:r w:rsidRPr="005470FD">
              <w:rPr>
                <w:rStyle w:val="Emphasis"/>
                <w:sz w:val="22"/>
                <w:szCs w:val="20"/>
              </w:rPr>
              <w:t>home-owners</w:t>
            </w:r>
            <w:proofErr w:type="gramEnd"/>
          </w:p>
        </w:tc>
        <w:tc>
          <w:tcPr>
            <w:tcW w:w="1442" w:type="dxa"/>
            <w:shd w:val="clear" w:color="auto" w:fill="FFC6D3" w:themeFill="accent3" w:themeFillTint="33"/>
            <w:vAlign w:val="center"/>
          </w:tcPr>
          <w:p w14:paraId="0F4EE573" w14:textId="77777777" w:rsidR="00760AA9" w:rsidRPr="00854177" w:rsidRDefault="00760AA9" w:rsidP="00760AA9">
            <w:pPr>
              <w:pStyle w:val="Tabletext"/>
              <w:jc w:val="center"/>
              <w:rPr>
                <w:sz w:val="22"/>
              </w:rPr>
            </w:pPr>
            <w:r w:rsidRPr="00854177">
              <w:rPr>
                <w:sz w:val="22"/>
              </w:rPr>
              <w:t>Below average</w:t>
            </w:r>
          </w:p>
        </w:tc>
        <w:tc>
          <w:tcPr>
            <w:tcW w:w="1257" w:type="dxa"/>
            <w:vAlign w:val="center"/>
          </w:tcPr>
          <w:p w14:paraId="60C51802" w14:textId="77777777" w:rsidR="00760AA9" w:rsidRPr="00854177" w:rsidRDefault="00760AA9" w:rsidP="00760AA9">
            <w:pPr>
              <w:pStyle w:val="Tabletext"/>
              <w:jc w:val="center"/>
              <w:rPr>
                <w:sz w:val="22"/>
              </w:rPr>
            </w:pPr>
            <w:r w:rsidRPr="00854177">
              <w:rPr>
                <w:sz w:val="22"/>
              </w:rPr>
              <w:t>Average</w:t>
            </w:r>
          </w:p>
        </w:tc>
        <w:tc>
          <w:tcPr>
            <w:tcW w:w="1428" w:type="dxa"/>
            <w:vAlign w:val="center"/>
          </w:tcPr>
          <w:p w14:paraId="0436FD84" w14:textId="77777777" w:rsidR="00760AA9" w:rsidRPr="00854177" w:rsidRDefault="00760AA9" w:rsidP="00760AA9">
            <w:pPr>
              <w:pStyle w:val="Tabletext"/>
              <w:jc w:val="center"/>
              <w:rPr>
                <w:sz w:val="22"/>
              </w:rPr>
            </w:pPr>
            <w:r w:rsidRPr="00854177">
              <w:rPr>
                <w:sz w:val="22"/>
              </w:rPr>
              <w:t>Average</w:t>
            </w:r>
          </w:p>
        </w:tc>
        <w:tc>
          <w:tcPr>
            <w:tcW w:w="1136" w:type="dxa"/>
            <w:shd w:val="clear" w:color="auto" w:fill="B2FFCF" w:themeFill="accent6" w:themeFillTint="33"/>
            <w:vAlign w:val="center"/>
          </w:tcPr>
          <w:p w14:paraId="4CA85CF0" w14:textId="77777777" w:rsidR="00760AA9" w:rsidRPr="00854177" w:rsidRDefault="00760AA9" w:rsidP="00760AA9">
            <w:pPr>
              <w:pStyle w:val="Tabletext"/>
              <w:jc w:val="center"/>
              <w:rPr>
                <w:sz w:val="22"/>
              </w:rPr>
            </w:pPr>
            <w:r w:rsidRPr="00854177">
              <w:rPr>
                <w:sz w:val="22"/>
              </w:rPr>
              <w:t>Above average</w:t>
            </w:r>
          </w:p>
        </w:tc>
        <w:tc>
          <w:tcPr>
            <w:tcW w:w="1151" w:type="dxa"/>
            <w:vAlign w:val="center"/>
          </w:tcPr>
          <w:p w14:paraId="72022E90" w14:textId="77777777" w:rsidR="00760AA9" w:rsidRPr="00854177" w:rsidRDefault="00760AA9" w:rsidP="00760AA9">
            <w:pPr>
              <w:pStyle w:val="Tabletext"/>
              <w:jc w:val="center"/>
              <w:rPr>
                <w:sz w:val="22"/>
              </w:rPr>
            </w:pPr>
            <w:r w:rsidRPr="00854177">
              <w:rPr>
                <w:sz w:val="22"/>
              </w:rPr>
              <w:t>Average</w:t>
            </w:r>
          </w:p>
        </w:tc>
        <w:tc>
          <w:tcPr>
            <w:tcW w:w="1338" w:type="dxa"/>
            <w:shd w:val="clear" w:color="auto" w:fill="B2FFCF" w:themeFill="accent6" w:themeFillTint="33"/>
            <w:vAlign w:val="center"/>
          </w:tcPr>
          <w:p w14:paraId="58C1402C" w14:textId="77777777" w:rsidR="00760AA9" w:rsidRPr="00854177" w:rsidRDefault="00760AA9" w:rsidP="00760AA9">
            <w:pPr>
              <w:pStyle w:val="Tabletext"/>
              <w:jc w:val="center"/>
              <w:rPr>
                <w:sz w:val="22"/>
              </w:rPr>
            </w:pPr>
            <w:r w:rsidRPr="00854177">
              <w:rPr>
                <w:sz w:val="22"/>
              </w:rPr>
              <w:t>Above average</w:t>
            </w:r>
          </w:p>
        </w:tc>
      </w:tr>
      <w:tr w:rsidR="00760AA9" w14:paraId="4FB1063A" w14:textId="77777777" w:rsidTr="00760AA9">
        <w:trPr>
          <w:trHeight w:val="791"/>
        </w:trPr>
        <w:tc>
          <w:tcPr>
            <w:tcW w:w="1876" w:type="dxa"/>
            <w:vAlign w:val="center"/>
          </w:tcPr>
          <w:p w14:paraId="74254D79" w14:textId="77777777" w:rsidR="00760AA9" w:rsidRPr="005470FD" w:rsidRDefault="00760AA9" w:rsidP="00760AA9">
            <w:pPr>
              <w:pStyle w:val="Tabletext"/>
              <w:rPr>
                <w:rStyle w:val="Emphasis"/>
                <w:sz w:val="22"/>
                <w:szCs w:val="20"/>
              </w:rPr>
            </w:pPr>
            <w:r w:rsidRPr="005470FD">
              <w:rPr>
                <w:rStyle w:val="Emphasis"/>
                <w:sz w:val="22"/>
                <w:szCs w:val="20"/>
              </w:rPr>
              <w:t>Younger professionals</w:t>
            </w:r>
          </w:p>
        </w:tc>
        <w:tc>
          <w:tcPr>
            <w:tcW w:w="1442" w:type="dxa"/>
            <w:shd w:val="clear" w:color="auto" w:fill="B2FFCF" w:themeFill="accent6" w:themeFillTint="33"/>
            <w:vAlign w:val="center"/>
          </w:tcPr>
          <w:p w14:paraId="5619FE16" w14:textId="77777777" w:rsidR="00760AA9" w:rsidRPr="00854177" w:rsidRDefault="00760AA9" w:rsidP="00760AA9">
            <w:pPr>
              <w:pStyle w:val="Tabletext"/>
              <w:jc w:val="center"/>
              <w:rPr>
                <w:sz w:val="22"/>
              </w:rPr>
            </w:pPr>
            <w:r w:rsidRPr="00854177">
              <w:rPr>
                <w:sz w:val="22"/>
              </w:rPr>
              <w:t>Above average</w:t>
            </w:r>
          </w:p>
        </w:tc>
        <w:tc>
          <w:tcPr>
            <w:tcW w:w="1257" w:type="dxa"/>
            <w:shd w:val="clear" w:color="auto" w:fill="B2FFCF" w:themeFill="accent6" w:themeFillTint="33"/>
            <w:vAlign w:val="center"/>
          </w:tcPr>
          <w:p w14:paraId="3E3577D2" w14:textId="77777777" w:rsidR="00760AA9" w:rsidRPr="00854177" w:rsidRDefault="00760AA9" w:rsidP="00760AA9">
            <w:pPr>
              <w:pStyle w:val="Tabletext"/>
              <w:jc w:val="center"/>
              <w:rPr>
                <w:sz w:val="22"/>
              </w:rPr>
            </w:pPr>
            <w:r w:rsidRPr="00854177">
              <w:rPr>
                <w:sz w:val="22"/>
              </w:rPr>
              <w:t>Above average</w:t>
            </w:r>
          </w:p>
        </w:tc>
        <w:tc>
          <w:tcPr>
            <w:tcW w:w="1428" w:type="dxa"/>
            <w:vAlign w:val="center"/>
          </w:tcPr>
          <w:p w14:paraId="2442875C" w14:textId="77777777" w:rsidR="00760AA9" w:rsidRPr="00854177" w:rsidRDefault="00760AA9" w:rsidP="00760AA9">
            <w:pPr>
              <w:pStyle w:val="Tabletext"/>
              <w:jc w:val="center"/>
              <w:rPr>
                <w:sz w:val="22"/>
              </w:rPr>
            </w:pPr>
            <w:r w:rsidRPr="00854177">
              <w:rPr>
                <w:sz w:val="22"/>
              </w:rPr>
              <w:t>Average</w:t>
            </w:r>
          </w:p>
        </w:tc>
        <w:tc>
          <w:tcPr>
            <w:tcW w:w="1136" w:type="dxa"/>
            <w:vAlign w:val="center"/>
          </w:tcPr>
          <w:p w14:paraId="274FA69F" w14:textId="77777777" w:rsidR="00760AA9" w:rsidRPr="00854177" w:rsidRDefault="00760AA9" w:rsidP="00760AA9">
            <w:pPr>
              <w:pStyle w:val="Tabletext"/>
              <w:jc w:val="center"/>
              <w:rPr>
                <w:sz w:val="22"/>
              </w:rPr>
            </w:pPr>
            <w:r w:rsidRPr="00854177">
              <w:rPr>
                <w:sz w:val="22"/>
              </w:rPr>
              <w:t>Average</w:t>
            </w:r>
          </w:p>
        </w:tc>
        <w:tc>
          <w:tcPr>
            <w:tcW w:w="1151" w:type="dxa"/>
            <w:vAlign w:val="center"/>
          </w:tcPr>
          <w:p w14:paraId="35B7DF34" w14:textId="77777777" w:rsidR="00760AA9" w:rsidRPr="00854177" w:rsidRDefault="00760AA9" w:rsidP="00760AA9">
            <w:pPr>
              <w:pStyle w:val="Tabletext"/>
              <w:jc w:val="center"/>
              <w:rPr>
                <w:sz w:val="22"/>
              </w:rPr>
            </w:pPr>
            <w:r w:rsidRPr="00854177">
              <w:rPr>
                <w:sz w:val="22"/>
              </w:rPr>
              <w:t>Average</w:t>
            </w:r>
          </w:p>
        </w:tc>
        <w:tc>
          <w:tcPr>
            <w:tcW w:w="1338" w:type="dxa"/>
            <w:shd w:val="clear" w:color="auto" w:fill="FFC6D3" w:themeFill="accent3" w:themeFillTint="33"/>
            <w:vAlign w:val="center"/>
          </w:tcPr>
          <w:p w14:paraId="69FAA5A1" w14:textId="77777777" w:rsidR="00760AA9" w:rsidRPr="00854177" w:rsidRDefault="00760AA9" w:rsidP="00760AA9">
            <w:pPr>
              <w:pStyle w:val="Tabletext"/>
              <w:jc w:val="center"/>
              <w:rPr>
                <w:sz w:val="22"/>
              </w:rPr>
            </w:pPr>
            <w:r w:rsidRPr="00854177">
              <w:rPr>
                <w:sz w:val="22"/>
              </w:rPr>
              <w:t>Below average</w:t>
            </w:r>
          </w:p>
        </w:tc>
      </w:tr>
      <w:tr w:rsidR="00760AA9" w14:paraId="7957E5AC" w14:textId="77777777" w:rsidTr="00760AA9">
        <w:trPr>
          <w:trHeight w:val="639"/>
        </w:trPr>
        <w:tc>
          <w:tcPr>
            <w:tcW w:w="1876" w:type="dxa"/>
            <w:vAlign w:val="center"/>
          </w:tcPr>
          <w:p w14:paraId="5548B8C2" w14:textId="77777777" w:rsidR="00760AA9" w:rsidRPr="005470FD" w:rsidRDefault="00760AA9" w:rsidP="00760AA9">
            <w:pPr>
              <w:pStyle w:val="Tabletext"/>
              <w:rPr>
                <w:rStyle w:val="Emphasis"/>
                <w:sz w:val="22"/>
                <w:szCs w:val="20"/>
              </w:rPr>
            </w:pPr>
            <w:r w:rsidRPr="005470FD">
              <w:rPr>
                <w:rStyle w:val="Emphasis"/>
                <w:sz w:val="22"/>
                <w:szCs w:val="20"/>
              </w:rPr>
              <w:t>Environment-ally proactive</w:t>
            </w:r>
          </w:p>
        </w:tc>
        <w:tc>
          <w:tcPr>
            <w:tcW w:w="1442" w:type="dxa"/>
            <w:vAlign w:val="center"/>
          </w:tcPr>
          <w:p w14:paraId="61E4D493" w14:textId="77777777" w:rsidR="00760AA9" w:rsidRPr="00854177" w:rsidRDefault="00760AA9" w:rsidP="00760AA9">
            <w:pPr>
              <w:pStyle w:val="Tabletext"/>
              <w:jc w:val="center"/>
              <w:rPr>
                <w:sz w:val="22"/>
              </w:rPr>
            </w:pPr>
            <w:r w:rsidRPr="00854177">
              <w:rPr>
                <w:sz w:val="22"/>
              </w:rPr>
              <w:t>Average</w:t>
            </w:r>
          </w:p>
        </w:tc>
        <w:tc>
          <w:tcPr>
            <w:tcW w:w="1257" w:type="dxa"/>
            <w:shd w:val="clear" w:color="auto" w:fill="B2FFCF" w:themeFill="accent6" w:themeFillTint="33"/>
            <w:vAlign w:val="center"/>
          </w:tcPr>
          <w:p w14:paraId="22BBED09" w14:textId="77777777" w:rsidR="00760AA9" w:rsidRPr="00854177" w:rsidRDefault="00760AA9" w:rsidP="00760AA9">
            <w:pPr>
              <w:pStyle w:val="Tabletext"/>
              <w:jc w:val="center"/>
              <w:rPr>
                <w:sz w:val="22"/>
              </w:rPr>
            </w:pPr>
            <w:r w:rsidRPr="00854177">
              <w:rPr>
                <w:sz w:val="22"/>
              </w:rPr>
              <w:t>Above average</w:t>
            </w:r>
          </w:p>
        </w:tc>
        <w:tc>
          <w:tcPr>
            <w:tcW w:w="1428" w:type="dxa"/>
            <w:shd w:val="clear" w:color="auto" w:fill="B2FFCF" w:themeFill="accent6" w:themeFillTint="33"/>
            <w:vAlign w:val="center"/>
          </w:tcPr>
          <w:p w14:paraId="1E813FBF" w14:textId="77777777" w:rsidR="00760AA9" w:rsidRPr="00854177" w:rsidRDefault="00760AA9" w:rsidP="00760AA9">
            <w:pPr>
              <w:pStyle w:val="Tabletext"/>
              <w:jc w:val="center"/>
              <w:rPr>
                <w:sz w:val="22"/>
              </w:rPr>
            </w:pPr>
            <w:r w:rsidRPr="00854177">
              <w:rPr>
                <w:sz w:val="22"/>
              </w:rPr>
              <w:t>Above average</w:t>
            </w:r>
          </w:p>
        </w:tc>
        <w:tc>
          <w:tcPr>
            <w:tcW w:w="1136" w:type="dxa"/>
            <w:shd w:val="clear" w:color="auto" w:fill="B2FFCF" w:themeFill="accent6" w:themeFillTint="33"/>
            <w:vAlign w:val="center"/>
          </w:tcPr>
          <w:p w14:paraId="5F77552E" w14:textId="77777777" w:rsidR="00760AA9" w:rsidRPr="00854177" w:rsidRDefault="00760AA9" w:rsidP="00760AA9">
            <w:pPr>
              <w:pStyle w:val="Tabletext"/>
              <w:jc w:val="center"/>
              <w:rPr>
                <w:sz w:val="22"/>
              </w:rPr>
            </w:pPr>
            <w:r w:rsidRPr="00854177">
              <w:rPr>
                <w:sz w:val="22"/>
              </w:rPr>
              <w:t>Above average</w:t>
            </w:r>
          </w:p>
        </w:tc>
        <w:tc>
          <w:tcPr>
            <w:tcW w:w="1151" w:type="dxa"/>
            <w:shd w:val="clear" w:color="auto" w:fill="B2FFCF" w:themeFill="accent6" w:themeFillTint="33"/>
            <w:vAlign w:val="center"/>
          </w:tcPr>
          <w:p w14:paraId="000BBAE7" w14:textId="77777777" w:rsidR="00760AA9" w:rsidRPr="00854177" w:rsidRDefault="00760AA9" w:rsidP="00760AA9">
            <w:pPr>
              <w:pStyle w:val="Tabletext"/>
              <w:jc w:val="center"/>
              <w:rPr>
                <w:sz w:val="22"/>
              </w:rPr>
            </w:pPr>
            <w:r w:rsidRPr="00854177">
              <w:rPr>
                <w:sz w:val="22"/>
              </w:rPr>
              <w:t>Above average</w:t>
            </w:r>
          </w:p>
        </w:tc>
        <w:tc>
          <w:tcPr>
            <w:tcW w:w="1338" w:type="dxa"/>
            <w:vAlign w:val="center"/>
          </w:tcPr>
          <w:p w14:paraId="5D0DE6B0" w14:textId="77777777" w:rsidR="00760AA9" w:rsidRPr="00854177" w:rsidRDefault="00760AA9" w:rsidP="00760AA9">
            <w:pPr>
              <w:pStyle w:val="Tabletext"/>
              <w:jc w:val="center"/>
              <w:rPr>
                <w:sz w:val="22"/>
              </w:rPr>
            </w:pPr>
            <w:r w:rsidRPr="00854177">
              <w:rPr>
                <w:sz w:val="22"/>
              </w:rPr>
              <w:t>Average</w:t>
            </w:r>
          </w:p>
        </w:tc>
      </w:tr>
    </w:tbl>
    <w:p w14:paraId="3C12E900" w14:textId="77777777" w:rsidR="002E7DE6" w:rsidRDefault="002E7DE6" w:rsidP="004C0B34"/>
    <w:p w14:paraId="3C818608" w14:textId="33CFA847" w:rsidR="006109C9" w:rsidRDefault="00180611" w:rsidP="004C0B34">
      <w:r>
        <w:rPr>
          <w:noProof/>
        </w:rPr>
        <mc:AlternateContent>
          <mc:Choice Requires="wps">
            <w:drawing>
              <wp:anchor distT="0" distB="0" distL="114300" distR="114300" simplePos="0" relativeHeight="251658239" behindDoc="1" locked="0" layoutInCell="1" allowOverlap="1" wp14:anchorId="40777CB7" wp14:editId="4784BDCB">
                <wp:simplePos x="0" y="0"/>
                <wp:positionH relativeFrom="column">
                  <wp:posOffset>-93557</wp:posOffset>
                </wp:positionH>
                <wp:positionV relativeFrom="paragraph">
                  <wp:posOffset>272839</wp:posOffset>
                </wp:positionV>
                <wp:extent cx="6157595" cy="2450042"/>
                <wp:effectExtent l="0" t="0" r="14605" b="2667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57595" cy="245004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F323A" id="Rectangle 1" o:spid="_x0000_s1026" alt="&quot;&quot;" style="position:absolute;margin-left:-7.35pt;margin-top:21.5pt;width:484.85pt;height:192.9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" fillcolor="white [3212]" strokecolor="#00234c [1604]" strokeweight="1pt">
                <v:textbox inset="2.5mm"/>
              </v:rect>
            </w:pict>
          </mc:Fallback>
        </mc:AlternateContent>
      </w:r>
      <w:r w:rsidR="006109C9">
        <w:t>The following boxes provide an overview of each of the five resident segments.</w:t>
      </w:r>
    </w:p>
    <w:p w14:paraId="1247049A" w14:textId="77777777" w:rsidR="00180611" w:rsidRPr="00180611" w:rsidRDefault="00180611" w:rsidP="00180611">
      <w:r w:rsidRPr="00180611">
        <w:rPr>
          <w:b/>
          <w:bCs/>
          <w:u w:val="single"/>
        </w:rPr>
        <w:t>LOW-ACTION SCEPTICS</w:t>
      </w:r>
      <w:r w:rsidRPr="00180611">
        <w:rPr>
          <w:b/>
          <w:bCs/>
        </w:rPr>
        <w:t xml:space="preserve"> (least engaged)</w:t>
      </w:r>
    </w:p>
    <w:p w14:paraId="4988557F" w14:textId="77777777" w:rsidR="00180611" w:rsidRPr="00180611" w:rsidRDefault="00180611" w:rsidP="00180611">
      <w:r w:rsidRPr="00180611">
        <w:rPr>
          <w:b/>
          <w:bCs/>
        </w:rPr>
        <w:t xml:space="preserve">Prevalence: </w:t>
      </w:r>
      <w:r w:rsidRPr="00180611">
        <w:t>28% of the Essex population</w:t>
      </w:r>
    </w:p>
    <w:p w14:paraId="0E44C2E7" w14:textId="77777777" w:rsidR="00180611" w:rsidRPr="00180611" w:rsidRDefault="00180611" w:rsidP="00180611">
      <w:r w:rsidRPr="00180611">
        <w:rPr>
          <w:b/>
          <w:bCs/>
        </w:rPr>
        <w:t>Profile:</w:t>
      </w:r>
      <w:r w:rsidRPr="00180611">
        <w:t xml:space="preserve"> This segment tends to be male, middle-aged, and work full-time, with children at home.</w:t>
      </w:r>
    </w:p>
    <w:p w14:paraId="7EF5E29E" w14:textId="77777777" w:rsidR="00180611" w:rsidRPr="00180611" w:rsidRDefault="00180611" w:rsidP="00180611">
      <w:r w:rsidRPr="00180611">
        <w:rPr>
          <w:b/>
          <w:bCs/>
        </w:rPr>
        <w:t>Behaviours:</w:t>
      </w:r>
      <w:r w:rsidRPr="00180611">
        <w:t xml:space="preserve"> They typically recycle but do few other positive behaviours.</w:t>
      </w:r>
    </w:p>
    <w:p w14:paraId="3A03CB46" w14:textId="77777777" w:rsidR="00180611" w:rsidRPr="00180611" w:rsidRDefault="00180611" w:rsidP="00180611">
      <w:r w:rsidRPr="00180611">
        <w:rPr>
          <w:b/>
          <w:bCs/>
        </w:rPr>
        <w:t>Barriers:</w:t>
      </w:r>
      <w:r w:rsidRPr="00180611">
        <w:t xml:space="preserve"> They feel time- and budget-restricted and are unlikely to go out of their way. They do not feel personally responsible for the environment.</w:t>
      </w:r>
    </w:p>
    <w:p w14:paraId="3E9A0A48" w14:textId="62D887DF" w:rsidR="00180611" w:rsidRDefault="00180611" w:rsidP="00180611">
      <w:r w:rsidRPr="00180611">
        <w:rPr>
          <w:b/>
          <w:bCs/>
        </w:rPr>
        <w:t>Opportunities:</w:t>
      </w:r>
      <w:r w:rsidRPr="00180611">
        <w:t xml:space="preserve"> Laddering up lower-effort behaviours like buying less plastic packaging.</w:t>
      </w:r>
    </w:p>
    <w:p w14:paraId="27E1656F" w14:textId="0CFD0AA0" w:rsidR="00180611" w:rsidRDefault="00180611" w:rsidP="00180611"/>
    <w:p w14:paraId="1F3B1026" w14:textId="5992379C" w:rsidR="00180611" w:rsidRPr="00180611" w:rsidRDefault="00180611" w:rsidP="00180611">
      <w:r>
        <w:rPr>
          <w:noProof/>
        </w:rPr>
        <w:lastRenderedPageBreak/>
        <mc:AlternateContent>
          <mc:Choice Requires="wps">
            <w:drawing>
              <wp:anchor distT="0" distB="0" distL="114300" distR="114300" simplePos="0" relativeHeight="251661312" behindDoc="1" locked="0" layoutInCell="1" allowOverlap="1" wp14:anchorId="596C3390" wp14:editId="0BD34EAC">
                <wp:simplePos x="0" y="0"/>
                <wp:positionH relativeFrom="margin">
                  <wp:posOffset>-59690</wp:posOffset>
                </wp:positionH>
                <wp:positionV relativeFrom="paragraph">
                  <wp:posOffset>-45085</wp:posOffset>
                </wp:positionV>
                <wp:extent cx="6215803" cy="2543175"/>
                <wp:effectExtent l="0" t="0" r="1397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15803" cy="2543175"/>
                        </a:xfrm>
                        <a:prstGeom prst="rect">
                          <a:avLst/>
                        </a:prstGeom>
                        <a:solidFill>
                          <a:sysClr val="window" lastClr="FFFFFF"/>
                        </a:solidFill>
                        <a:ln w="12700" cap="flat" cmpd="sng" algn="ctr">
                          <a:solidFill>
                            <a:srgbClr val="00489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77DFE" id="Rectangle 4" o:spid="_x0000_s1026" alt="&quot;&quot;" style="position:absolute;margin-left:-4.7pt;margin-top:-3.55pt;width:489.45pt;height:20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" fillcolor="window" strokecolor="#00326f" strokeweight="1pt">
                <w10:wrap anchorx="margin"/>
              </v:rect>
            </w:pict>
          </mc:Fallback>
        </mc:AlternateContent>
      </w:r>
      <w:r w:rsidRPr="00180611">
        <w:rPr>
          <w:b/>
          <w:bCs/>
          <w:u w:val="single"/>
        </w:rPr>
        <w:t>LOW-INCOME RENTERS</w:t>
      </w:r>
    </w:p>
    <w:p w14:paraId="37E75799" w14:textId="77777777" w:rsidR="00180611" w:rsidRPr="00180611" w:rsidRDefault="00180611" w:rsidP="00180611">
      <w:pPr>
        <w:rPr>
          <w:b/>
          <w:bCs/>
        </w:rPr>
      </w:pPr>
      <w:r w:rsidRPr="00180611">
        <w:rPr>
          <w:b/>
          <w:bCs/>
        </w:rPr>
        <w:t>Prevalence:</w:t>
      </w:r>
      <w:r w:rsidRPr="00180611">
        <w:t xml:space="preserve"> 10% of the Essex population</w:t>
      </w:r>
      <w:r w:rsidRPr="00180611">
        <w:rPr>
          <w:b/>
          <w:bCs/>
        </w:rPr>
        <w:t xml:space="preserve"> </w:t>
      </w:r>
    </w:p>
    <w:p w14:paraId="41186199" w14:textId="77777777" w:rsidR="00180611" w:rsidRPr="00180611" w:rsidRDefault="00180611" w:rsidP="00180611">
      <w:r w:rsidRPr="00180611">
        <w:rPr>
          <w:b/>
          <w:bCs/>
        </w:rPr>
        <w:t>Profile:</w:t>
      </w:r>
      <w:r w:rsidRPr="00180611">
        <w:t xml:space="preserve"> Typically older residents (65+) who are less financially secure</w:t>
      </w:r>
    </w:p>
    <w:p w14:paraId="5F64FC54" w14:textId="77777777" w:rsidR="00180611" w:rsidRPr="00180611" w:rsidRDefault="00180611" w:rsidP="00180611">
      <w:r w:rsidRPr="00180611">
        <w:rPr>
          <w:b/>
          <w:bCs/>
        </w:rPr>
        <w:t>Behaviours:</w:t>
      </w:r>
      <w:r w:rsidRPr="00180611">
        <w:t xml:space="preserve"> They typically have some meat-free days, try to conserve </w:t>
      </w:r>
      <w:proofErr w:type="gramStart"/>
      <w:r w:rsidRPr="00180611">
        <w:t>energy</w:t>
      </w:r>
      <w:proofErr w:type="gramEnd"/>
      <w:r w:rsidRPr="00180611">
        <w:t xml:space="preserve"> and use public transport.</w:t>
      </w:r>
    </w:p>
    <w:p w14:paraId="403102E0" w14:textId="77777777" w:rsidR="00180611" w:rsidRPr="00180611" w:rsidRDefault="00180611" w:rsidP="00180611">
      <w:r w:rsidRPr="00180611">
        <w:rPr>
          <w:b/>
          <w:bCs/>
        </w:rPr>
        <w:t>Barriers:</w:t>
      </w:r>
      <w:r w:rsidRPr="00180611">
        <w:t xml:space="preserve"> Cost and time are their core priorities and key barriers to change. They also lack access to some services.</w:t>
      </w:r>
    </w:p>
    <w:p w14:paraId="3348157B" w14:textId="77777777" w:rsidR="00180611" w:rsidRPr="00180611" w:rsidRDefault="00180611" w:rsidP="00180611">
      <w:r w:rsidRPr="00180611">
        <w:rPr>
          <w:b/>
          <w:bCs/>
        </w:rPr>
        <w:t>Opportunities:</w:t>
      </w:r>
      <w:r w:rsidRPr="00180611">
        <w:t xml:space="preserve"> Laddering up lower-cost behaviours like meat-free days and reducing food waste.</w:t>
      </w:r>
    </w:p>
    <w:p w14:paraId="18430702" w14:textId="54498860" w:rsidR="00180611" w:rsidRDefault="00180611" w:rsidP="004C0B34">
      <w:r>
        <w:rPr>
          <w:noProof/>
        </w:rPr>
        <mc:AlternateContent>
          <mc:Choice Requires="wps">
            <w:drawing>
              <wp:anchor distT="0" distB="0" distL="114300" distR="114300" simplePos="0" relativeHeight="251663360" behindDoc="1" locked="0" layoutInCell="1" allowOverlap="1" wp14:anchorId="2E2AA91C" wp14:editId="3573E89C">
                <wp:simplePos x="0" y="0"/>
                <wp:positionH relativeFrom="margin">
                  <wp:posOffset>-62230</wp:posOffset>
                </wp:positionH>
                <wp:positionV relativeFrom="paragraph">
                  <wp:posOffset>292947</wp:posOffset>
                </wp:positionV>
                <wp:extent cx="6224270" cy="2552700"/>
                <wp:effectExtent l="0" t="0" r="24130" b="190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4270" cy="2552700"/>
                        </a:xfrm>
                        <a:prstGeom prst="rect">
                          <a:avLst/>
                        </a:prstGeom>
                        <a:solidFill>
                          <a:sysClr val="window" lastClr="FFFFFF"/>
                        </a:solidFill>
                        <a:ln w="12700" cap="flat" cmpd="sng" algn="ctr">
                          <a:solidFill>
                            <a:srgbClr val="00489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E09FE" id="Rectangle 5" o:spid="_x0000_s1026" alt="&quot;&quot;" style="position:absolute;margin-left:-4.9pt;margin-top:23.05pt;width:490.1pt;height:20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" fillcolor="window" strokecolor="#00326f" strokeweight="1pt">
                <w10:wrap anchorx="margin"/>
              </v:rect>
            </w:pict>
          </mc:Fallback>
        </mc:AlternateContent>
      </w:r>
    </w:p>
    <w:p w14:paraId="3DEF9BFC" w14:textId="12BF69C6" w:rsidR="00180611" w:rsidRPr="00180611" w:rsidRDefault="00180611" w:rsidP="00180611">
      <w:r w:rsidRPr="00180611">
        <w:rPr>
          <w:b/>
          <w:bCs/>
          <w:u w:val="single"/>
        </w:rPr>
        <w:t>OLDER HOME-OWNERS</w:t>
      </w:r>
    </w:p>
    <w:p w14:paraId="2C3FDDDA" w14:textId="77777777" w:rsidR="00180611" w:rsidRPr="00180611" w:rsidRDefault="00180611" w:rsidP="00180611">
      <w:pPr>
        <w:rPr>
          <w:b/>
          <w:bCs/>
        </w:rPr>
      </w:pPr>
      <w:r w:rsidRPr="00180611">
        <w:rPr>
          <w:b/>
          <w:bCs/>
        </w:rPr>
        <w:t>Prevalence:</w:t>
      </w:r>
      <w:r w:rsidRPr="00180611">
        <w:t xml:space="preserve"> 24% of the Essex population</w:t>
      </w:r>
      <w:r w:rsidRPr="00180611">
        <w:rPr>
          <w:b/>
          <w:bCs/>
        </w:rPr>
        <w:t xml:space="preserve"> </w:t>
      </w:r>
    </w:p>
    <w:p w14:paraId="292EBCBA" w14:textId="77777777" w:rsidR="00180611" w:rsidRPr="00180611" w:rsidRDefault="00180611" w:rsidP="00180611">
      <w:r w:rsidRPr="00180611">
        <w:rPr>
          <w:b/>
          <w:bCs/>
        </w:rPr>
        <w:t>Profile:</w:t>
      </w:r>
      <w:r w:rsidRPr="00180611">
        <w:t xml:space="preserve"> Tend to be relatively affluent ‘empty-nesters’ who are moving towards retirement. </w:t>
      </w:r>
    </w:p>
    <w:p w14:paraId="010AFED2" w14:textId="77777777" w:rsidR="00180611" w:rsidRPr="00180611" w:rsidRDefault="00180611" w:rsidP="00180611">
      <w:r w:rsidRPr="00180611">
        <w:rPr>
          <w:b/>
          <w:bCs/>
        </w:rPr>
        <w:t>Behaviours:</w:t>
      </w:r>
      <w:r w:rsidRPr="00180611">
        <w:t xml:space="preserve"> They typically recycle, have some meat-free </w:t>
      </w:r>
      <w:proofErr w:type="gramStart"/>
      <w:r w:rsidRPr="00180611">
        <w:t>days</w:t>
      </w:r>
      <w:proofErr w:type="gramEnd"/>
      <w:r w:rsidRPr="00180611">
        <w:t xml:space="preserve"> and have some home upgrades.</w:t>
      </w:r>
    </w:p>
    <w:p w14:paraId="1DDE6A33" w14:textId="77777777" w:rsidR="00180611" w:rsidRPr="00180611" w:rsidRDefault="00180611" w:rsidP="00180611">
      <w:r w:rsidRPr="00180611">
        <w:rPr>
          <w:b/>
          <w:bCs/>
        </w:rPr>
        <w:t>Barriers:</w:t>
      </w:r>
      <w:r w:rsidRPr="00180611">
        <w:t xml:space="preserve"> They lack awareness and knowledge about eco-energy behaviours and newer kinds of home upgrades – and a sense of the benefits.  </w:t>
      </w:r>
    </w:p>
    <w:p w14:paraId="789CEAEF" w14:textId="6343F199" w:rsidR="00180611" w:rsidRDefault="00180611" w:rsidP="00180611">
      <w:r w:rsidRPr="00180611">
        <w:rPr>
          <w:b/>
          <w:bCs/>
        </w:rPr>
        <w:t>Opportunities:</w:t>
      </w:r>
      <w:r w:rsidRPr="00180611">
        <w:t xml:space="preserve"> Increase awareness of energy and upgrade opportunities and persuade on their benefits.</w:t>
      </w:r>
    </w:p>
    <w:p w14:paraId="40985E9D" w14:textId="1FFF7C8E" w:rsidR="00180611" w:rsidRDefault="00180611" w:rsidP="00180611">
      <w:r>
        <w:rPr>
          <w:noProof/>
        </w:rPr>
        <mc:AlternateContent>
          <mc:Choice Requires="wps">
            <w:drawing>
              <wp:anchor distT="0" distB="0" distL="114300" distR="114300" simplePos="0" relativeHeight="251665408" behindDoc="1" locked="0" layoutInCell="1" allowOverlap="1" wp14:anchorId="2C0D78AB" wp14:editId="6C912138">
                <wp:simplePos x="0" y="0"/>
                <wp:positionH relativeFrom="margin">
                  <wp:posOffset>-68580</wp:posOffset>
                </wp:positionH>
                <wp:positionV relativeFrom="paragraph">
                  <wp:posOffset>260562</wp:posOffset>
                </wp:positionV>
                <wp:extent cx="6224270" cy="2472267"/>
                <wp:effectExtent l="0" t="0" r="24130" b="2349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4270" cy="2472267"/>
                        </a:xfrm>
                        <a:prstGeom prst="rect">
                          <a:avLst/>
                        </a:prstGeom>
                        <a:solidFill>
                          <a:sysClr val="window" lastClr="FFFFFF"/>
                        </a:solidFill>
                        <a:ln w="12700" cap="flat" cmpd="sng" algn="ctr">
                          <a:solidFill>
                            <a:srgbClr val="00489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DA721" id="Rectangle 9" o:spid="_x0000_s1026" alt="&quot;&quot;" style="position:absolute;margin-left:-5.4pt;margin-top:20.5pt;width:490.1pt;height:194.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" fillcolor="window" strokecolor="#00326f" strokeweight="1pt">
                <w10:wrap anchorx="margin"/>
              </v:rect>
            </w:pict>
          </mc:Fallback>
        </mc:AlternateContent>
      </w:r>
    </w:p>
    <w:p w14:paraId="1BEB07EF" w14:textId="7B240C45" w:rsidR="00180611" w:rsidRPr="00180611" w:rsidRDefault="00180611" w:rsidP="00180611">
      <w:r w:rsidRPr="00180611">
        <w:rPr>
          <w:b/>
          <w:bCs/>
          <w:u w:val="single"/>
        </w:rPr>
        <w:t>YOUNGER PROFESSIONALS</w:t>
      </w:r>
    </w:p>
    <w:p w14:paraId="229C2315" w14:textId="339E633D" w:rsidR="00180611" w:rsidRPr="00180611" w:rsidRDefault="00180611" w:rsidP="00180611">
      <w:pPr>
        <w:rPr>
          <w:b/>
          <w:bCs/>
        </w:rPr>
      </w:pPr>
      <w:r w:rsidRPr="00180611">
        <w:rPr>
          <w:b/>
          <w:bCs/>
        </w:rPr>
        <w:t>Prevalence:</w:t>
      </w:r>
      <w:r w:rsidRPr="00180611">
        <w:t xml:space="preserve"> 25% of the Essex population</w:t>
      </w:r>
      <w:r w:rsidRPr="00180611">
        <w:rPr>
          <w:b/>
          <w:bCs/>
        </w:rPr>
        <w:t xml:space="preserve"> </w:t>
      </w:r>
    </w:p>
    <w:p w14:paraId="5AFAAC80" w14:textId="70BB1BEC" w:rsidR="00180611" w:rsidRPr="00180611" w:rsidRDefault="00180611" w:rsidP="00180611">
      <w:r w:rsidRPr="00180611">
        <w:rPr>
          <w:b/>
          <w:bCs/>
        </w:rPr>
        <w:t>Profile:</w:t>
      </w:r>
      <w:r w:rsidRPr="00180611">
        <w:t xml:space="preserve"> Typically young couples (without children or with young children) in stable jobs.</w:t>
      </w:r>
    </w:p>
    <w:p w14:paraId="5DB89C77" w14:textId="740CB475" w:rsidR="00180611" w:rsidRPr="00180611" w:rsidRDefault="00180611" w:rsidP="00180611">
      <w:r w:rsidRPr="00180611">
        <w:rPr>
          <w:b/>
          <w:bCs/>
        </w:rPr>
        <w:t>Behaviours:</w:t>
      </w:r>
      <w:r w:rsidRPr="00180611">
        <w:t xml:space="preserve"> Engaged with eco behaviours across waste, shopping, </w:t>
      </w:r>
      <w:proofErr w:type="gramStart"/>
      <w:r w:rsidRPr="00180611">
        <w:t>food</w:t>
      </w:r>
      <w:proofErr w:type="gramEnd"/>
      <w:r w:rsidRPr="00180611">
        <w:t xml:space="preserve"> and transport.</w:t>
      </w:r>
    </w:p>
    <w:p w14:paraId="0E5765A3" w14:textId="096FC5AF" w:rsidR="00180611" w:rsidRPr="00180611" w:rsidRDefault="00180611" w:rsidP="00180611">
      <w:r w:rsidRPr="00180611">
        <w:rPr>
          <w:b/>
          <w:bCs/>
        </w:rPr>
        <w:t>Barriers:</w:t>
      </w:r>
      <w:r w:rsidRPr="00180611">
        <w:t xml:space="preserve"> Lack of awareness, knowledge and prioritisation in energy, </w:t>
      </w:r>
      <w:proofErr w:type="gramStart"/>
      <w:r w:rsidRPr="00180611">
        <w:t>transport</w:t>
      </w:r>
      <w:proofErr w:type="gramEnd"/>
      <w:r w:rsidRPr="00180611">
        <w:t xml:space="preserve"> and home upgrades – and lacking a sense of benefit.</w:t>
      </w:r>
    </w:p>
    <w:p w14:paraId="49E2E0FA" w14:textId="77777777" w:rsidR="00180611" w:rsidRPr="00180611" w:rsidRDefault="00180611" w:rsidP="00180611">
      <w:r w:rsidRPr="00180611">
        <w:rPr>
          <w:b/>
          <w:bCs/>
        </w:rPr>
        <w:t>Opportunities:</w:t>
      </w:r>
      <w:r w:rsidRPr="00180611">
        <w:t xml:space="preserve"> Leverage environmental engagement to drive positive behaviours where there are gaps.</w:t>
      </w:r>
    </w:p>
    <w:p w14:paraId="31BED2CD" w14:textId="6A3ECC50" w:rsidR="00180611" w:rsidRDefault="00180611" w:rsidP="00180611"/>
    <w:p w14:paraId="4F6595CC" w14:textId="3B0FAD9B" w:rsidR="00180611" w:rsidRDefault="00180611" w:rsidP="00180611">
      <w:pPr>
        <w:rPr>
          <w:b/>
          <w:bCs/>
          <w:u w:val="single"/>
        </w:rPr>
      </w:pPr>
    </w:p>
    <w:p w14:paraId="0F5A0247" w14:textId="6383D6F8" w:rsidR="00180611" w:rsidRPr="00180611" w:rsidRDefault="00766B77" w:rsidP="00180611">
      <w:r>
        <w:rPr>
          <w:noProof/>
        </w:rPr>
        <w:lastRenderedPageBreak/>
        <mc:AlternateContent>
          <mc:Choice Requires="wps">
            <w:drawing>
              <wp:anchor distT="0" distB="0" distL="114300" distR="114300" simplePos="0" relativeHeight="251667456" behindDoc="1" locked="0" layoutInCell="1" allowOverlap="1" wp14:anchorId="10120517" wp14:editId="5A226693">
                <wp:simplePos x="0" y="0"/>
                <wp:positionH relativeFrom="margin">
                  <wp:posOffset>-76623</wp:posOffset>
                </wp:positionH>
                <wp:positionV relativeFrom="paragraph">
                  <wp:posOffset>-104352</wp:posOffset>
                </wp:positionV>
                <wp:extent cx="6224270" cy="2429934"/>
                <wp:effectExtent l="0" t="0" r="24130" b="2794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24270" cy="2429934"/>
                        </a:xfrm>
                        <a:prstGeom prst="rect">
                          <a:avLst/>
                        </a:prstGeom>
                        <a:solidFill>
                          <a:sysClr val="window" lastClr="FFFFFF"/>
                        </a:solidFill>
                        <a:ln w="12700" cap="flat" cmpd="sng" algn="ctr">
                          <a:solidFill>
                            <a:srgbClr val="004899">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FA6D8" id="Rectangle 13" o:spid="_x0000_s1026" alt="&quot;&quot;" style="position:absolute;margin-left:-6.05pt;margin-top:-8.2pt;width:490.1pt;height:191.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" fillcolor="window" strokecolor="#00326f" strokeweight="1pt">
                <w10:wrap anchorx="margin"/>
              </v:rect>
            </w:pict>
          </mc:Fallback>
        </mc:AlternateContent>
      </w:r>
      <w:r w:rsidR="00180611" w:rsidRPr="00180611">
        <w:rPr>
          <w:b/>
          <w:bCs/>
          <w:u w:val="single"/>
        </w:rPr>
        <w:t>ENVIRONMENTALLY PROACTIVE</w:t>
      </w:r>
      <w:r w:rsidR="00180611" w:rsidRPr="00180611">
        <w:rPr>
          <w:b/>
          <w:bCs/>
        </w:rPr>
        <w:t xml:space="preserve"> (most engaged)</w:t>
      </w:r>
    </w:p>
    <w:p w14:paraId="0B160D14" w14:textId="77777777" w:rsidR="00180611" w:rsidRPr="00180611" w:rsidRDefault="00180611" w:rsidP="00180611">
      <w:pPr>
        <w:rPr>
          <w:b/>
          <w:bCs/>
        </w:rPr>
      </w:pPr>
      <w:r w:rsidRPr="00180611">
        <w:rPr>
          <w:b/>
          <w:bCs/>
        </w:rPr>
        <w:t>Prevalence:</w:t>
      </w:r>
      <w:r w:rsidRPr="00180611">
        <w:t xml:space="preserve"> 14% of the Essex population</w:t>
      </w:r>
      <w:r w:rsidRPr="00180611">
        <w:rPr>
          <w:b/>
          <w:bCs/>
        </w:rPr>
        <w:t xml:space="preserve"> </w:t>
      </w:r>
    </w:p>
    <w:p w14:paraId="68005CFA" w14:textId="77777777" w:rsidR="00180611" w:rsidRPr="00180611" w:rsidRDefault="00180611" w:rsidP="00180611">
      <w:r w:rsidRPr="00180611">
        <w:rPr>
          <w:b/>
          <w:bCs/>
        </w:rPr>
        <w:t>Profile:</w:t>
      </w:r>
      <w:r w:rsidRPr="00180611">
        <w:t xml:space="preserve"> Lean towards young to middle-aged affluent females (likely with kids at home).</w:t>
      </w:r>
    </w:p>
    <w:p w14:paraId="70FBE32B" w14:textId="77777777" w:rsidR="00180611" w:rsidRPr="00180611" w:rsidRDefault="00180611" w:rsidP="00180611">
      <w:r w:rsidRPr="00180611">
        <w:rPr>
          <w:b/>
          <w:bCs/>
        </w:rPr>
        <w:t>Behaviours:</w:t>
      </w:r>
      <w:r w:rsidRPr="00180611">
        <w:t xml:space="preserve"> Highly engaged with positive behaviours across all areas except transport.</w:t>
      </w:r>
    </w:p>
    <w:p w14:paraId="0A46EE99" w14:textId="77777777" w:rsidR="00180611" w:rsidRPr="00180611" w:rsidRDefault="00180611" w:rsidP="00180611">
      <w:r w:rsidRPr="00180611">
        <w:rPr>
          <w:b/>
          <w:bCs/>
        </w:rPr>
        <w:t>Barriers:</w:t>
      </w:r>
      <w:r w:rsidRPr="00180611">
        <w:t xml:space="preserve"> Some lack of awareness with newer home upgrades; a sense they’re doing their bit so don’t need to act in other areas.</w:t>
      </w:r>
    </w:p>
    <w:p w14:paraId="5E3C0E5D" w14:textId="77777777" w:rsidR="00180611" w:rsidRPr="00180611" w:rsidRDefault="00180611" w:rsidP="00180611">
      <w:r w:rsidRPr="00180611">
        <w:rPr>
          <w:b/>
          <w:bCs/>
        </w:rPr>
        <w:t>Opportunities:</w:t>
      </w:r>
      <w:r w:rsidRPr="00180611">
        <w:t xml:space="preserve"> Leverage environmental engagement to drive positive behaviours in the home.</w:t>
      </w:r>
    </w:p>
    <w:p w14:paraId="0318FE1B" w14:textId="77777777" w:rsidR="009317C7" w:rsidRPr="00CA236A" w:rsidRDefault="002E7DE6" w:rsidP="00760AA9">
      <w:pPr>
        <w:pStyle w:val="Heading3"/>
        <w:spacing w:before="480"/>
      </w:pPr>
      <w:bookmarkStart w:id="7" w:name="_Toc77688210"/>
      <w:r w:rsidRPr="002E7DE6">
        <w:t>Exploring climate action behaviours</w:t>
      </w:r>
      <w:bookmarkEnd w:id="7"/>
    </w:p>
    <w:p w14:paraId="70D9032F" w14:textId="77777777" w:rsidR="00854177" w:rsidRDefault="00854177" w:rsidP="009317C7">
      <w:r>
        <w:t>The qualitative research</w:t>
      </w:r>
      <w:r w:rsidR="009317C7" w:rsidRPr="009317C7">
        <w:t xml:space="preserve"> explore</w:t>
      </w:r>
      <w:r>
        <w:t>d</w:t>
      </w:r>
      <w:r w:rsidR="009317C7" w:rsidRPr="009317C7">
        <w:t xml:space="preserve"> two areas of climate action behaviour with each segment</w:t>
      </w:r>
      <w:r w:rsidR="009317C7">
        <w:t>. A</w:t>
      </w:r>
      <w:r w:rsidR="009317C7" w:rsidRPr="009317C7">
        <w:t>reas were chosen based on where there was deemed greatest opportunity for change for each segment</w:t>
      </w:r>
      <w:r w:rsidR="009317C7">
        <w:t>.</w:t>
      </w:r>
      <w:r>
        <w:t xml:space="preserve"> </w:t>
      </w:r>
      <w:r w:rsidR="009317C7" w:rsidRPr="009317C7">
        <w:t xml:space="preserve">Within each area, there were </w:t>
      </w:r>
      <w:r>
        <w:t>two to three</w:t>
      </w:r>
      <w:r w:rsidR="009317C7" w:rsidRPr="009317C7">
        <w:t xml:space="preserve"> target behaviours </w:t>
      </w:r>
      <w:r>
        <w:t>that were</w:t>
      </w:r>
      <w:r w:rsidR="009317C7" w:rsidRPr="009317C7">
        <w:t xml:space="preserve"> explored in detail</w:t>
      </w:r>
      <w:r w:rsidR="006F5963">
        <w:t>. These are shown in Table 2 below.</w:t>
      </w:r>
    </w:p>
    <w:p w14:paraId="505C16D0" w14:textId="77777777" w:rsidR="006F5963" w:rsidRPr="006F5963" w:rsidRDefault="006F5963" w:rsidP="006F5963">
      <w:pPr>
        <w:rPr>
          <w:rStyle w:val="Strong"/>
        </w:rPr>
      </w:pPr>
      <w:r w:rsidRPr="006F5963">
        <w:rPr>
          <w:rStyle w:val="Strong"/>
        </w:rPr>
        <w:t xml:space="preserve">Table </w:t>
      </w:r>
      <w:r>
        <w:rPr>
          <w:rStyle w:val="Strong"/>
        </w:rPr>
        <w:t>2</w:t>
      </w:r>
      <w:r w:rsidRPr="006F5963">
        <w:rPr>
          <w:rStyle w:val="Strong"/>
        </w:rPr>
        <w:t xml:space="preserve">: </w:t>
      </w:r>
      <w:r>
        <w:rPr>
          <w:rStyle w:val="Strong"/>
        </w:rPr>
        <w:t>Climate action behaviours explored by theme and resident segment</w:t>
      </w:r>
    </w:p>
    <w:tbl>
      <w:tblPr>
        <w:tblStyle w:val="TableGrid"/>
        <w:tblW w:w="9634" w:type="dxa"/>
        <w:tblInd w:w="10" w:type="dxa"/>
        <w:tblCellMar>
          <w:top w:w="113" w:type="dxa"/>
          <w:left w:w="142" w:type="dxa"/>
          <w:bottom w:w="113" w:type="dxa"/>
          <w:right w:w="142" w:type="dxa"/>
        </w:tblCellMar>
        <w:tblLook w:val="04A0" w:firstRow="1" w:lastRow="0" w:firstColumn="1" w:lastColumn="0" w:noHBand="0" w:noVBand="1"/>
        <w:tblDescription w:val="Table with theme column, Behavious explored column, Segments the behavious were explored with column and rows divided by theme "/>
      </w:tblPr>
      <w:tblGrid>
        <w:gridCol w:w="1691"/>
        <w:gridCol w:w="5103"/>
        <w:gridCol w:w="2840"/>
      </w:tblGrid>
      <w:tr w:rsidR="00854177" w:rsidRPr="00613D87" w14:paraId="6366A2A8" w14:textId="77777777" w:rsidTr="007D2A5A">
        <w:trPr>
          <w:cnfStyle w:val="100000000000" w:firstRow="1" w:lastRow="0" w:firstColumn="0" w:lastColumn="0" w:oddVBand="0" w:evenVBand="0" w:oddHBand="0" w:evenHBand="0" w:firstRowFirstColumn="0" w:firstRowLastColumn="0" w:lastRowFirstColumn="0" w:lastRowLastColumn="0"/>
          <w:trHeight w:val="449"/>
        </w:trPr>
        <w:tc>
          <w:tcPr>
            <w:tcW w:w="1691" w:type="dxa"/>
            <w:vAlign w:val="center"/>
          </w:tcPr>
          <w:p w14:paraId="77E41A54" w14:textId="77777777" w:rsidR="00854177" w:rsidRPr="00613D87" w:rsidRDefault="007B43A6" w:rsidP="00326657">
            <w:pPr>
              <w:pStyle w:val="Tablecolumnheading"/>
            </w:pPr>
            <w:r>
              <w:t>Theme</w:t>
            </w:r>
          </w:p>
        </w:tc>
        <w:tc>
          <w:tcPr>
            <w:tcW w:w="5103" w:type="dxa"/>
            <w:vAlign w:val="center"/>
          </w:tcPr>
          <w:p w14:paraId="04D2F085" w14:textId="77777777" w:rsidR="00854177" w:rsidRPr="00613D87" w:rsidRDefault="007B43A6" w:rsidP="00854177">
            <w:pPr>
              <w:pStyle w:val="Tablecolumnheading"/>
            </w:pPr>
            <w:r>
              <w:t>Behaviours explored</w:t>
            </w:r>
          </w:p>
        </w:tc>
        <w:tc>
          <w:tcPr>
            <w:tcW w:w="2840" w:type="dxa"/>
            <w:vAlign w:val="center"/>
          </w:tcPr>
          <w:p w14:paraId="2B61D64A" w14:textId="77777777" w:rsidR="00854177" w:rsidRPr="00613D87" w:rsidRDefault="007B43A6" w:rsidP="00854177">
            <w:pPr>
              <w:pStyle w:val="Tablecolumnheading"/>
            </w:pPr>
            <w:r>
              <w:t>Segments the behaviours were explored with</w:t>
            </w:r>
          </w:p>
        </w:tc>
      </w:tr>
      <w:tr w:rsidR="007B43A6" w14:paraId="79EEB8E8" w14:textId="77777777" w:rsidTr="007D2A5A">
        <w:trPr>
          <w:cantSplit/>
          <w:trHeight w:val="950"/>
        </w:trPr>
        <w:tc>
          <w:tcPr>
            <w:tcW w:w="1691" w:type="dxa"/>
            <w:vAlign w:val="center"/>
          </w:tcPr>
          <w:p w14:paraId="737AF5B3" w14:textId="77777777" w:rsidR="007B43A6" w:rsidRPr="002E7DE6" w:rsidRDefault="007B43A6" w:rsidP="007B43A6">
            <w:pPr>
              <w:pStyle w:val="Tabletext"/>
              <w:rPr>
                <w:rStyle w:val="Emphasis"/>
                <w:bCs/>
                <w:iCs w:val="0"/>
                <w:sz w:val="22"/>
                <w:szCs w:val="20"/>
              </w:rPr>
            </w:pPr>
            <w:bookmarkStart w:id="8" w:name="_Hlk77678863"/>
            <w:r w:rsidRPr="002E7DE6">
              <w:rPr>
                <w:rStyle w:val="Emphasis"/>
                <w:bCs/>
                <w:iCs w:val="0"/>
                <w:sz w:val="22"/>
                <w:szCs w:val="20"/>
              </w:rPr>
              <w:t>Transport</w:t>
            </w:r>
          </w:p>
        </w:tc>
        <w:tc>
          <w:tcPr>
            <w:tcW w:w="5103" w:type="dxa"/>
            <w:shd w:val="clear" w:color="auto" w:fill="auto"/>
            <w:vAlign w:val="center"/>
          </w:tcPr>
          <w:p w14:paraId="4F30B8BB" w14:textId="77777777" w:rsidR="007B43A6" w:rsidRPr="00854177" w:rsidRDefault="007B43A6" w:rsidP="006F5963">
            <w:pPr>
              <w:pStyle w:val="Tabletext"/>
              <w:numPr>
                <w:ilvl w:val="0"/>
                <w:numId w:val="43"/>
              </w:numPr>
              <w:ind w:left="430"/>
              <w:rPr>
                <w:sz w:val="22"/>
                <w:szCs w:val="20"/>
              </w:rPr>
            </w:pPr>
            <w:r w:rsidRPr="00854177">
              <w:rPr>
                <w:sz w:val="22"/>
                <w:szCs w:val="20"/>
              </w:rPr>
              <w:t>Switching to public transport for some regular journeys</w:t>
            </w:r>
          </w:p>
          <w:p w14:paraId="1B2BBC92" w14:textId="77777777" w:rsidR="007B43A6" w:rsidRPr="00854177" w:rsidRDefault="007B43A6" w:rsidP="006F5963">
            <w:pPr>
              <w:pStyle w:val="Tabletext"/>
              <w:numPr>
                <w:ilvl w:val="0"/>
                <w:numId w:val="43"/>
              </w:numPr>
              <w:ind w:left="430"/>
              <w:rPr>
                <w:sz w:val="22"/>
                <w:szCs w:val="20"/>
              </w:rPr>
            </w:pPr>
            <w:r w:rsidRPr="00854177">
              <w:rPr>
                <w:sz w:val="22"/>
                <w:szCs w:val="20"/>
              </w:rPr>
              <w:t>Switching to active travel for some regular journeys</w:t>
            </w:r>
          </w:p>
          <w:p w14:paraId="77EDF052" w14:textId="77777777" w:rsidR="007B43A6" w:rsidRPr="002E7DE6" w:rsidRDefault="007B43A6" w:rsidP="006F5963">
            <w:pPr>
              <w:pStyle w:val="Tabletext"/>
              <w:numPr>
                <w:ilvl w:val="0"/>
                <w:numId w:val="43"/>
              </w:numPr>
              <w:ind w:left="430"/>
              <w:rPr>
                <w:sz w:val="22"/>
                <w:szCs w:val="20"/>
              </w:rPr>
            </w:pPr>
            <w:r w:rsidRPr="002E7DE6">
              <w:rPr>
                <w:sz w:val="22"/>
                <w:szCs w:val="20"/>
              </w:rPr>
              <w:t>Buying an electric vehicle</w:t>
            </w:r>
          </w:p>
        </w:tc>
        <w:tc>
          <w:tcPr>
            <w:tcW w:w="2840" w:type="dxa"/>
            <w:shd w:val="clear" w:color="auto" w:fill="auto"/>
            <w:vAlign w:val="center"/>
          </w:tcPr>
          <w:p w14:paraId="7E297E55" w14:textId="77777777" w:rsidR="007B43A6" w:rsidRPr="002E7DE6" w:rsidRDefault="007B43A6" w:rsidP="006F5963">
            <w:pPr>
              <w:pStyle w:val="Tabletext"/>
              <w:numPr>
                <w:ilvl w:val="0"/>
                <w:numId w:val="43"/>
              </w:numPr>
              <w:ind w:left="425"/>
              <w:rPr>
                <w:sz w:val="22"/>
                <w:szCs w:val="20"/>
              </w:rPr>
            </w:pPr>
            <w:r w:rsidRPr="002E7DE6">
              <w:rPr>
                <w:sz w:val="22"/>
                <w:szCs w:val="20"/>
              </w:rPr>
              <w:t>Low-action sceptics</w:t>
            </w:r>
          </w:p>
          <w:p w14:paraId="18E08F86" w14:textId="77777777" w:rsidR="007B43A6" w:rsidRPr="002E7DE6" w:rsidRDefault="007B43A6" w:rsidP="006F5963">
            <w:pPr>
              <w:pStyle w:val="Tabletext"/>
              <w:numPr>
                <w:ilvl w:val="0"/>
                <w:numId w:val="43"/>
              </w:numPr>
              <w:ind w:left="425"/>
              <w:rPr>
                <w:sz w:val="22"/>
                <w:szCs w:val="20"/>
              </w:rPr>
            </w:pPr>
            <w:r w:rsidRPr="002E7DE6">
              <w:rPr>
                <w:sz w:val="22"/>
                <w:szCs w:val="20"/>
              </w:rPr>
              <w:t>Environmentally proactive</w:t>
            </w:r>
          </w:p>
        </w:tc>
      </w:tr>
      <w:tr w:rsidR="007B43A6" w14:paraId="3B902A64" w14:textId="77777777" w:rsidTr="007D2A5A">
        <w:trPr>
          <w:cantSplit/>
          <w:trHeight w:val="406"/>
        </w:trPr>
        <w:tc>
          <w:tcPr>
            <w:tcW w:w="1691" w:type="dxa"/>
            <w:vAlign w:val="center"/>
          </w:tcPr>
          <w:p w14:paraId="56388315" w14:textId="77777777" w:rsidR="007B43A6" w:rsidRPr="002E7DE6" w:rsidRDefault="007B43A6" w:rsidP="007B43A6">
            <w:pPr>
              <w:pStyle w:val="Tabletext"/>
              <w:rPr>
                <w:rStyle w:val="Emphasis"/>
                <w:bCs/>
                <w:iCs w:val="0"/>
                <w:sz w:val="22"/>
                <w:szCs w:val="20"/>
              </w:rPr>
            </w:pPr>
            <w:r w:rsidRPr="002E7DE6">
              <w:rPr>
                <w:rStyle w:val="Emphasis"/>
                <w:bCs/>
                <w:iCs w:val="0"/>
                <w:sz w:val="22"/>
                <w:szCs w:val="20"/>
              </w:rPr>
              <w:t>F</w:t>
            </w:r>
            <w:r w:rsidRPr="002E7DE6">
              <w:rPr>
                <w:rStyle w:val="Emphasis"/>
                <w:bCs/>
                <w:sz w:val="22"/>
                <w:szCs w:val="20"/>
              </w:rPr>
              <w:t>ood</w:t>
            </w:r>
          </w:p>
        </w:tc>
        <w:tc>
          <w:tcPr>
            <w:tcW w:w="5103" w:type="dxa"/>
            <w:shd w:val="clear" w:color="auto" w:fill="auto"/>
            <w:vAlign w:val="center"/>
          </w:tcPr>
          <w:p w14:paraId="51099E8F" w14:textId="77777777" w:rsidR="007B43A6" w:rsidRPr="00854177" w:rsidRDefault="007B43A6" w:rsidP="006F5963">
            <w:pPr>
              <w:pStyle w:val="Tabletext"/>
              <w:numPr>
                <w:ilvl w:val="0"/>
                <w:numId w:val="39"/>
              </w:numPr>
              <w:ind w:left="430"/>
              <w:rPr>
                <w:sz w:val="22"/>
                <w:szCs w:val="20"/>
              </w:rPr>
            </w:pPr>
            <w:r w:rsidRPr="00854177">
              <w:rPr>
                <w:sz w:val="22"/>
                <w:szCs w:val="20"/>
              </w:rPr>
              <w:t>2 meat-free days a week</w:t>
            </w:r>
          </w:p>
          <w:p w14:paraId="7914BD4C" w14:textId="77777777" w:rsidR="007B43A6" w:rsidRPr="002E7DE6" w:rsidRDefault="007B43A6" w:rsidP="006F5963">
            <w:pPr>
              <w:pStyle w:val="Tabletext"/>
              <w:numPr>
                <w:ilvl w:val="0"/>
                <w:numId w:val="39"/>
              </w:numPr>
              <w:ind w:left="430"/>
              <w:rPr>
                <w:sz w:val="22"/>
                <w:szCs w:val="20"/>
              </w:rPr>
            </w:pPr>
            <w:r w:rsidRPr="002E7DE6">
              <w:rPr>
                <w:sz w:val="22"/>
                <w:szCs w:val="20"/>
              </w:rPr>
              <w:t>Reducing food waste</w:t>
            </w:r>
          </w:p>
        </w:tc>
        <w:tc>
          <w:tcPr>
            <w:tcW w:w="2840" w:type="dxa"/>
            <w:shd w:val="clear" w:color="auto" w:fill="auto"/>
            <w:vAlign w:val="center"/>
          </w:tcPr>
          <w:p w14:paraId="2BAEF549" w14:textId="77777777" w:rsidR="007B43A6" w:rsidRPr="002E7DE6" w:rsidRDefault="007B43A6" w:rsidP="006F5963">
            <w:pPr>
              <w:pStyle w:val="Tabletext"/>
              <w:numPr>
                <w:ilvl w:val="0"/>
                <w:numId w:val="39"/>
              </w:numPr>
              <w:ind w:left="425"/>
              <w:rPr>
                <w:sz w:val="22"/>
                <w:szCs w:val="20"/>
              </w:rPr>
            </w:pPr>
            <w:r w:rsidRPr="002E7DE6">
              <w:rPr>
                <w:sz w:val="22"/>
                <w:szCs w:val="20"/>
              </w:rPr>
              <w:t>Low-income renters</w:t>
            </w:r>
          </w:p>
          <w:p w14:paraId="7204C1EA" w14:textId="77777777" w:rsidR="007B43A6" w:rsidRPr="002E7DE6" w:rsidRDefault="007B43A6" w:rsidP="006F5963">
            <w:pPr>
              <w:pStyle w:val="Tabletext"/>
              <w:numPr>
                <w:ilvl w:val="0"/>
                <w:numId w:val="39"/>
              </w:numPr>
              <w:ind w:left="425"/>
              <w:rPr>
                <w:sz w:val="22"/>
                <w:szCs w:val="20"/>
              </w:rPr>
            </w:pPr>
            <w:r w:rsidRPr="002E7DE6">
              <w:rPr>
                <w:sz w:val="22"/>
                <w:szCs w:val="20"/>
              </w:rPr>
              <w:t>Younger professionals</w:t>
            </w:r>
          </w:p>
        </w:tc>
      </w:tr>
      <w:tr w:rsidR="007B43A6" w14:paraId="275F23A5" w14:textId="77777777" w:rsidTr="007D2A5A">
        <w:trPr>
          <w:cantSplit/>
          <w:trHeight w:val="635"/>
        </w:trPr>
        <w:tc>
          <w:tcPr>
            <w:tcW w:w="1691" w:type="dxa"/>
            <w:vAlign w:val="center"/>
          </w:tcPr>
          <w:p w14:paraId="24B705E3" w14:textId="77777777" w:rsidR="007B43A6" w:rsidRPr="002E7DE6" w:rsidRDefault="007B43A6" w:rsidP="007B43A6">
            <w:pPr>
              <w:pStyle w:val="Tabletext"/>
              <w:rPr>
                <w:rStyle w:val="Emphasis"/>
                <w:bCs/>
                <w:iCs w:val="0"/>
                <w:sz w:val="22"/>
                <w:szCs w:val="20"/>
              </w:rPr>
            </w:pPr>
            <w:r w:rsidRPr="002E7DE6">
              <w:rPr>
                <w:rStyle w:val="Emphasis"/>
                <w:bCs/>
                <w:iCs w:val="0"/>
                <w:sz w:val="22"/>
                <w:szCs w:val="20"/>
              </w:rPr>
              <w:t>Waste and recycling</w:t>
            </w:r>
          </w:p>
        </w:tc>
        <w:tc>
          <w:tcPr>
            <w:tcW w:w="5103" w:type="dxa"/>
            <w:shd w:val="clear" w:color="auto" w:fill="auto"/>
            <w:vAlign w:val="center"/>
          </w:tcPr>
          <w:p w14:paraId="1C699ADA" w14:textId="77777777" w:rsidR="007B43A6" w:rsidRPr="00854177" w:rsidRDefault="007B43A6" w:rsidP="006F5963">
            <w:pPr>
              <w:pStyle w:val="Tabletext"/>
              <w:numPr>
                <w:ilvl w:val="0"/>
                <w:numId w:val="40"/>
              </w:numPr>
              <w:ind w:left="430"/>
              <w:rPr>
                <w:sz w:val="22"/>
                <w:szCs w:val="20"/>
              </w:rPr>
            </w:pPr>
            <w:r w:rsidRPr="00854177">
              <w:rPr>
                <w:sz w:val="22"/>
                <w:szCs w:val="20"/>
              </w:rPr>
              <w:t>Buying fully recyclable / refillable packaging</w:t>
            </w:r>
          </w:p>
          <w:p w14:paraId="1A665851" w14:textId="45ECC062" w:rsidR="007B43A6" w:rsidRPr="002E7DE6" w:rsidRDefault="007B43A6" w:rsidP="006F5963">
            <w:pPr>
              <w:pStyle w:val="Tabletext"/>
              <w:numPr>
                <w:ilvl w:val="0"/>
                <w:numId w:val="40"/>
              </w:numPr>
              <w:ind w:left="430"/>
              <w:rPr>
                <w:sz w:val="22"/>
                <w:szCs w:val="20"/>
              </w:rPr>
            </w:pPr>
            <w:r w:rsidRPr="002E7DE6">
              <w:rPr>
                <w:sz w:val="22"/>
                <w:szCs w:val="20"/>
              </w:rPr>
              <w:t>Donating/selling/buying second-hand items</w:t>
            </w:r>
          </w:p>
        </w:tc>
        <w:tc>
          <w:tcPr>
            <w:tcW w:w="2840" w:type="dxa"/>
            <w:shd w:val="clear" w:color="auto" w:fill="auto"/>
            <w:vAlign w:val="center"/>
          </w:tcPr>
          <w:p w14:paraId="6356DAF7" w14:textId="77777777" w:rsidR="007B43A6" w:rsidRPr="002E7DE6" w:rsidRDefault="007B43A6" w:rsidP="006F5963">
            <w:pPr>
              <w:pStyle w:val="Tabletext"/>
              <w:numPr>
                <w:ilvl w:val="0"/>
                <w:numId w:val="40"/>
              </w:numPr>
              <w:ind w:left="425"/>
              <w:rPr>
                <w:sz w:val="22"/>
                <w:szCs w:val="20"/>
              </w:rPr>
            </w:pPr>
            <w:r w:rsidRPr="002E7DE6">
              <w:rPr>
                <w:sz w:val="22"/>
                <w:szCs w:val="20"/>
              </w:rPr>
              <w:t>Low-action sceptics</w:t>
            </w:r>
          </w:p>
          <w:p w14:paraId="161B10C5" w14:textId="77777777" w:rsidR="007B43A6" w:rsidRPr="002E7DE6" w:rsidRDefault="007B43A6" w:rsidP="006F5963">
            <w:pPr>
              <w:pStyle w:val="Tabletext"/>
              <w:numPr>
                <w:ilvl w:val="0"/>
                <w:numId w:val="40"/>
              </w:numPr>
              <w:ind w:left="425"/>
              <w:rPr>
                <w:sz w:val="22"/>
                <w:szCs w:val="20"/>
              </w:rPr>
            </w:pPr>
            <w:r w:rsidRPr="002E7DE6">
              <w:rPr>
                <w:sz w:val="22"/>
                <w:szCs w:val="20"/>
              </w:rPr>
              <w:t>Low-income renters</w:t>
            </w:r>
          </w:p>
        </w:tc>
      </w:tr>
      <w:tr w:rsidR="007B43A6" w14:paraId="23166693" w14:textId="77777777" w:rsidTr="007D2A5A">
        <w:trPr>
          <w:cantSplit/>
          <w:trHeight w:val="791"/>
        </w:trPr>
        <w:tc>
          <w:tcPr>
            <w:tcW w:w="1691" w:type="dxa"/>
            <w:vAlign w:val="center"/>
          </w:tcPr>
          <w:p w14:paraId="07E72EC3" w14:textId="77777777" w:rsidR="007B43A6" w:rsidRPr="002E7DE6" w:rsidRDefault="007B43A6" w:rsidP="007B43A6">
            <w:pPr>
              <w:pStyle w:val="Tabletext"/>
              <w:rPr>
                <w:rStyle w:val="Emphasis"/>
                <w:bCs/>
                <w:iCs w:val="0"/>
                <w:sz w:val="22"/>
                <w:szCs w:val="20"/>
              </w:rPr>
            </w:pPr>
            <w:r w:rsidRPr="002E7DE6">
              <w:rPr>
                <w:rStyle w:val="Emphasis"/>
                <w:bCs/>
                <w:iCs w:val="0"/>
                <w:sz w:val="22"/>
                <w:szCs w:val="20"/>
              </w:rPr>
              <w:t>E</w:t>
            </w:r>
            <w:r w:rsidRPr="002E7DE6">
              <w:rPr>
                <w:rStyle w:val="Emphasis"/>
                <w:bCs/>
                <w:sz w:val="22"/>
                <w:szCs w:val="20"/>
              </w:rPr>
              <w:t>nergy and utilities</w:t>
            </w:r>
          </w:p>
        </w:tc>
        <w:tc>
          <w:tcPr>
            <w:tcW w:w="5103" w:type="dxa"/>
            <w:shd w:val="clear" w:color="auto" w:fill="auto"/>
            <w:vAlign w:val="center"/>
          </w:tcPr>
          <w:p w14:paraId="4AF99CB2" w14:textId="77777777" w:rsidR="007B43A6" w:rsidRPr="00854177" w:rsidRDefault="007B43A6" w:rsidP="006F5963">
            <w:pPr>
              <w:pStyle w:val="Tabletext"/>
              <w:numPr>
                <w:ilvl w:val="0"/>
                <w:numId w:val="41"/>
              </w:numPr>
              <w:ind w:left="430"/>
              <w:rPr>
                <w:sz w:val="22"/>
                <w:szCs w:val="20"/>
              </w:rPr>
            </w:pPr>
            <w:r w:rsidRPr="00854177">
              <w:rPr>
                <w:sz w:val="22"/>
                <w:szCs w:val="20"/>
              </w:rPr>
              <w:t xml:space="preserve">Switching to a green energy supplier/tariff </w:t>
            </w:r>
          </w:p>
          <w:p w14:paraId="64FD38CC" w14:textId="77777777" w:rsidR="007B43A6" w:rsidRPr="00854177" w:rsidRDefault="007B43A6" w:rsidP="006F5963">
            <w:pPr>
              <w:pStyle w:val="Tabletext"/>
              <w:numPr>
                <w:ilvl w:val="0"/>
                <w:numId w:val="41"/>
              </w:numPr>
              <w:ind w:left="430"/>
              <w:rPr>
                <w:sz w:val="22"/>
                <w:szCs w:val="20"/>
              </w:rPr>
            </w:pPr>
            <w:r w:rsidRPr="00854177">
              <w:rPr>
                <w:sz w:val="22"/>
                <w:szCs w:val="20"/>
              </w:rPr>
              <w:t>Installing and using a smart meter to actively monitor energy usage</w:t>
            </w:r>
          </w:p>
          <w:p w14:paraId="6178C5AC" w14:textId="77777777" w:rsidR="007B43A6" w:rsidRPr="002E7DE6" w:rsidRDefault="007B43A6" w:rsidP="006F5963">
            <w:pPr>
              <w:pStyle w:val="Tabletext"/>
              <w:numPr>
                <w:ilvl w:val="0"/>
                <w:numId w:val="41"/>
              </w:numPr>
              <w:ind w:left="430"/>
              <w:rPr>
                <w:sz w:val="22"/>
                <w:szCs w:val="20"/>
              </w:rPr>
            </w:pPr>
            <w:r w:rsidRPr="002E7DE6">
              <w:rPr>
                <w:sz w:val="22"/>
                <w:szCs w:val="20"/>
              </w:rPr>
              <w:t>Installing solar panels / a heat pump</w:t>
            </w:r>
          </w:p>
        </w:tc>
        <w:tc>
          <w:tcPr>
            <w:tcW w:w="2840" w:type="dxa"/>
            <w:shd w:val="clear" w:color="auto" w:fill="auto"/>
            <w:vAlign w:val="center"/>
          </w:tcPr>
          <w:p w14:paraId="71442FF9" w14:textId="77777777" w:rsidR="007B43A6" w:rsidRPr="002E7DE6" w:rsidRDefault="007B43A6" w:rsidP="006F5963">
            <w:pPr>
              <w:pStyle w:val="Tabletext"/>
              <w:numPr>
                <w:ilvl w:val="0"/>
                <w:numId w:val="41"/>
              </w:numPr>
              <w:ind w:left="425"/>
              <w:rPr>
                <w:sz w:val="22"/>
                <w:szCs w:val="20"/>
              </w:rPr>
            </w:pPr>
            <w:r w:rsidRPr="002E7DE6">
              <w:rPr>
                <w:sz w:val="22"/>
                <w:szCs w:val="20"/>
              </w:rPr>
              <w:t xml:space="preserve">Older </w:t>
            </w:r>
            <w:proofErr w:type="gramStart"/>
            <w:r w:rsidRPr="002E7DE6">
              <w:rPr>
                <w:sz w:val="22"/>
                <w:szCs w:val="20"/>
              </w:rPr>
              <w:t>home-owners</w:t>
            </w:r>
            <w:proofErr w:type="gramEnd"/>
          </w:p>
          <w:p w14:paraId="5FF15127" w14:textId="77777777" w:rsidR="007B43A6" w:rsidRPr="002E7DE6" w:rsidRDefault="007B43A6" w:rsidP="006F5963">
            <w:pPr>
              <w:pStyle w:val="Tabletext"/>
              <w:numPr>
                <w:ilvl w:val="0"/>
                <w:numId w:val="41"/>
              </w:numPr>
              <w:ind w:left="425"/>
              <w:rPr>
                <w:sz w:val="22"/>
                <w:szCs w:val="20"/>
              </w:rPr>
            </w:pPr>
            <w:r w:rsidRPr="002E7DE6">
              <w:rPr>
                <w:sz w:val="22"/>
                <w:szCs w:val="20"/>
              </w:rPr>
              <w:t>Younger professionals</w:t>
            </w:r>
          </w:p>
          <w:p w14:paraId="47C31C02" w14:textId="77777777" w:rsidR="007B43A6" w:rsidRPr="002E7DE6" w:rsidRDefault="007B43A6" w:rsidP="006F5963">
            <w:pPr>
              <w:pStyle w:val="Tabletext"/>
              <w:ind w:left="425"/>
              <w:rPr>
                <w:sz w:val="22"/>
                <w:szCs w:val="20"/>
              </w:rPr>
            </w:pPr>
          </w:p>
        </w:tc>
      </w:tr>
      <w:tr w:rsidR="007B43A6" w14:paraId="0C1051A6" w14:textId="77777777" w:rsidTr="007D2A5A">
        <w:trPr>
          <w:cantSplit/>
          <w:trHeight w:val="639"/>
        </w:trPr>
        <w:tc>
          <w:tcPr>
            <w:tcW w:w="1691" w:type="dxa"/>
            <w:vAlign w:val="center"/>
          </w:tcPr>
          <w:p w14:paraId="2D69D3D2" w14:textId="7E07B6A8" w:rsidR="007B43A6" w:rsidRPr="002E7DE6" w:rsidRDefault="007B43A6" w:rsidP="007B43A6">
            <w:pPr>
              <w:pStyle w:val="Tabletext"/>
              <w:rPr>
                <w:rStyle w:val="Emphasis"/>
                <w:bCs/>
                <w:iCs w:val="0"/>
                <w:sz w:val="22"/>
                <w:szCs w:val="20"/>
              </w:rPr>
            </w:pPr>
            <w:r w:rsidRPr="002E7DE6">
              <w:rPr>
                <w:rStyle w:val="Emphasis"/>
                <w:bCs/>
                <w:iCs w:val="0"/>
                <w:sz w:val="22"/>
                <w:szCs w:val="20"/>
              </w:rPr>
              <w:t>H</w:t>
            </w:r>
            <w:r w:rsidRPr="002E7DE6">
              <w:rPr>
                <w:rStyle w:val="Emphasis"/>
                <w:bCs/>
                <w:sz w:val="22"/>
                <w:szCs w:val="20"/>
              </w:rPr>
              <w:t>ome</w:t>
            </w:r>
            <w:r w:rsidR="007D2A5A">
              <w:rPr>
                <w:rStyle w:val="Emphasis"/>
                <w:bCs/>
                <w:sz w:val="22"/>
                <w:szCs w:val="20"/>
              </w:rPr>
              <w:t xml:space="preserve"> </w:t>
            </w:r>
            <w:r w:rsidR="007D2A5A" w:rsidRPr="007D2A5A">
              <w:rPr>
                <w:rStyle w:val="Emphasis"/>
                <w:sz w:val="22"/>
                <w:szCs w:val="18"/>
              </w:rPr>
              <w:t>improvement</w:t>
            </w:r>
          </w:p>
        </w:tc>
        <w:tc>
          <w:tcPr>
            <w:tcW w:w="5103" w:type="dxa"/>
            <w:shd w:val="clear" w:color="auto" w:fill="auto"/>
            <w:vAlign w:val="center"/>
          </w:tcPr>
          <w:p w14:paraId="4FEFDE87" w14:textId="77777777" w:rsidR="007B43A6" w:rsidRPr="00854177" w:rsidRDefault="007B43A6" w:rsidP="006F5963">
            <w:pPr>
              <w:pStyle w:val="Tabletext"/>
              <w:numPr>
                <w:ilvl w:val="0"/>
                <w:numId w:val="42"/>
              </w:numPr>
              <w:ind w:left="430"/>
              <w:rPr>
                <w:sz w:val="22"/>
                <w:szCs w:val="20"/>
              </w:rPr>
            </w:pPr>
            <w:r w:rsidRPr="00854177">
              <w:rPr>
                <w:sz w:val="22"/>
                <w:szCs w:val="20"/>
              </w:rPr>
              <w:t xml:space="preserve">Installing greater insulation / double or triple glazing </w:t>
            </w:r>
          </w:p>
          <w:p w14:paraId="4038C692" w14:textId="77777777" w:rsidR="007B43A6" w:rsidRPr="002E7DE6" w:rsidRDefault="007B43A6" w:rsidP="006F5963">
            <w:pPr>
              <w:pStyle w:val="Tabletext"/>
              <w:numPr>
                <w:ilvl w:val="0"/>
                <w:numId w:val="42"/>
              </w:numPr>
              <w:ind w:left="430"/>
              <w:rPr>
                <w:sz w:val="22"/>
                <w:szCs w:val="20"/>
              </w:rPr>
            </w:pPr>
            <w:r w:rsidRPr="002E7DE6">
              <w:rPr>
                <w:sz w:val="22"/>
                <w:szCs w:val="20"/>
              </w:rPr>
              <w:t>Installing permeable paving / rewilding garden</w:t>
            </w:r>
          </w:p>
        </w:tc>
        <w:tc>
          <w:tcPr>
            <w:tcW w:w="2840" w:type="dxa"/>
            <w:shd w:val="clear" w:color="auto" w:fill="auto"/>
            <w:vAlign w:val="center"/>
          </w:tcPr>
          <w:p w14:paraId="5D26AD99" w14:textId="77777777" w:rsidR="007B43A6" w:rsidRPr="002E7DE6" w:rsidRDefault="007B43A6" w:rsidP="006F5963">
            <w:pPr>
              <w:pStyle w:val="Tabletext"/>
              <w:numPr>
                <w:ilvl w:val="0"/>
                <w:numId w:val="42"/>
              </w:numPr>
              <w:ind w:left="425"/>
              <w:rPr>
                <w:sz w:val="22"/>
                <w:szCs w:val="20"/>
              </w:rPr>
            </w:pPr>
            <w:r w:rsidRPr="002E7DE6">
              <w:rPr>
                <w:sz w:val="22"/>
                <w:szCs w:val="20"/>
              </w:rPr>
              <w:t xml:space="preserve">Older </w:t>
            </w:r>
            <w:proofErr w:type="gramStart"/>
            <w:r w:rsidRPr="002E7DE6">
              <w:rPr>
                <w:sz w:val="22"/>
                <w:szCs w:val="20"/>
              </w:rPr>
              <w:t>home-owners</w:t>
            </w:r>
            <w:proofErr w:type="gramEnd"/>
          </w:p>
          <w:p w14:paraId="2FDEA944" w14:textId="77777777" w:rsidR="007B43A6" w:rsidRPr="002E7DE6" w:rsidRDefault="007B43A6" w:rsidP="006F5963">
            <w:pPr>
              <w:pStyle w:val="Tabletext"/>
              <w:numPr>
                <w:ilvl w:val="0"/>
                <w:numId w:val="42"/>
              </w:numPr>
              <w:ind w:left="425"/>
              <w:rPr>
                <w:sz w:val="22"/>
                <w:szCs w:val="20"/>
              </w:rPr>
            </w:pPr>
            <w:r w:rsidRPr="002E7DE6">
              <w:rPr>
                <w:sz w:val="22"/>
                <w:szCs w:val="20"/>
              </w:rPr>
              <w:t>Environmentally proactive</w:t>
            </w:r>
          </w:p>
        </w:tc>
      </w:tr>
    </w:tbl>
    <w:bookmarkEnd w:id="8"/>
    <w:p w14:paraId="69190CC4" w14:textId="77777777" w:rsidR="00180D67" w:rsidRDefault="009317C7" w:rsidP="001478FC">
      <w:r w:rsidRPr="009317C7">
        <w:lastRenderedPageBreak/>
        <w:t xml:space="preserve">The COM-B framework </w:t>
      </w:r>
      <w:r w:rsidR="002E7DE6">
        <w:t xml:space="preserve">– which </w:t>
      </w:r>
      <w:r w:rsidR="002E7DE6" w:rsidRPr="002E7DE6">
        <w:t xml:space="preserve">proposes that capability (C), opportunity (O) and motivation (M) are required for a behaviour </w:t>
      </w:r>
      <w:r w:rsidR="002E7DE6">
        <w:t xml:space="preserve">(B) </w:t>
      </w:r>
      <w:r w:rsidR="002E7DE6" w:rsidRPr="002E7DE6">
        <w:t>to occur</w:t>
      </w:r>
      <w:r w:rsidR="002E7DE6">
        <w:t xml:space="preserve"> - </w:t>
      </w:r>
      <w:r w:rsidRPr="009317C7">
        <w:t xml:space="preserve">was used to identify barriers and drivers to </w:t>
      </w:r>
      <w:r w:rsidR="002E7DE6">
        <w:t xml:space="preserve">residents engaging with </w:t>
      </w:r>
      <w:r w:rsidR="007B43A6">
        <w:t xml:space="preserve">positive climate </w:t>
      </w:r>
      <w:r w:rsidRPr="009317C7">
        <w:t>behaviours</w:t>
      </w:r>
      <w:r w:rsidR="007B43A6">
        <w:t xml:space="preserve">. </w:t>
      </w:r>
    </w:p>
    <w:p w14:paraId="010BB5A4" w14:textId="77777777" w:rsidR="00320DAE" w:rsidRDefault="00320DAE" w:rsidP="00320DAE">
      <w:pPr>
        <w:pStyle w:val="ListParagraph"/>
      </w:pPr>
      <w:r w:rsidRPr="00320DAE">
        <w:rPr>
          <w:b/>
          <w:bCs/>
        </w:rPr>
        <w:t>Capability:</w:t>
      </w:r>
      <w:r>
        <w:t xml:space="preserve"> a</w:t>
      </w:r>
      <w:r w:rsidRPr="00320DAE">
        <w:t xml:space="preserve">n individual’s psychological </w:t>
      </w:r>
      <w:r>
        <w:t xml:space="preserve">ability (skills or knowledge) </w:t>
      </w:r>
      <w:r w:rsidRPr="00320DAE">
        <w:t xml:space="preserve">and physical ability </w:t>
      </w:r>
      <w:r>
        <w:t xml:space="preserve">(skill, </w:t>
      </w:r>
      <w:proofErr w:type="gramStart"/>
      <w:r>
        <w:t>strength</w:t>
      </w:r>
      <w:proofErr w:type="gramEnd"/>
      <w:r>
        <w:t xml:space="preserve"> or stamina) </w:t>
      </w:r>
      <w:r w:rsidRPr="00320DAE">
        <w:t>to participate in an activity</w:t>
      </w:r>
    </w:p>
    <w:p w14:paraId="39440069" w14:textId="77777777" w:rsidR="005F68DC" w:rsidRDefault="005F68DC" w:rsidP="005F68DC">
      <w:pPr>
        <w:pStyle w:val="ListParagraph"/>
      </w:pPr>
      <w:r w:rsidRPr="005F68DC">
        <w:rPr>
          <w:b/>
          <w:bCs/>
        </w:rPr>
        <w:t>Opportunity:</w:t>
      </w:r>
      <w:r>
        <w:t xml:space="preserve"> external factors which make </w:t>
      </w:r>
      <w:r w:rsidR="00962D50">
        <w:t xml:space="preserve">a </w:t>
      </w:r>
      <w:r>
        <w:t xml:space="preserve">particular behaviour possible, </w:t>
      </w:r>
      <w:r w:rsidR="00962D50">
        <w:t xml:space="preserve">both </w:t>
      </w:r>
      <w:r>
        <w:t>physical</w:t>
      </w:r>
      <w:r w:rsidR="00962D50">
        <w:t xml:space="preserve"> </w:t>
      </w:r>
      <w:r>
        <w:t>(</w:t>
      </w:r>
      <w:r w:rsidR="00962D50">
        <w:t xml:space="preserve">such as time, </w:t>
      </w:r>
      <w:proofErr w:type="gramStart"/>
      <w:r w:rsidR="00962D50">
        <w:t>resources</w:t>
      </w:r>
      <w:proofErr w:type="gramEnd"/>
      <w:r w:rsidR="00962D50">
        <w:t xml:space="preserve"> and location) and social (such as interpersonal influences, cultural norms and social cues)</w:t>
      </w:r>
    </w:p>
    <w:p w14:paraId="00D09FF4" w14:textId="77777777" w:rsidR="00320DAE" w:rsidRDefault="005F68DC" w:rsidP="005F68DC">
      <w:pPr>
        <w:pStyle w:val="ListParagraph"/>
      </w:pPr>
      <w:r w:rsidRPr="005F68DC">
        <w:rPr>
          <w:b/>
          <w:bCs/>
        </w:rPr>
        <w:t>Motivation</w:t>
      </w:r>
      <w:r w:rsidR="00320DAE" w:rsidRPr="005F68DC">
        <w:rPr>
          <w:b/>
          <w:bCs/>
        </w:rPr>
        <w:t>:</w:t>
      </w:r>
      <w:r w:rsidR="00320DAE">
        <w:t xml:space="preserve"> </w:t>
      </w:r>
      <w:r>
        <w:t xml:space="preserve">internal processes which influence our decision making and behaviours, whether reflective processes (such as plans, intentions or evaluations) or automatic processes (such as emotional reactions, desires, </w:t>
      </w:r>
      <w:proofErr w:type="gramStart"/>
      <w:r>
        <w:t>impulses</w:t>
      </w:r>
      <w:proofErr w:type="gramEnd"/>
      <w:r>
        <w:t xml:space="preserve"> or inhibitions) </w:t>
      </w:r>
    </w:p>
    <w:p w14:paraId="5E95107B" w14:textId="77777777" w:rsidR="009317C7" w:rsidRPr="00CA236A" w:rsidRDefault="009317C7" w:rsidP="00320DAE">
      <w:pPr>
        <w:pStyle w:val="Heading3"/>
        <w:spacing w:before="480"/>
      </w:pPr>
      <w:bookmarkStart w:id="9" w:name="_Toc77688211"/>
      <w:r>
        <w:t>Barriers to behaviour change</w:t>
      </w:r>
      <w:bookmarkEnd w:id="9"/>
    </w:p>
    <w:p w14:paraId="17A62B69" w14:textId="77777777" w:rsidR="009317C7" w:rsidRDefault="009317C7" w:rsidP="009317C7">
      <w:pPr>
        <w:pStyle w:val="Normalbeforebullets"/>
      </w:pPr>
      <w:r w:rsidRPr="009317C7">
        <w:t>Across the target behaviours, there were several common barriers to behaviour change:</w:t>
      </w:r>
    </w:p>
    <w:p w14:paraId="5CDC0939" w14:textId="77777777" w:rsidR="009317C7" w:rsidRPr="009317C7" w:rsidRDefault="009317C7" w:rsidP="009317C7">
      <w:pPr>
        <w:pStyle w:val="ListParagraph"/>
        <w:rPr>
          <w:b/>
          <w:bCs/>
        </w:rPr>
      </w:pPr>
      <w:r w:rsidRPr="009317C7">
        <w:rPr>
          <w:b/>
          <w:bCs/>
        </w:rPr>
        <w:t>Capability barriers</w:t>
      </w:r>
    </w:p>
    <w:p w14:paraId="005AC4C0" w14:textId="77777777" w:rsidR="009317C7" w:rsidRDefault="009317C7" w:rsidP="009317C7">
      <w:pPr>
        <w:pStyle w:val="ListParagraph"/>
        <w:numPr>
          <w:ilvl w:val="2"/>
          <w:numId w:val="31"/>
        </w:numPr>
      </w:pPr>
      <w:r w:rsidRPr="009317C7">
        <w:t>Knowing what / how to do it or supporting behaviours</w:t>
      </w:r>
      <w:r>
        <w:t xml:space="preserve"> </w:t>
      </w:r>
      <w:r w:rsidRPr="009317C7">
        <w:t>(e.g. cook vegetarian, find a trusted builder)</w:t>
      </w:r>
    </w:p>
    <w:p w14:paraId="353AA296" w14:textId="77777777" w:rsidR="009317C7" w:rsidRDefault="009317C7" w:rsidP="009317C7">
      <w:pPr>
        <w:pStyle w:val="ListParagraph"/>
        <w:numPr>
          <w:ilvl w:val="2"/>
          <w:numId w:val="31"/>
        </w:numPr>
      </w:pPr>
      <w:r w:rsidRPr="009317C7">
        <w:t>Awareness or knowledge of options</w:t>
      </w:r>
      <w:r>
        <w:t xml:space="preserve"> </w:t>
      </w:r>
      <w:r w:rsidRPr="009317C7">
        <w:t xml:space="preserve">(e.g. switching to an </w:t>
      </w:r>
      <w:r>
        <w:t>electric vehicle</w:t>
      </w:r>
      <w:r w:rsidRPr="009317C7">
        <w:t>, green energy, home retrofit)</w:t>
      </w:r>
    </w:p>
    <w:p w14:paraId="257C2E1C" w14:textId="77777777" w:rsidR="009317C7" w:rsidRPr="00184F02" w:rsidRDefault="009317C7" w:rsidP="009317C7">
      <w:pPr>
        <w:pStyle w:val="ListParagraph"/>
        <w:rPr>
          <w:b/>
          <w:bCs/>
        </w:rPr>
      </w:pPr>
      <w:r w:rsidRPr="00184F02">
        <w:rPr>
          <w:b/>
          <w:bCs/>
        </w:rPr>
        <w:t>Opportunity barriers</w:t>
      </w:r>
    </w:p>
    <w:p w14:paraId="2801B354" w14:textId="77777777" w:rsidR="009317C7" w:rsidRDefault="009317C7" w:rsidP="009317C7">
      <w:pPr>
        <w:pStyle w:val="ListParagraph"/>
        <w:numPr>
          <w:ilvl w:val="2"/>
          <w:numId w:val="31"/>
        </w:numPr>
      </w:pPr>
      <w:r w:rsidRPr="009317C7">
        <w:t>Social norms / conventions</w:t>
      </w:r>
      <w:r>
        <w:t xml:space="preserve"> </w:t>
      </w:r>
      <w:r w:rsidRPr="009317C7">
        <w:t>(e.g. around driving, meat eating)</w:t>
      </w:r>
    </w:p>
    <w:p w14:paraId="6449581C" w14:textId="77777777" w:rsidR="009317C7" w:rsidRDefault="009317C7" w:rsidP="009317C7">
      <w:pPr>
        <w:pStyle w:val="ListParagraph"/>
        <w:numPr>
          <w:ilvl w:val="2"/>
          <w:numId w:val="31"/>
        </w:numPr>
      </w:pPr>
      <w:r w:rsidRPr="009317C7">
        <w:t>Availability / accessibility</w:t>
      </w:r>
      <w:r>
        <w:t xml:space="preserve"> </w:t>
      </w:r>
      <w:r w:rsidRPr="009317C7">
        <w:t>(e.g. of public / active transport routes / infrastructure, plastic free packaging)</w:t>
      </w:r>
    </w:p>
    <w:p w14:paraId="6CC605A8" w14:textId="77777777" w:rsidR="009317C7" w:rsidRDefault="009317C7" w:rsidP="009317C7">
      <w:pPr>
        <w:pStyle w:val="ListParagraph"/>
        <w:numPr>
          <w:ilvl w:val="2"/>
          <w:numId w:val="31"/>
        </w:numPr>
      </w:pPr>
      <w:r w:rsidRPr="009317C7">
        <w:t>Lack of resources (time / money)</w:t>
      </w:r>
      <w:r>
        <w:t xml:space="preserve"> </w:t>
      </w:r>
      <w:r w:rsidRPr="009317C7">
        <w:t>(e.g. busy schedules of parents / workers meaning less space to try new things)</w:t>
      </w:r>
    </w:p>
    <w:p w14:paraId="03D3F5EC" w14:textId="77777777" w:rsidR="009317C7" w:rsidRPr="009317C7" w:rsidRDefault="009317C7" w:rsidP="009317C7">
      <w:pPr>
        <w:pStyle w:val="ListParagraph"/>
        <w:rPr>
          <w:b/>
          <w:bCs/>
        </w:rPr>
      </w:pPr>
      <w:r w:rsidRPr="009317C7">
        <w:rPr>
          <w:b/>
          <w:bCs/>
        </w:rPr>
        <w:t>Motivation barriers</w:t>
      </w:r>
    </w:p>
    <w:p w14:paraId="758E03D2" w14:textId="77777777" w:rsidR="009317C7" w:rsidRDefault="009317C7" w:rsidP="009317C7">
      <w:pPr>
        <w:pStyle w:val="ListParagraph"/>
        <w:numPr>
          <w:ilvl w:val="2"/>
          <w:numId w:val="31"/>
        </w:numPr>
      </w:pPr>
      <w:r w:rsidRPr="009317C7">
        <w:t>Perceived or actual sacrifices / ‘disincentives’ (e.g. taking more time, increased cost)</w:t>
      </w:r>
    </w:p>
    <w:p w14:paraId="64358C1E" w14:textId="77777777" w:rsidR="009317C7" w:rsidRDefault="009317C7" w:rsidP="009317C7">
      <w:pPr>
        <w:pStyle w:val="ListParagraph"/>
        <w:numPr>
          <w:ilvl w:val="2"/>
          <w:numId w:val="31"/>
        </w:numPr>
      </w:pPr>
      <w:r w:rsidRPr="009317C7">
        <w:t>Personal and / or household habits</w:t>
      </w:r>
    </w:p>
    <w:p w14:paraId="754D4C69" w14:textId="77777777" w:rsidR="009317C7" w:rsidRDefault="009317C7" w:rsidP="009317C7">
      <w:pPr>
        <w:pStyle w:val="ListParagraph"/>
        <w:numPr>
          <w:ilvl w:val="2"/>
          <w:numId w:val="31"/>
        </w:numPr>
      </w:pPr>
      <w:r w:rsidRPr="009317C7">
        <w:t>Perceived lack of need (‘already doing my bit’ or lack of knowledge of impact)</w:t>
      </w:r>
    </w:p>
    <w:p w14:paraId="31795F77" w14:textId="77777777" w:rsidR="009317C7" w:rsidRDefault="009317C7" w:rsidP="009317C7">
      <w:pPr>
        <w:pStyle w:val="ListParagraph"/>
        <w:numPr>
          <w:ilvl w:val="2"/>
          <w:numId w:val="31"/>
        </w:numPr>
      </w:pPr>
      <w:r w:rsidRPr="009317C7">
        <w:t>Lack of benefits</w:t>
      </w:r>
      <w:r>
        <w:t xml:space="preserve"> </w:t>
      </w:r>
      <w:r w:rsidRPr="009317C7">
        <w:t>(personally or more broadly)</w:t>
      </w:r>
    </w:p>
    <w:p w14:paraId="185033DF" w14:textId="77777777" w:rsidR="00320DAE" w:rsidRDefault="00320DAE" w:rsidP="00320DAE">
      <w:pPr>
        <w:pStyle w:val="ListParagraph"/>
        <w:numPr>
          <w:ilvl w:val="0"/>
          <w:numId w:val="0"/>
        </w:numPr>
        <w:ind w:left="567"/>
      </w:pPr>
    </w:p>
    <w:p w14:paraId="57E2AB1B" w14:textId="77777777" w:rsidR="00184F02" w:rsidRDefault="00C2579A" w:rsidP="006F5963">
      <w:pPr>
        <w:spacing w:after="160" w:line="259" w:lineRule="auto"/>
      </w:pPr>
      <w:r w:rsidRPr="00C2579A">
        <w:t xml:space="preserve">Table </w:t>
      </w:r>
      <w:r w:rsidR="006F5963">
        <w:t>3</w:t>
      </w:r>
      <w:r w:rsidRPr="00C2579A">
        <w:t xml:space="preserve"> </w:t>
      </w:r>
      <w:r w:rsidR="006F5963">
        <w:t xml:space="preserve">on the following page </w:t>
      </w:r>
      <w:r>
        <w:t>summarises</w:t>
      </w:r>
      <w:r w:rsidRPr="00C2579A">
        <w:t xml:space="preserve"> the </w:t>
      </w:r>
      <w:r w:rsidR="00184F02" w:rsidRPr="00C2579A">
        <w:t xml:space="preserve">key barriers </w:t>
      </w:r>
      <w:r w:rsidRPr="00C2579A">
        <w:t xml:space="preserve">that </w:t>
      </w:r>
      <w:r w:rsidR="00184F02" w:rsidRPr="00C2579A">
        <w:t xml:space="preserve">interventions </w:t>
      </w:r>
      <w:r w:rsidR="006F5963">
        <w:t xml:space="preserve">and communications </w:t>
      </w:r>
      <w:r w:rsidRPr="00C2579A">
        <w:t xml:space="preserve">will </w:t>
      </w:r>
      <w:r w:rsidR="00184F02" w:rsidRPr="00C2579A">
        <w:t>need to address</w:t>
      </w:r>
      <w:r w:rsidRPr="00C2579A">
        <w:t xml:space="preserve"> to encourage residents to engage more with climate action behaviours. </w:t>
      </w:r>
    </w:p>
    <w:p w14:paraId="2DCB1462" w14:textId="77777777" w:rsidR="006F5963" w:rsidRDefault="006F5963">
      <w:pPr>
        <w:spacing w:after="160" w:line="259" w:lineRule="auto"/>
        <w:rPr>
          <w:rStyle w:val="Strong"/>
        </w:rPr>
      </w:pPr>
      <w:r>
        <w:rPr>
          <w:rStyle w:val="Strong"/>
        </w:rPr>
        <w:br w:type="page"/>
      </w:r>
    </w:p>
    <w:p w14:paraId="62D9CAD1" w14:textId="77777777" w:rsidR="009317C7" w:rsidRPr="006F5963" w:rsidRDefault="00613D87" w:rsidP="00613D87">
      <w:pPr>
        <w:rPr>
          <w:rStyle w:val="Strong"/>
        </w:rPr>
      </w:pPr>
      <w:r w:rsidRPr="006F5963">
        <w:rPr>
          <w:rStyle w:val="Strong"/>
        </w:rPr>
        <w:lastRenderedPageBreak/>
        <w:t xml:space="preserve">Table </w:t>
      </w:r>
      <w:r w:rsidR="006F5963">
        <w:rPr>
          <w:rStyle w:val="Strong"/>
        </w:rPr>
        <w:t>3</w:t>
      </w:r>
      <w:r w:rsidRPr="006F5963">
        <w:rPr>
          <w:rStyle w:val="Strong"/>
        </w:rPr>
        <w:t xml:space="preserve">: The key barriers interventions </w:t>
      </w:r>
      <w:r w:rsidR="00C2579A" w:rsidRPr="006F5963">
        <w:rPr>
          <w:rStyle w:val="Strong"/>
        </w:rPr>
        <w:t xml:space="preserve">will </w:t>
      </w:r>
      <w:r w:rsidRPr="006F5963">
        <w:rPr>
          <w:rStyle w:val="Strong"/>
        </w:rPr>
        <w:t>need to address</w:t>
      </w:r>
    </w:p>
    <w:tbl>
      <w:tblPr>
        <w:tblStyle w:val="TableGrid"/>
        <w:tblW w:w="9634" w:type="dxa"/>
        <w:tblInd w:w="5" w:type="dxa"/>
        <w:tblCellMar>
          <w:top w:w="170" w:type="dxa"/>
          <w:left w:w="170" w:type="dxa"/>
          <w:bottom w:w="170" w:type="dxa"/>
          <w:right w:w="170" w:type="dxa"/>
        </w:tblCellMar>
        <w:tblLook w:val="04A0" w:firstRow="1" w:lastRow="0" w:firstColumn="1" w:lastColumn="0" w:noHBand="0" w:noVBand="1"/>
        <w:tblCaption w:val="Table title"/>
        <w:tblDescription w:val="Table with theme column, Capability barriers column, Opportunity barriers column and Motivation barriers column. Rows divided by theme "/>
      </w:tblPr>
      <w:tblGrid>
        <w:gridCol w:w="1876"/>
        <w:gridCol w:w="2514"/>
        <w:gridCol w:w="2693"/>
        <w:gridCol w:w="2551"/>
      </w:tblGrid>
      <w:tr w:rsidR="00613D87" w:rsidRPr="00613D87" w14:paraId="41B0FCE5" w14:textId="77777777" w:rsidTr="00C2579A">
        <w:trPr>
          <w:cnfStyle w:val="100000000000" w:firstRow="1" w:lastRow="0" w:firstColumn="0" w:lastColumn="0" w:oddVBand="0" w:evenVBand="0" w:oddHBand="0" w:evenHBand="0" w:firstRowFirstColumn="0" w:firstRowLastColumn="0" w:lastRowFirstColumn="0" w:lastRowLastColumn="0"/>
          <w:trHeight w:val="622"/>
        </w:trPr>
        <w:tc>
          <w:tcPr>
            <w:tcW w:w="1876" w:type="dxa"/>
            <w:vAlign w:val="center"/>
          </w:tcPr>
          <w:p w14:paraId="58469E3F" w14:textId="77777777" w:rsidR="00613D87" w:rsidRPr="00613D87" w:rsidRDefault="007B43A6" w:rsidP="00326657">
            <w:pPr>
              <w:pStyle w:val="Tablecolumnheading"/>
            </w:pPr>
            <w:r>
              <w:t>Theme</w:t>
            </w:r>
          </w:p>
        </w:tc>
        <w:tc>
          <w:tcPr>
            <w:tcW w:w="2514" w:type="dxa"/>
            <w:vAlign w:val="center"/>
          </w:tcPr>
          <w:p w14:paraId="2831CD6D" w14:textId="77777777" w:rsidR="00613D87" w:rsidRPr="00613D87" w:rsidRDefault="00613D87" w:rsidP="00326657">
            <w:pPr>
              <w:pStyle w:val="Tablecolumnheading"/>
              <w:jc w:val="center"/>
            </w:pPr>
            <w:r w:rsidRPr="00613D87">
              <w:t>Capability barriers</w:t>
            </w:r>
          </w:p>
        </w:tc>
        <w:tc>
          <w:tcPr>
            <w:tcW w:w="2693" w:type="dxa"/>
            <w:vAlign w:val="center"/>
          </w:tcPr>
          <w:p w14:paraId="19A28FB7" w14:textId="77777777" w:rsidR="00613D87" w:rsidRPr="00613D87" w:rsidRDefault="00613D87" w:rsidP="00326657">
            <w:pPr>
              <w:pStyle w:val="Tablecolumnheading"/>
              <w:jc w:val="center"/>
            </w:pPr>
            <w:r w:rsidRPr="00613D87">
              <w:t>Opportunity barriers</w:t>
            </w:r>
          </w:p>
        </w:tc>
        <w:tc>
          <w:tcPr>
            <w:tcW w:w="2551" w:type="dxa"/>
            <w:vAlign w:val="center"/>
          </w:tcPr>
          <w:p w14:paraId="0C700D0A" w14:textId="77777777" w:rsidR="00613D87" w:rsidRPr="00613D87" w:rsidRDefault="00613D87" w:rsidP="00326657">
            <w:pPr>
              <w:pStyle w:val="Tablecolumnheading"/>
              <w:jc w:val="center"/>
            </w:pPr>
            <w:r w:rsidRPr="00613D87">
              <w:t>Motivation barriers</w:t>
            </w:r>
          </w:p>
        </w:tc>
      </w:tr>
      <w:tr w:rsidR="00613D87" w14:paraId="0C0DA5F9" w14:textId="77777777" w:rsidTr="007D2A5A">
        <w:trPr>
          <w:trHeight w:val="1021"/>
        </w:trPr>
        <w:tc>
          <w:tcPr>
            <w:tcW w:w="1876" w:type="dxa"/>
            <w:vAlign w:val="center"/>
          </w:tcPr>
          <w:p w14:paraId="3DE2A2E0" w14:textId="77777777" w:rsidR="00613D87" w:rsidRPr="006F5963" w:rsidRDefault="00613D87" w:rsidP="00613D87">
            <w:pPr>
              <w:pStyle w:val="Tabletext"/>
              <w:rPr>
                <w:rStyle w:val="Emphasis"/>
                <w:bCs/>
                <w:iCs w:val="0"/>
                <w:sz w:val="22"/>
              </w:rPr>
            </w:pPr>
            <w:r w:rsidRPr="006F5963">
              <w:rPr>
                <w:rStyle w:val="Emphasis"/>
                <w:bCs/>
                <w:iCs w:val="0"/>
                <w:sz w:val="22"/>
              </w:rPr>
              <w:t>Transport</w:t>
            </w:r>
          </w:p>
        </w:tc>
        <w:tc>
          <w:tcPr>
            <w:tcW w:w="2514" w:type="dxa"/>
            <w:shd w:val="clear" w:color="auto" w:fill="auto"/>
            <w:vAlign w:val="center"/>
          </w:tcPr>
          <w:p w14:paraId="3A8F425E" w14:textId="77777777" w:rsidR="00613D87" w:rsidRPr="006F5963" w:rsidRDefault="00613D87" w:rsidP="00613D87">
            <w:pPr>
              <w:pStyle w:val="Tabletext"/>
              <w:jc w:val="center"/>
              <w:rPr>
                <w:sz w:val="22"/>
              </w:rPr>
            </w:pPr>
          </w:p>
        </w:tc>
        <w:tc>
          <w:tcPr>
            <w:tcW w:w="2693" w:type="dxa"/>
            <w:shd w:val="clear" w:color="auto" w:fill="auto"/>
            <w:vAlign w:val="center"/>
          </w:tcPr>
          <w:p w14:paraId="24F1E592" w14:textId="77777777" w:rsidR="00613D87" w:rsidRPr="006F5963" w:rsidRDefault="00613D87" w:rsidP="00613D87">
            <w:pPr>
              <w:pStyle w:val="Tabletext"/>
              <w:jc w:val="center"/>
              <w:rPr>
                <w:sz w:val="22"/>
              </w:rPr>
            </w:pPr>
            <w:r w:rsidRPr="006F5963">
              <w:rPr>
                <w:sz w:val="22"/>
              </w:rPr>
              <w:t>Lack of public / active transport infrastructure or options</w:t>
            </w:r>
          </w:p>
        </w:tc>
        <w:tc>
          <w:tcPr>
            <w:tcW w:w="2551" w:type="dxa"/>
            <w:shd w:val="clear" w:color="auto" w:fill="auto"/>
            <w:vAlign w:val="center"/>
          </w:tcPr>
          <w:p w14:paraId="6F00C836" w14:textId="77777777" w:rsidR="00613D87" w:rsidRPr="006F5963" w:rsidRDefault="00613D87" w:rsidP="00613D87">
            <w:pPr>
              <w:pStyle w:val="Tabletext"/>
              <w:jc w:val="center"/>
              <w:rPr>
                <w:sz w:val="22"/>
              </w:rPr>
            </w:pPr>
            <w:r w:rsidRPr="006F5963">
              <w:rPr>
                <w:sz w:val="22"/>
              </w:rPr>
              <w:t>Strong preference for car and sacrifices of switching</w:t>
            </w:r>
          </w:p>
        </w:tc>
      </w:tr>
      <w:tr w:rsidR="00613D87" w14:paraId="5094BEBB" w14:textId="77777777" w:rsidTr="007D2A5A">
        <w:trPr>
          <w:trHeight w:val="1067"/>
        </w:trPr>
        <w:tc>
          <w:tcPr>
            <w:tcW w:w="1876" w:type="dxa"/>
            <w:vAlign w:val="center"/>
          </w:tcPr>
          <w:p w14:paraId="02A4F9BB" w14:textId="77777777" w:rsidR="00613D87" w:rsidRPr="006F5963" w:rsidRDefault="00613D87" w:rsidP="00613D87">
            <w:pPr>
              <w:pStyle w:val="Tabletext"/>
              <w:rPr>
                <w:rStyle w:val="Emphasis"/>
                <w:bCs/>
                <w:iCs w:val="0"/>
                <w:sz w:val="22"/>
              </w:rPr>
            </w:pPr>
            <w:r w:rsidRPr="006F5963">
              <w:rPr>
                <w:rStyle w:val="Emphasis"/>
                <w:bCs/>
                <w:iCs w:val="0"/>
                <w:sz w:val="22"/>
              </w:rPr>
              <w:t>F</w:t>
            </w:r>
            <w:r w:rsidRPr="006F5963">
              <w:rPr>
                <w:rStyle w:val="Emphasis"/>
                <w:bCs/>
                <w:sz w:val="22"/>
              </w:rPr>
              <w:t>ood</w:t>
            </w:r>
          </w:p>
        </w:tc>
        <w:tc>
          <w:tcPr>
            <w:tcW w:w="2514" w:type="dxa"/>
            <w:shd w:val="clear" w:color="auto" w:fill="auto"/>
            <w:vAlign w:val="center"/>
          </w:tcPr>
          <w:p w14:paraId="0E0D3E39" w14:textId="77777777" w:rsidR="00613D87" w:rsidRPr="006F5963" w:rsidRDefault="00613D87" w:rsidP="00613D87">
            <w:pPr>
              <w:pStyle w:val="Tabletext"/>
              <w:jc w:val="center"/>
              <w:rPr>
                <w:sz w:val="22"/>
              </w:rPr>
            </w:pPr>
            <w:r w:rsidRPr="006F5963">
              <w:rPr>
                <w:sz w:val="22"/>
              </w:rPr>
              <w:t>Not knowing how to cook a variety of tasty meat-free meals</w:t>
            </w:r>
          </w:p>
        </w:tc>
        <w:tc>
          <w:tcPr>
            <w:tcW w:w="2693" w:type="dxa"/>
            <w:shd w:val="clear" w:color="auto" w:fill="auto"/>
            <w:vAlign w:val="center"/>
          </w:tcPr>
          <w:p w14:paraId="2D18C888" w14:textId="77777777" w:rsidR="00613D87" w:rsidRPr="006F5963" w:rsidRDefault="00613D87" w:rsidP="00613D87">
            <w:pPr>
              <w:pStyle w:val="Tabletext"/>
              <w:jc w:val="center"/>
              <w:rPr>
                <w:sz w:val="22"/>
              </w:rPr>
            </w:pPr>
          </w:p>
        </w:tc>
        <w:tc>
          <w:tcPr>
            <w:tcW w:w="2551" w:type="dxa"/>
            <w:shd w:val="clear" w:color="auto" w:fill="auto"/>
            <w:vAlign w:val="center"/>
          </w:tcPr>
          <w:p w14:paraId="2AD1E040" w14:textId="77777777" w:rsidR="00613D87" w:rsidRPr="006F5963" w:rsidRDefault="00613D87" w:rsidP="00613D87">
            <w:pPr>
              <w:pStyle w:val="Tabletext"/>
              <w:jc w:val="center"/>
              <w:rPr>
                <w:sz w:val="22"/>
              </w:rPr>
            </w:pPr>
            <w:r w:rsidRPr="006F5963">
              <w:rPr>
                <w:sz w:val="22"/>
              </w:rPr>
              <w:t>Perceptions that meat-free is less tasty/satisfying</w:t>
            </w:r>
          </w:p>
        </w:tc>
      </w:tr>
      <w:tr w:rsidR="00613D87" w14:paraId="679EE6F3" w14:textId="77777777" w:rsidTr="00C2579A">
        <w:trPr>
          <w:trHeight w:val="776"/>
        </w:trPr>
        <w:tc>
          <w:tcPr>
            <w:tcW w:w="1876" w:type="dxa"/>
            <w:vAlign w:val="center"/>
          </w:tcPr>
          <w:p w14:paraId="7565F0B6" w14:textId="77777777" w:rsidR="00613D87" w:rsidRPr="006F5963" w:rsidRDefault="00613D87" w:rsidP="00613D87">
            <w:pPr>
              <w:pStyle w:val="Tabletext"/>
              <w:rPr>
                <w:rStyle w:val="Emphasis"/>
                <w:bCs/>
                <w:iCs w:val="0"/>
                <w:sz w:val="22"/>
              </w:rPr>
            </w:pPr>
            <w:r w:rsidRPr="006F5963">
              <w:rPr>
                <w:rStyle w:val="Emphasis"/>
                <w:bCs/>
                <w:iCs w:val="0"/>
                <w:sz w:val="22"/>
              </w:rPr>
              <w:t>Waste and recycling</w:t>
            </w:r>
          </w:p>
        </w:tc>
        <w:tc>
          <w:tcPr>
            <w:tcW w:w="2514" w:type="dxa"/>
            <w:shd w:val="clear" w:color="auto" w:fill="auto"/>
            <w:vAlign w:val="center"/>
          </w:tcPr>
          <w:p w14:paraId="62D05BB8" w14:textId="77777777" w:rsidR="00613D87" w:rsidRPr="006F5963" w:rsidRDefault="00613D87" w:rsidP="00613D87">
            <w:pPr>
              <w:pStyle w:val="Tabletext"/>
              <w:jc w:val="center"/>
              <w:rPr>
                <w:sz w:val="22"/>
              </w:rPr>
            </w:pPr>
          </w:p>
        </w:tc>
        <w:tc>
          <w:tcPr>
            <w:tcW w:w="2693" w:type="dxa"/>
            <w:shd w:val="clear" w:color="auto" w:fill="auto"/>
            <w:vAlign w:val="center"/>
          </w:tcPr>
          <w:p w14:paraId="6E5B875E" w14:textId="77777777" w:rsidR="00C2579A" w:rsidRPr="00C2579A" w:rsidRDefault="00C2579A" w:rsidP="00C2579A">
            <w:pPr>
              <w:pStyle w:val="Tabletext"/>
              <w:jc w:val="center"/>
              <w:rPr>
                <w:sz w:val="22"/>
              </w:rPr>
            </w:pPr>
            <w:r w:rsidRPr="00C2579A">
              <w:rPr>
                <w:sz w:val="22"/>
              </w:rPr>
              <w:t>Lower plastic packaging less available at major supermarkets</w:t>
            </w:r>
          </w:p>
          <w:p w14:paraId="48652612" w14:textId="77777777" w:rsidR="00C2579A" w:rsidRPr="00C2579A" w:rsidRDefault="00C2579A" w:rsidP="00C2579A">
            <w:pPr>
              <w:pStyle w:val="Tabletext"/>
              <w:jc w:val="center"/>
              <w:rPr>
                <w:sz w:val="22"/>
              </w:rPr>
            </w:pPr>
          </w:p>
          <w:p w14:paraId="6B72635E" w14:textId="77777777" w:rsidR="00613D87" w:rsidRPr="006F5963" w:rsidRDefault="00C2579A" w:rsidP="00C2579A">
            <w:pPr>
              <w:pStyle w:val="Tabletext"/>
              <w:jc w:val="center"/>
              <w:rPr>
                <w:sz w:val="22"/>
              </w:rPr>
            </w:pPr>
            <w:r w:rsidRPr="006F5963">
              <w:rPr>
                <w:sz w:val="22"/>
              </w:rPr>
              <w:t>Higher costs at smaller shops</w:t>
            </w:r>
          </w:p>
        </w:tc>
        <w:tc>
          <w:tcPr>
            <w:tcW w:w="2551" w:type="dxa"/>
            <w:shd w:val="clear" w:color="auto" w:fill="auto"/>
            <w:vAlign w:val="center"/>
          </w:tcPr>
          <w:p w14:paraId="1E5AFD65" w14:textId="77777777" w:rsidR="00C2579A" w:rsidRPr="00C2579A" w:rsidRDefault="00C2579A" w:rsidP="00C2579A">
            <w:pPr>
              <w:pStyle w:val="Tabletext"/>
              <w:jc w:val="center"/>
              <w:rPr>
                <w:sz w:val="22"/>
              </w:rPr>
            </w:pPr>
            <w:r w:rsidRPr="00C2579A">
              <w:rPr>
                <w:sz w:val="22"/>
              </w:rPr>
              <w:t xml:space="preserve">Assumption </w:t>
            </w:r>
            <w:r w:rsidRPr="006F5963">
              <w:rPr>
                <w:sz w:val="22"/>
              </w:rPr>
              <w:t>they</w:t>
            </w:r>
            <w:r w:rsidRPr="00C2579A">
              <w:rPr>
                <w:sz w:val="22"/>
              </w:rPr>
              <w:t xml:space="preserve"> are already doing enough</w:t>
            </w:r>
          </w:p>
          <w:p w14:paraId="23B7C311" w14:textId="77777777" w:rsidR="00C2579A" w:rsidRPr="00C2579A" w:rsidRDefault="00C2579A" w:rsidP="00C2579A">
            <w:pPr>
              <w:pStyle w:val="Tabletext"/>
              <w:jc w:val="center"/>
              <w:rPr>
                <w:sz w:val="22"/>
              </w:rPr>
            </w:pPr>
          </w:p>
          <w:p w14:paraId="5BC31F91" w14:textId="77777777" w:rsidR="00613D87" w:rsidRPr="006F5963" w:rsidRDefault="00C2579A" w:rsidP="00C2579A">
            <w:pPr>
              <w:pStyle w:val="Tabletext"/>
              <w:jc w:val="center"/>
              <w:rPr>
                <w:sz w:val="22"/>
              </w:rPr>
            </w:pPr>
            <w:r w:rsidRPr="006F5963">
              <w:rPr>
                <w:sz w:val="22"/>
              </w:rPr>
              <w:t>Not seen as personal responsibility</w:t>
            </w:r>
          </w:p>
        </w:tc>
      </w:tr>
      <w:tr w:rsidR="00613D87" w14:paraId="195D2749" w14:textId="77777777" w:rsidTr="00C2579A">
        <w:trPr>
          <w:trHeight w:val="791"/>
        </w:trPr>
        <w:tc>
          <w:tcPr>
            <w:tcW w:w="1876" w:type="dxa"/>
            <w:vAlign w:val="center"/>
          </w:tcPr>
          <w:p w14:paraId="560ED9FC" w14:textId="77777777" w:rsidR="00613D87" w:rsidRPr="006F5963" w:rsidRDefault="00C2579A" w:rsidP="00613D87">
            <w:pPr>
              <w:pStyle w:val="Tabletext"/>
              <w:rPr>
                <w:rStyle w:val="Emphasis"/>
                <w:bCs/>
                <w:iCs w:val="0"/>
                <w:sz w:val="22"/>
              </w:rPr>
            </w:pPr>
            <w:r w:rsidRPr="006F5963">
              <w:rPr>
                <w:rStyle w:val="Emphasis"/>
                <w:bCs/>
                <w:iCs w:val="0"/>
                <w:sz w:val="22"/>
              </w:rPr>
              <w:t>E</w:t>
            </w:r>
            <w:r w:rsidRPr="006F5963">
              <w:rPr>
                <w:rStyle w:val="Emphasis"/>
                <w:bCs/>
                <w:sz w:val="22"/>
              </w:rPr>
              <w:t>nergy and utilities</w:t>
            </w:r>
          </w:p>
        </w:tc>
        <w:tc>
          <w:tcPr>
            <w:tcW w:w="2514" w:type="dxa"/>
            <w:shd w:val="clear" w:color="auto" w:fill="auto"/>
            <w:vAlign w:val="center"/>
          </w:tcPr>
          <w:p w14:paraId="12CD6CFF" w14:textId="77777777" w:rsidR="00613D87" w:rsidRPr="006F5963" w:rsidRDefault="00613D87" w:rsidP="00613D87">
            <w:pPr>
              <w:pStyle w:val="Tabletext"/>
              <w:jc w:val="center"/>
              <w:rPr>
                <w:sz w:val="22"/>
              </w:rPr>
            </w:pPr>
          </w:p>
        </w:tc>
        <w:tc>
          <w:tcPr>
            <w:tcW w:w="2693" w:type="dxa"/>
            <w:shd w:val="clear" w:color="auto" w:fill="auto"/>
            <w:vAlign w:val="center"/>
          </w:tcPr>
          <w:p w14:paraId="6DDB1AF2" w14:textId="77777777" w:rsidR="00613D87" w:rsidRPr="006F5963" w:rsidRDefault="00C2579A" w:rsidP="00613D87">
            <w:pPr>
              <w:pStyle w:val="Tabletext"/>
              <w:jc w:val="center"/>
              <w:rPr>
                <w:sz w:val="22"/>
              </w:rPr>
            </w:pPr>
            <w:r w:rsidRPr="006F5963">
              <w:rPr>
                <w:sz w:val="22"/>
              </w:rPr>
              <w:t>Lack of moments where switching is considered</w:t>
            </w:r>
          </w:p>
        </w:tc>
        <w:tc>
          <w:tcPr>
            <w:tcW w:w="2551" w:type="dxa"/>
            <w:shd w:val="clear" w:color="auto" w:fill="auto"/>
            <w:vAlign w:val="center"/>
          </w:tcPr>
          <w:p w14:paraId="09A5AB7B" w14:textId="77777777" w:rsidR="00C2579A" w:rsidRPr="00C2579A" w:rsidRDefault="00C2579A" w:rsidP="00C2579A">
            <w:pPr>
              <w:pStyle w:val="Tabletext"/>
              <w:jc w:val="center"/>
              <w:rPr>
                <w:sz w:val="22"/>
              </w:rPr>
            </w:pPr>
            <w:r w:rsidRPr="00C2579A">
              <w:rPr>
                <w:sz w:val="22"/>
              </w:rPr>
              <w:t xml:space="preserve">Not a priority </w:t>
            </w:r>
          </w:p>
          <w:p w14:paraId="33B04103" w14:textId="77777777" w:rsidR="00C2579A" w:rsidRPr="00C2579A" w:rsidRDefault="00C2579A" w:rsidP="00C2579A">
            <w:pPr>
              <w:pStyle w:val="Tabletext"/>
              <w:jc w:val="center"/>
              <w:rPr>
                <w:sz w:val="22"/>
              </w:rPr>
            </w:pPr>
          </w:p>
          <w:p w14:paraId="0BBAD3D4" w14:textId="77777777" w:rsidR="00613D87" w:rsidRPr="006F5963" w:rsidRDefault="00C2579A" w:rsidP="00C2579A">
            <w:pPr>
              <w:pStyle w:val="Tabletext"/>
              <w:jc w:val="center"/>
              <w:rPr>
                <w:sz w:val="22"/>
              </w:rPr>
            </w:pPr>
            <w:r w:rsidRPr="006F5963">
              <w:rPr>
                <w:sz w:val="22"/>
              </w:rPr>
              <w:t>Lack of understanding of benefits</w:t>
            </w:r>
          </w:p>
        </w:tc>
      </w:tr>
      <w:tr w:rsidR="00613D87" w14:paraId="7A17370B" w14:textId="77777777" w:rsidTr="007D2A5A">
        <w:trPr>
          <w:trHeight w:val="1672"/>
        </w:trPr>
        <w:tc>
          <w:tcPr>
            <w:tcW w:w="1876" w:type="dxa"/>
            <w:vAlign w:val="center"/>
          </w:tcPr>
          <w:p w14:paraId="25B8E8FF" w14:textId="772ED55C" w:rsidR="00613D87" w:rsidRPr="006F5963" w:rsidRDefault="00C2579A" w:rsidP="00613D87">
            <w:pPr>
              <w:pStyle w:val="Tabletext"/>
              <w:rPr>
                <w:rStyle w:val="Emphasis"/>
                <w:bCs/>
                <w:iCs w:val="0"/>
                <w:sz w:val="22"/>
              </w:rPr>
            </w:pPr>
            <w:r w:rsidRPr="006F5963">
              <w:rPr>
                <w:rStyle w:val="Emphasis"/>
                <w:bCs/>
                <w:iCs w:val="0"/>
                <w:sz w:val="22"/>
              </w:rPr>
              <w:t>H</w:t>
            </w:r>
            <w:r w:rsidRPr="006F5963">
              <w:rPr>
                <w:rStyle w:val="Emphasis"/>
                <w:bCs/>
                <w:sz w:val="22"/>
              </w:rPr>
              <w:t>ome</w:t>
            </w:r>
            <w:r w:rsidR="007D2A5A">
              <w:rPr>
                <w:rStyle w:val="Emphasis"/>
                <w:bCs/>
                <w:sz w:val="22"/>
              </w:rPr>
              <w:t xml:space="preserve"> improvement</w:t>
            </w:r>
          </w:p>
        </w:tc>
        <w:tc>
          <w:tcPr>
            <w:tcW w:w="2514" w:type="dxa"/>
            <w:shd w:val="clear" w:color="auto" w:fill="auto"/>
            <w:vAlign w:val="center"/>
          </w:tcPr>
          <w:p w14:paraId="41CF516F" w14:textId="77777777" w:rsidR="00C2579A" w:rsidRPr="00C2579A" w:rsidRDefault="00C2579A" w:rsidP="00C2579A">
            <w:pPr>
              <w:pStyle w:val="Tabletext"/>
              <w:jc w:val="center"/>
              <w:rPr>
                <w:sz w:val="22"/>
              </w:rPr>
            </w:pPr>
            <w:r w:rsidRPr="00C2579A">
              <w:rPr>
                <w:sz w:val="22"/>
              </w:rPr>
              <w:t>Lack of awareness and knowledge of the options</w:t>
            </w:r>
          </w:p>
          <w:p w14:paraId="4973DE26" w14:textId="77777777" w:rsidR="00C2579A" w:rsidRPr="00C2579A" w:rsidRDefault="00C2579A" w:rsidP="00C2579A">
            <w:pPr>
              <w:pStyle w:val="Tabletext"/>
              <w:jc w:val="center"/>
              <w:rPr>
                <w:sz w:val="22"/>
              </w:rPr>
            </w:pPr>
          </w:p>
          <w:p w14:paraId="7D1E34F0" w14:textId="77777777" w:rsidR="00613D87" w:rsidRPr="006F5963" w:rsidRDefault="00C2579A" w:rsidP="00C2579A">
            <w:pPr>
              <w:pStyle w:val="Tabletext"/>
              <w:jc w:val="center"/>
              <w:rPr>
                <w:sz w:val="22"/>
              </w:rPr>
            </w:pPr>
            <w:r w:rsidRPr="006F5963">
              <w:rPr>
                <w:sz w:val="22"/>
              </w:rPr>
              <w:t>Challenge of finding trusted tradespeople</w:t>
            </w:r>
          </w:p>
        </w:tc>
        <w:tc>
          <w:tcPr>
            <w:tcW w:w="2693" w:type="dxa"/>
            <w:shd w:val="clear" w:color="auto" w:fill="auto"/>
            <w:vAlign w:val="center"/>
          </w:tcPr>
          <w:p w14:paraId="0AE1D2ED" w14:textId="77777777" w:rsidR="00613D87" w:rsidRPr="006F5963" w:rsidRDefault="00613D87" w:rsidP="00613D87">
            <w:pPr>
              <w:pStyle w:val="Tabletext"/>
              <w:jc w:val="center"/>
              <w:rPr>
                <w:sz w:val="22"/>
              </w:rPr>
            </w:pPr>
          </w:p>
        </w:tc>
        <w:tc>
          <w:tcPr>
            <w:tcW w:w="2551" w:type="dxa"/>
            <w:shd w:val="clear" w:color="auto" w:fill="auto"/>
            <w:vAlign w:val="center"/>
          </w:tcPr>
          <w:p w14:paraId="14658BC4" w14:textId="77777777" w:rsidR="00C2579A" w:rsidRPr="00C2579A" w:rsidRDefault="00C2579A" w:rsidP="00C2579A">
            <w:pPr>
              <w:pStyle w:val="Tabletext"/>
              <w:jc w:val="center"/>
              <w:rPr>
                <w:sz w:val="22"/>
              </w:rPr>
            </w:pPr>
            <w:r w:rsidRPr="00C2579A">
              <w:rPr>
                <w:sz w:val="22"/>
              </w:rPr>
              <w:t>Perceived personal impacts (cost, time, disruption)</w:t>
            </w:r>
          </w:p>
          <w:p w14:paraId="16AFA47D" w14:textId="77777777" w:rsidR="00C2579A" w:rsidRPr="00C2579A" w:rsidRDefault="00C2579A" w:rsidP="00C2579A">
            <w:pPr>
              <w:pStyle w:val="Tabletext"/>
              <w:jc w:val="center"/>
              <w:rPr>
                <w:sz w:val="22"/>
              </w:rPr>
            </w:pPr>
          </w:p>
          <w:p w14:paraId="6B46116B" w14:textId="77777777" w:rsidR="00613D87" w:rsidRPr="006F5963" w:rsidRDefault="00C2579A" w:rsidP="00C2579A">
            <w:pPr>
              <w:pStyle w:val="Tabletext"/>
              <w:jc w:val="center"/>
              <w:rPr>
                <w:sz w:val="22"/>
              </w:rPr>
            </w:pPr>
            <w:r w:rsidRPr="006F5963">
              <w:rPr>
                <w:sz w:val="22"/>
              </w:rPr>
              <w:t>Lack of understanding of benefits</w:t>
            </w:r>
          </w:p>
        </w:tc>
      </w:tr>
    </w:tbl>
    <w:p w14:paraId="67A7A6E4" w14:textId="77777777" w:rsidR="00A43607" w:rsidRDefault="00A43607" w:rsidP="00A43607">
      <w:pPr>
        <w:sectPr w:rsidR="00A43607" w:rsidSect="00056387">
          <w:headerReference w:type="default" r:id="rId18"/>
          <w:footerReference w:type="default" r:id="rId19"/>
          <w:footerReference w:type="first" r:id="rId20"/>
          <w:pgSz w:w="11906" w:h="16838" w:code="9"/>
          <w:pgMar w:top="1871" w:right="1134" w:bottom="1134" w:left="1134" w:header="567" w:footer="567" w:gutter="0"/>
          <w:cols w:space="708"/>
          <w:titlePg/>
          <w:docGrid w:linePitch="360"/>
        </w:sectPr>
      </w:pPr>
    </w:p>
    <w:p w14:paraId="25BA6973" w14:textId="77777777" w:rsidR="00A43607" w:rsidRDefault="00A43607" w:rsidP="00A43607">
      <w:r w:rsidRPr="00A43607">
        <w:rPr>
          <w:rStyle w:val="RedBold"/>
        </w:rPr>
        <w:lastRenderedPageBreak/>
        <w:t>This information is issued by:</w:t>
      </w:r>
      <w:r>
        <w:br/>
        <w:t>Essex County Council</w:t>
      </w:r>
    </w:p>
    <w:p w14:paraId="7B6C1479" w14:textId="77777777" w:rsidR="00A43607" w:rsidRDefault="00A43607" w:rsidP="00A43607">
      <w:r w:rsidRPr="00A43607">
        <w:rPr>
          <w:rStyle w:val="RedBold"/>
        </w:rPr>
        <w:t>Contact us:</w:t>
      </w:r>
      <w:r>
        <w:br/>
      </w:r>
      <w:hyperlink r:id="rId21" w:history="1">
        <w:r w:rsidR="001478FC" w:rsidRPr="001F3455">
          <w:rPr>
            <w:rStyle w:val="Hyperlink"/>
          </w:rPr>
          <w:t>research@essex.gov.uk</w:t>
        </w:r>
      </w:hyperlink>
      <w:r>
        <w:br/>
      </w:r>
      <w:hyperlink r:id="rId22" w:history="1">
        <w:r w:rsidR="004C7DEC" w:rsidRPr="003F1A4B">
          <w:rPr>
            <w:rStyle w:val="Hyperlink"/>
          </w:rPr>
          <w:t>www.essex.gov.uk</w:t>
        </w:r>
      </w:hyperlink>
      <w:r w:rsidR="004C7DEC">
        <w:t xml:space="preserve"> </w:t>
      </w:r>
      <w:r>
        <w:br/>
      </w:r>
    </w:p>
    <w:p w14:paraId="7C5A72E5" w14:textId="77777777" w:rsidR="00A43607" w:rsidRDefault="00A43607" w:rsidP="00A43607"/>
    <w:p w14:paraId="34F6AEA8" w14:textId="77777777" w:rsidR="00A43607" w:rsidRDefault="00A43607" w:rsidP="00A43607">
      <w:r>
        <w:t>The information contained in this document can be translated, and/or made available in alternative formats, on request.</w:t>
      </w:r>
    </w:p>
    <w:p w14:paraId="7697396C" w14:textId="77777777" w:rsidR="00A43607" w:rsidRPr="00A43607" w:rsidRDefault="00A43607" w:rsidP="00A43607">
      <w:r>
        <w:t>Published July 202</w:t>
      </w:r>
      <w:r w:rsidR="001478FC">
        <w:t>1</w:t>
      </w:r>
      <w:r>
        <w:t>.</w:t>
      </w:r>
    </w:p>
    <w:sectPr w:rsidR="00A43607" w:rsidRPr="00A43607" w:rsidSect="00D32772">
      <w:headerReference w:type="first" r:id="rId23"/>
      <w:footerReference w:type="first" r:id="rId24"/>
      <w:pgSz w:w="11906" w:h="16838" w:code="9"/>
      <w:pgMar w:top="11624" w:right="3686"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59B39" w14:textId="77777777" w:rsidR="003D0AE0" w:rsidRDefault="003D0AE0" w:rsidP="00FC1800">
      <w:pPr>
        <w:spacing w:after="0"/>
      </w:pPr>
      <w:r>
        <w:separator/>
      </w:r>
    </w:p>
  </w:endnote>
  <w:endnote w:type="continuationSeparator" w:id="0">
    <w:p w14:paraId="1A641B17" w14:textId="77777777" w:rsidR="003D0AE0" w:rsidRDefault="003D0AE0" w:rsidP="00FC1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9C65B" w14:textId="77777777" w:rsidR="004C5D58" w:rsidRDefault="004C5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B15E3" w14:textId="77777777" w:rsidR="004C5D58" w:rsidRDefault="004C5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C76F" w14:textId="77777777" w:rsidR="004C5D58" w:rsidRDefault="004C5D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1079" w14:textId="77777777" w:rsidR="00056387" w:rsidRDefault="00056387" w:rsidP="00056387">
    <w:pPr>
      <w:pStyle w:val="Footer"/>
      <w:tabs>
        <w:tab w:val="clear" w:pos="4513"/>
        <w:tab w:val="clear" w:pos="9026"/>
      </w:tabs>
      <w:jc w:val="right"/>
    </w:pPr>
    <w:r>
      <w:fldChar w:fldCharType="begin"/>
    </w:r>
    <w:r>
      <w:instrText xml:space="preserve"> PAGE   \* MERGEFORMAT </w:instrText>
    </w:r>
    <w:r>
      <w:fldChar w:fldCharType="separate"/>
    </w:r>
    <w: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EDD8" w14:textId="77777777" w:rsidR="00D849FD" w:rsidRDefault="00D849FD" w:rsidP="00D849FD">
    <w:pPr>
      <w:pStyle w:val="Footer"/>
      <w:tabs>
        <w:tab w:val="clear" w:pos="4513"/>
        <w:tab w:val="clear" w:pos="9026"/>
      </w:tabs>
      <w:jc w:val="right"/>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E48E4" w14:textId="77777777" w:rsidR="00A43607" w:rsidRPr="00A43607" w:rsidRDefault="00A43607" w:rsidP="00A4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19616" w14:textId="77777777" w:rsidR="003D0AE0" w:rsidRDefault="003D0AE0" w:rsidP="00FC1800">
      <w:pPr>
        <w:spacing w:after="0"/>
      </w:pPr>
      <w:r>
        <w:separator/>
      </w:r>
    </w:p>
  </w:footnote>
  <w:footnote w:type="continuationSeparator" w:id="0">
    <w:p w14:paraId="51E9EAF2" w14:textId="77777777" w:rsidR="003D0AE0" w:rsidRDefault="003D0AE0" w:rsidP="00FC1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153A9" w14:textId="77777777" w:rsidR="004C5D58" w:rsidRDefault="004C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62EE" w14:textId="77777777" w:rsidR="004C5D58" w:rsidRDefault="004C5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BB3B2" w14:textId="77777777" w:rsidR="00D849FD" w:rsidRPr="004C5D58" w:rsidRDefault="004C5D58" w:rsidP="004C5D58">
    <w:pPr>
      <w:pStyle w:val="Header"/>
    </w:pPr>
    <w:r w:rsidRPr="004C5D58">
      <w:rPr>
        <w:noProof/>
      </w:rPr>
      <w:t>Essex Climate Action Research – summary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5E31C" w14:textId="77777777" w:rsidR="00D849FD" w:rsidRDefault="00056387">
    <w:pPr>
      <w:pStyle w:val="Header"/>
    </w:pPr>
    <w:r>
      <w:rPr>
        <w:noProof/>
      </w:rPr>
      <mc:AlternateContent>
        <mc:Choice Requires="wps">
          <w:drawing>
            <wp:anchor distT="0" distB="0" distL="114300" distR="114300" simplePos="0" relativeHeight="251662336" behindDoc="1" locked="0" layoutInCell="1" allowOverlap="1" wp14:anchorId="2712FC6A" wp14:editId="1E6A3FE2">
              <wp:simplePos x="0" y="0"/>
              <wp:positionH relativeFrom="page">
                <wp:posOffset>742950</wp:posOffset>
              </wp:positionH>
              <wp:positionV relativeFrom="page">
                <wp:posOffset>771525</wp:posOffset>
              </wp:positionV>
              <wp:extent cx="61200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D63801" id="Straight Connector 11" o:spid="_x0000_s1026" alt="&quot;&quo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540.4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" strokecolor="#4c4c4c" strokeweight="1pt">
              <v:stroke joinstyle="miter"/>
              <w10:wrap anchorx="page" anchory="page"/>
            </v:line>
          </w:pict>
        </mc:Fallback>
      </mc:AlternateContent>
    </w:r>
    <w:r w:rsidR="00A64744">
      <w:t>Essex Climate Action Research – summary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4310" w14:textId="77777777" w:rsidR="00A43607" w:rsidRPr="00A43607" w:rsidRDefault="00A43607" w:rsidP="00A4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AA08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601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7E19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A8F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8225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488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E08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EC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784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E6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B203D"/>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A006B1"/>
    <w:multiLevelType w:val="hybridMultilevel"/>
    <w:tmpl w:val="E3A4A370"/>
    <w:lvl w:ilvl="0" w:tplc="B14EA8CC">
      <w:start w:val="1"/>
      <w:numFmt w:val="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9859E3"/>
    <w:multiLevelType w:val="hybridMultilevel"/>
    <w:tmpl w:val="515CA9F4"/>
    <w:lvl w:ilvl="0" w:tplc="E85813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81F0F"/>
    <w:multiLevelType w:val="multilevel"/>
    <w:tmpl w:val="3AA0550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252F9E"/>
    <w:multiLevelType w:val="hybridMultilevel"/>
    <w:tmpl w:val="F33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B52C8"/>
    <w:multiLevelType w:val="hybridMultilevel"/>
    <w:tmpl w:val="15EAF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D26790"/>
    <w:multiLevelType w:val="multilevel"/>
    <w:tmpl w:val="9724C16A"/>
    <w:numStyleLink w:val="Twotierbullets"/>
  </w:abstractNum>
  <w:abstractNum w:abstractNumId="17"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18" w15:restartNumberingAfterBreak="0">
    <w:nsid w:val="253E6C8B"/>
    <w:multiLevelType w:val="multilevel"/>
    <w:tmpl w:val="B28EA8C6"/>
    <w:lvl w:ilvl="0">
      <w:start w:val="1"/>
      <w:numFmt w:val="none"/>
      <w:lvlText w:val="%1"/>
      <w:lvlJc w:val="left"/>
      <w:pPr>
        <w:ind w:left="0" w:firstLine="0"/>
      </w:pPr>
      <w:rPr>
        <w:rFonts w:hint="default"/>
      </w:rPr>
    </w:lvl>
    <w:lvl w:ilvl="1">
      <w:start w:val="1"/>
      <w:numFmt w:val="decimal"/>
      <w:lvlText w:val="%2."/>
      <w:lvlJc w:val="left"/>
      <w:pPr>
        <w:ind w:left="284" w:hanging="284"/>
      </w:pPr>
      <w:rPr>
        <w:rFonts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19" w15:restartNumberingAfterBreak="0">
    <w:nsid w:val="27872013"/>
    <w:multiLevelType w:val="multilevel"/>
    <w:tmpl w:val="93FA8BA0"/>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3276B0"/>
    <w:multiLevelType w:val="hybridMultilevel"/>
    <w:tmpl w:val="2D36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B3162"/>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A91C3E"/>
    <w:multiLevelType w:val="hybridMultilevel"/>
    <w:tmpl w:val="62E8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037DE"/>
    <w:multiLevelType w:val="multilevel"/>
    <w:tmpl w:val="DA6E594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7553AF"/>
    <w:multiLevelType w:val="hybridMultilevel"/>
    <w:tmpl w:val="53F2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61EA0"/>
    <w:multiLevelType w:val="multilevel"/>
    <w:tmpl w:val="9724C16A"/>
    <w:styleLink w:val="Twotierbullets"/>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9655950"/>
    <w:multiLevelType w:val="multilevel"/>
    <w:tmpl w:val="21FC306E"/>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9DC4090"/>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69857C6"/>
    <w:multiLevelType w:val="multilevel"/>
    <w:tmpl w:val="DA6E594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2C1960"/>
    <w:multiLevelType w:val="hybridMultilevel"/>
    <w:tmpl w:val="581E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5060F"/>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46B1781"/>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4802AF"/>
    <w:multiLevelType w:val="multilevel"/>
    <w:tmpl w:val="DA6E5944"/>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5B5E96"/>
    <w:multiLevelType w:val="hybridMultilevel"/>
    <w:tmpl w:val="C8D2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0C48D5"/>
    <w:multiLevelType w:val="hybridMultilevel"/>
    <w:tmpl w:val="A0C069B8"/>
    <w:lvl w:ilvl="0" w:tplc="FF004008">
      <w:start w:val="1"/>
      <w:numFmt w:val="bullet"/>
      <w:pStyle w:val="ListBullet"/>
      <w:lvlText w:val="●"/>
      <w:lvlJc w:val="left"/>
      <w:pPr>
        <w:ind w:left="720" w:hanging="360"/>
      </w:pPr>
      <w:rPr>
        <w:rFonts w:ascii="Arial" w:hAnsi="Aria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773DCA"/>
    <w:multiLevelType w:val="hybridMultilevel"/>
    <w:tmpl w:val="4A04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E622A"/>
    <w:multiLevelType w:val="multilevel"/>
    <w:tmpl w:val="9724C16A"/>
    <w:lvl w:ilvl="0">
      <w:start w:val="1"/>
      <w:numFmt w:val="none"/>
      <w:lvlText w:val="%1"/>
      <w:lvlJc w:val="left"/>
      <w:pPr>
        <w:ind w:left="0" w:firstLine="0"/>
      </w:pPr>
      <w:rPr>
        <w:rFonts w:ascii="Arial" w:hAnsi="Arial" w:hint="default"/>
        <w:b/>
        <w:i w:val="0"/>
        <w:color w:val="000000" w:themeColor="text1"/>
        <w:sz w:val="24"/>
      </w:rPr>
    </w:lvl>
    <w:lvl w:ilvl="1">
      <w:start w:val="1"/>
      <w:numFmt w:val="bullet"/>
      <w:lvlText w:val="●"/>
      <w:lvlJc w:val="left"/>
      <w:pPr>
        <w:ind w:left="284" w:hanging="284"/>
      </w:pPr>
      <w:rPr>
        <w:rFonts w:ascii="Arial" w:hAnsi="Arial" w:hint="default"/>
        <w:b w:val="0"/>
        <w:i w:val="0"/>
        <w:color w:val="000000" w:themeColor="text1"/>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DD6241"/>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6915AB0"/>
    <w:multiLevelType w:val="hybridMultilevel"/>
    <w:tmpl w:val="B10E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8"/>
  </w:num>
  <w:num w:numId="13">
    <w:abstractNumId w:val="13"/>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6"/>
  </w:num>
  <w:num w:numId="18">
    <w:abstractNumId w:val="21"/>
  </w:num>
  <w:num w:numId="19">
    <w:abstractNumId w:val="19"/>
  </w:num>
  <w:num w:numId="20">
    <w:abstractNumId w:val="32"/>
  </w:num>
  <w:num w:numId="21">
    <w:abstractNumId w:val="10"/>
  </w:num>
  <w:num w:numId="22">
    <w:abstractNumId w:val="23"/>
  </w:num>
  <w:num w:numId="23">
    <w:abstractNumId w:val="36"/>
  </w:num>
  <w:num w:numId="24">
    <w:abstractNumId w:val="30"/>
  </w:num>
  <w:num w:numId="25">
    <w:abstractNumId w:val="25"/>
  </w:num>
  <w:num w:numId="26">
    <w:abstractNumId w:val="16"/>
  </w:num>
  <w:num w:numId="27">
    <w:abstractNumId w:val="11"/>
  </w:num>
  <w:num w:numId="28">
    <w:abstractNumId w:val="8"/>
  </w:num>
  <w:num w:numId="29">
    <w:abstractNumId w:val="17"/>
  </w:num>
  <w:num w:numId="30">
    <w:abstractNumId w:val="17"/>
  </w:num>
  <w:num w:numId="31">
    <w:abstractNumId w:val="17"/>
  </w:num>
  <w:num w:numId="32">
    <w:abstractNumId w:val="34"/>
  </w:num>
  <w:num w:numId="33">
    <w:abstractNumId w:val="31"/>
  </w:num>
  <w:num w:numId="34">
    <w:abstractNumId w:val="35"/>
  </w:num>
  <w:num w:numId="35">
    <w:abstractNumId w:val="33"/>
  </w:num>
  <w:num w:numId="36">
    <w:abstractNumId w:val="27"/>
  </w:num>
  <w:num w:numId="37">
    <w:abstractNumId w:val="22"/>
  </w:num>
  <w:num w:numId="38">
    <w:abstractNumId w:val="18"/>
  </w:num>
  <w:num w:numId="39">
    <w:abstractNumId w:val="24"/>
  </w:num>
  <w:num w:numId="40">
    <w:abstractNumId w:val="29"/>
  </w:num>
  <w:num w:numId="41">
    <w:abstractNumId w:val="38"/>
  </w:num>
  <w:num w:numId="42">
    <w:abstractNumId w:val="2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E0"/>
    <w:rsid w:val="000550ED"/>
    <w:rsid w:val="00056387"/>
    <w:rsid w:val="00105D61"/>
    <w:rsid w:val="001478FC"/>
    <w:rsid w:val="00180611"/>
    <w:rsid w:val="00180D67"/>
    <w:rsid w:val="00184F02"/>
    <w:rsid w:val="001D1A63"/>
    <w:rsid w:val="00214504"/>
    <w:rsid w:val="002D303B"/>
    <w:rsid w:val="002E7DE6"/>
    <w:rsid w:val="00302BE3"/>
    <w:rsid w:val="00320DAE"/>
    <w:rsid w:val="00323580"/>
    <w:rsid w:val="00362C0F"/>
    <w:rsid w:val="00375E4A"/>
    <w:rsid w:val="00395093"/>
    <w:rsid w:val="003D0AE0"/>
    <w:rsid w:val="00442186"/>
    <w:rsid w:val="004712AE"/>
    <w:rsid w:val="004A52D9"/>
    <w:rsid w:val="004C0B34"/>
    <w:rsid w:val="004C5D58"/>
    <w:rsid w:val="004C7DEC"/>
    <w:rsid w:val="004D5422"/>
    <w:rsid w:val="004F7EFC"/>
    <w:rsid w:val="00530181"/>
    <w:rsid w:val="005470FD"/>
    <w:rsid w:val="005A08EB"/>
    <w:rsid w:val="005A3E95"/>
    <w:rsid w:val="005F3836"/>
    <w:rsid w:val="005F68DC"/>
    <w:rsid w:val="006109C9"/>
    <w:rsid w:val="00613D87"/>
    <w:rsid w:val="00622A16"/>
    <w:rsid w:val="00622B8E"/>
    <w:rsid w:val="00652495"/>
    <w:rsid w:val="00686B0B"/>
    <w:rsid w:val="00696C73"/>
    <w:rsid w:val="006F5963"/>
    <w:rsid w:val="00712476"/>
    <w:rsid w:val="007203C0"/>
    <w:rsid w:val="00742D07"/>
    <w:rsid w:val="00760AA9"/>
    <w:rsid w:val="00766B77"/>
    <w:rsid w:val="007840FB"/>
    <w:rsid w:val="00790D6F"/>
    <w:rsid w:val="007A4106"/>
    <w:rsid w:val="007B43A6"/>
    <w:rsid w:val="007B512D"/>
    <w:rsid w:val="007D2A5A"/>
    <w:rsid w:val="0083542F"/>
    <w:rsid w:val="00854177"/>
    <w:rsid w:val="008A1618"/>
    <w:rsid w:val="008D269F"/>
    <w:rsid w:val="009317C7"/>
    <w:rsid w:val="00962D50"/>
    <w:rsid w:val="00982708"/>
    <w:rsid w:val="00995F64"/>
    <w:rsid w:val="009A5D49"/>
    <w:rsid w:val="009E71A3"/>
    <w:rsid w:val="00A43607"/>
    <w:rsid w:val="00A46631"/>
    <w:rsid w:val="00A64744"/>
    <w:rsid w:val="00A76D3D"/>
    <w:rsid w:val="00A905E5"/>
    <w:rsid w:val="00A94685"/>
    <w:rsid w:val="00A94B13"/>
    <w:rsid w:val="00AB0A56"/>
    <w:rsid w:val="00B32863"/>
    <w:rsid w:val="00B800BE"/>
    <w:rsid w:val="00B84E62"/>
    <w:rsid w:val="00B95709"/>
    <w:rsid w:val="00BA5AE5"/>
    <w:rsid w:val="00C2579A"/>
    <w:rsid w:val="00C46EFC"/>
    <w:rsid w:val="00C657AF"/>
    <w:rsid w:val="00C84692"/>
    <w:rsid w:val="00CA236A"/>
    <w:rsid w:val="00D0311D"/>
    <w:rsid w:val="00D32772"/>
    <w:rsid w:val="00D53536"/>
    <w:rsid w:val="00D849FD"/>
    <w:rsid w:val="00DA7747"/>
    <w:rsid w:val="00DD19AB"/>
    <w:rsid w:val="00DD64A2"/>
    <w:rsid w:val="00DF558F"/>
    <w:rsid w:val="00E65A0F"/>
    <w:rsid w:val="00E910CA"/>
    <w:rsid w:val="00EA34F3"/>
    <w:rsid w:val="00EA7AF7"/>
    <w:rsid w:val="00EB55B9"/>
    <w:rsid w:val="00ED4B82"/>
    <w:rsid w:val="00EE770E"/>
    <w:rsid w:val="00EF118E"/>
    <w:rsid w:val="00F070D8"/>
    <w:rsid w:val="00F2650A"/>
    <w:rsid w:val="00F30117"/>
    <w:rsid w:val="00F34A03"/>
    <w:rsid w:val="00F641B8"/>
    <w:rsid w:val="00FC1800"/>
    <w:rsid w:val="00FC2F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E46FD"/>
  <w15:chartTrackingRefBased/>
  <w15:docId w15:val="{432BFE56-5DFB-4A62-B789-0B508D6D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13"/>
    <w:pPr>
      <w:spacing w:after="227" w:line="300" w:lineRule="atLeast"/>
    </w:pPr>
    <w:rPr>
      <w:color w:val="000000" w:themeColor="text1"/>
      <w:sz w:val="24"/>
    </w:rPr>
  </w:style>
  <w:style w:type="paragraph" w:styleId="Heading1">
    <w:name w:val="heading 1"/>
    <w:basedOn w:val="Normal"/>
    <w:next w:val="Normal"/>
    <w:link w:val="Heading1Char"/>
    <w:uiPriority w:val="9"/>
    <w:qFormat/>
    <w:rsid w:val="00D32772"/>
    <w:pPr>
      <w:keepNext/>
      <w:keepLines/>
      <w:spacing w:before="900" w:after="284" w:line="240" w:lineRule="auto"/>
      <w:ind w:left="1134"/>
      <w:contextualSpacing/>
      <w:outlineLvl w:val="0"/>
    </w:pPr>
    <w:rPr>
      <w:rFonts w:asciiTheme="majorHAnsi" w:eastAsiaTheme="majorEastAsia" w:hAnsiTheme="majorHAnsi" w:cstheme="majorBidi"/>
      <w:b/>
      <w:sz w:val="84"/>
      <w:szCs w:val="32"/>
    </w:rPr>
  </w:style>
  <w:style w:type="paragraph" w:styleId="Heading2">
    <w:name w:val="heading 2"/>
    <w:basedOn w:val="Normal"/>
    <w:next w:val="Normal"/>
    <w:link w:val="Heading2Char"/>
    <w:uiPriority w:val="9"/>
    <w:unhideWhenUsed/>
    <w:qFormat/>
    <w:rsid w:val="00D32772"/>
    <w:pPr>
      <w:keepNext/>
      <w:keepLines/>
      <w:spacing w:after="794" w:line="240" w:lineRule="auto"/>
      <w:outlineLvl w:val="1"/>
    </w:pPr>
    <w:rPr>
      <w:rFonts w:asciiTheme="majorHAnsi" w:eastAsiaTheme="majorEastAsia" w:hAnsiTheme="majorHAnsi" w:cstheme="majorBidi"/>
      <w:b/>
      <w:color w:val="004899" w:themeColor="accent1"/>
      <w:sz w:val="64"/>
      <w:szCs w:val="26"/>
    </w:rPr>
  </w:style>
  <w:style w:type="paragraph" w:styleId="Heading3">
    <w:name w:val="heading 3"/>
    <w:basedOn w:val="Normal"/>
    <w:next w:val="Normal"/>
    <w:link w:val="Heading3Char"/>
    <w:uiPriority w:val="9"/>
    <w:unhideWhenUsed/>
    <w:qFormat/>
    <w:rsid w:val="00D32772"/>
    <w:pPr>
      <w:keepNext/>
      <w:keepLines/>
      <w:spacing w:after="113" w:line="240" w:lineRule="auto"/>
      <w:outlineLvl w:val="2"/>
    </w:pPr>
    <w:rPr>
      <w:rFonts w:asciiTheme="majorHAnsi" w:eastAsiaTheme="majorEastAsia" w:hAnsiTheme="majorHAnsi" w:cstheme="majorBidi"/>
      <w:b/>
      <w:color w:val="004899" w:themeColor="accent1"/>
      <w:sz w:val="36"/>
      <w:szCs w:val="24"/>
    </w:rPr>
  </w:style>
  <w:style w:type="paragraph" w:styleId="Heading4">
    <w:name w:val="heading 4"/>
    <w:basedOn w:val="Normal"/>
    <w:next w:val="Normal"/>
    <w:link w:val="Heading4Char"/>
    <w:uiPriority w:val="9"/>
    <w:unhideWhenUsed/>
    <w:qFormat/>
    <w:rsid w:val="00D32772"/>
    <w:pPr>
      <w:keepNext/>
      <w:keepLines/>
      <w:spacing w:before="227" w:after="113" w:line="240" w:lineRule="auto"/>
      <w:outlineLvl w:val="3"/>
    </w:pPr>
    <w:rPr>
      <w:rFonts w:asciiTheme="majorHAnsi" w:eastAsiaTheme="majorEastAsia" w:hAnsiTheme="majorHAnsi" w:cstheme="majorBidi"/>
      <w:b/>
      <w:iCs/>
      <w:color w:val="004899" w:themeColor="accent1"/>
      <w:sz w:val="28"/>
    </w:rPr>
  </w:style>
  <w:style w:type="paragraph" w:styleId="Heading5">
    <w:name w:val="heading 5"/>
    <w:basedOn w:val="Normal"/>
    <w:next w:val="Normal"/>
    <w:link w:val="Heading5Char"/>
    <w:uiPriority w:val="9"/>
    <w:unhideWhenUsed/>
    <w:qFormat/>
    <w:rsid w:val="00D32772"/>
    <w:pPr>
      <w:keepNext/>
      <w:keepLines/>
      <w:spacing w:after="0" w:line="240" w:lineRule="auto"/>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unhideWhenUsed/>
    <w:qFormat/>
    <w:rsid w:val="00056387"/>
    <w:pPr>
      <w:keepNext/>
      <w:keepLines/>
      <w:spacing w:after="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72"/>
    <w:rPr>
      <w:rFonts w:asciiTheme="majorHAnsi" w:eastAsiaTheme="majorEastAsia" w:hAnsiTheme="majorHAnsi" w:cstheme="majorBidi"/>
      <w:b/>
      <w:color w:val="000000" w:themeColor="text1"/>
      <w:sz w:val="84"/>
      <w:szCs w:val="32"/>
    </w:rPr>
  </w:style>
  <w:style w:type="paragraph" w:styleId="Subtitle">
    <w:name w:val="Subtitle"/>
    <w:basedOn w:val="Normal"/>
    <w:next w:val="Normal"/>
    <w:link w:val="SubtitleChar"/>
    <w:uiPriority w:val="11"/>
    <w:qFormat/>
    <w:rsid w:val="00D32772"/>
    <w:pPr>
      <w:numPr>
        <w:ilvl w:val="1"/>
      </w:numPr>
      <w:spacing w:before="1341" w:after="0" w:line="240" w:lineRule="auto"/>
      <w:ind w:left="1134"/>
    </w:pPr>
    <w:rPr>
      <w:rFonts w:eastAsiaTheme="minorEastAsia"/>
      <w:color w:val="000000" w:themeColor="text2"/>
      <w:spacing w:val="15"/>
      <w:sz w:val="76"/>
    </w:rPr>
  </w:style>
  <w:style w:type="character" w:customStyle="1" w:styleId="SubtitleChar">
    <w:name w:val="Subtitle Char"/>
    <w:basedOn w:val="DefaultParagraphFont"/>
    <w:link w:val="Subtitle"/>
    <w:uiPriority w:val="11"/>
    <w:rsid w:val="00D32772"/>
    <w:rPr>
      <w:rFonts w:eastAsiaTheme="minorEastAsia"/>
      <w:color w:val="000000" w:themeColor="text2"/>
      <w:spacing w:val="15"/>
      <w:sz w:val="76"/>
    </w:rPr>
  </w:style>
  <w:style w:type="paragraph" w:styleId="Header">
    <w:name w:val="header"/>
    <w:basedOn w:val="Normal"/>
    <w:link w:val="HeaderChar"/>
    <w:uiPriority w:val="99"/>
    <w:unhideWhenUsed/>
    <w:rsid w:val="00D32772"/>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D32772"/>
    <w:rPr>
      <w:color w:val="4C4C4C"/>
      <w:sz w:val="20"/>
    </w:rPr>
  </w:style>
  <w:style w:type="paragraph" w:styleId="Footer">
    <w:name w:val="footer"/>
    <w:basedOn w:val="Normal"/>
    <w:link w:val="FooterChar"/>
    <w:uiPriority w:val="99"/>
    <w:unhideWhenUsed/>
    <w:rsid w:val="00D32772"/>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D32772"/>
    <w:rPr>
      <w:color w:val="4C4C4C"/>
      <w:sz w:val="20"/>
    </w:rPr>
  </w:style>
  <w:style w:type="character" w:customStyle="1" w:styleId="Heading2Char">
    <w:name w:val="Heading 2 Char"/>
    <w:basedOn w:val="DefaultParagraphFont"/>
    <w:link w:val="Heading2"/>
    <w:uiPriority w:val="9"/>
    <w:rsid w:val="00D32772"/>
    <w:rPr>
      <w:rFonts w:asciiTheme="majorHAnsi" w:eastAsiaTheme="majorEastAsia" w:hAnsiTheme="majorHAnsi" w:cstheme="majorBidi"/>
      <w:b/>
      <w:color w:val="004899" w:themeColor="accent1"/>
      <w:sz w:val="64"/>
      <w:szCs w:val="26"/>
    </w:rPr>
  </w:style>
  <w:style w:type="paragraph" w:styleId="TOC1">
    <w:name w:val="toc 1"/>
    <w:basedOn w:val="Normal"/>
    <w:next w:val="Normal"/>
    <w:autoRedefine/>
    <w:uiPriority w:val="39"/>
    <w:unhideWhenUsed/>
    <w:rsid w:val="00D32772"/>
    <w:pPr>
      <w:tabs>
        <w:tab w:val="right" w:leader="dot" w:pos="7088"/>
      </w:tabs>
      <w:spacing w:line="240" w:lineRule="auto"/>
      <w:ind w:right="3686"/>
    </w:pPr>
    <w:rPr>
      <w:b/>
    </w:rPr>
  </w:style>
  <w:style w:type="paragraph" w:styleId="TOC2">
    <w:name w:val="toc 2"/>
    <w:basedOn w:val="Normal"/>
    <w:next w:val="Normal"/>
    <w:autoRedefine/>
    <w:uiPriority w:val="39"/>
    <w:unhideWhenUsed/>
    <w:rsid w:val="00D32772"/>
    <w:pPr>
      <w:tabs>
        <w:tab w:val="right" w:leader="dot" w:pos="7088"/>
      </w:tabs>
      <w:spacing w:line="240" w:lineRule="auto"/>
      <w:ind w:left="420" w:right="3686"/>
    </w:pPr>
  </w:style>
  <w:style w:type="character" w:styleId="Hyperlink">
    <w:name w:val="Hyperlink"/>
    <w:basedOn w:val="DefaultParagraphFont"/>
    <w:uiPriority w:val="99"/>
    <w:unhideWhenUsed/>
    <w:rsid w:val="001D1A63"/>
    <w:rPr>
      <w:color w:val="0043AF" w:themeColor="hyperlink"/>
      <w:u w:val="single"/>
    </w:rPr>
  </w:style>
  <w:style w:type="character" w:customStyle="1" w:styleId="Heading3Char">
    <w:name w:val="Heading 3 Char"/>
    <w:basedOn w:val="DefaultParagraphFont"/>
    <w:link w:val="Heading3"/>
    <w:uiPriority w:val="9"/>
    <w:rsid w:val="00D32772"/>
    <w:rPr>
      <w:rFonts w:asciiTheme="majorHAnsi" w:eastAsiaTheme="majorEastAsia" w:hAnsiTheme="majorHAnsi" w:cstheme="majorBidi"/>
      <w:b/>
      <w:color w:val="004899" w:themeColor="accent1"/>
      <w:sz w:val="36"/>
      <w:szCs w:val="24"/>
    </w:rPr>
  </w:style>
  <w:style w:type="character" w:customStyle="1" w:styleId="Heading4Char">
    <w:name w:val="Heading 4 Char"/>
    <w:basedOn w:val="DefaultParagraphFont"/>
    <w:link w:val="Heading4"/>
    <w:uiPriority w:val="9"/>
    <w:rsid w:val="00D32772"/>
    <w:rPr>
      <w:rFonts w:asciiTheme="majorHAnsi" w:eastAsiaTheme="majorEastAsia" w:hAnsiTheme="majorHAnsi" w:cstheme="majorBidi"/>
      <w:b/>
      <w:iCs/>
      <w:color w:val="004899" w:themeColor="accent1"/>
      <w:sz w:val="28"/>
    </w:rPr>
  </w:style>
  <w:style w:type="character" w:customStyle="1" w:styleId="Heading5Char">
    <w:name w:val="Heading 5 Char"/>
    <w:basedOn w:val="DefaultParagraphFont"/>
    <w:link w:val="Heading5"/>
    <w:uiPriority w:val="9"/>
    <w:rsid w:val="00D32772"/>
    <w:rPr>
      <w:rFonts w:asciiTheme="majorHAnsi" w:eastAsiaTheme="majorEastAsia" w:hAnsiTheme="majorHAnsi" w:cstheme="majorBidi"/>
      <w:b/>
      <w:color w:val="000000" w:themeColor="text2"/>
      <w:sz w:val="24"/>
    </w:rPr>
  </w:style>
  <w:style w:type="character" w:customStyle="1" w:styleId="Heading6Char">
    <w:name w:val="Heading 6 Char"/>
    <w:basedOn w:val="DefaultParagraphFont"/>
    <w:link w:val="Heading6"/>
    <w:uiPriority w:val="9"/>
    <w:rsid w:val="00056387"/>
    <w:rPr>
      <w:rFonts w:asciiTheme="majorHAnsi" w:eastAsiaTheme="majorEastAsia" w:hAnsiTheme="majorHAnsi" w:cstheme="majorBidi"/>
      <w:b/>
      <w:color w:val="000000" w:themeColor="text1"/>
      <w:sz w:val="24"/>
    </w:rPr>
  </w:style>
  <w:style w:type="table" w:styleId="TableGrid">
    <w:name w:val="Table Grid"/>
    <w:aliases w:val="ECC table"/>
    <w:basedOn w:val="TableNormal"/>
    <w:uiPriority w:val="39"/>
    <w:rsid w:val="00A43607"/>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themeColor="background2"/>
          <w:right w:val="nil"/>
          <w:insideH w:val="single" w:sz="4" w:space="0" w:color="FFFFFF" w:themeColor="background2"/>
          <w:insideV w:val="single" w:sz="4" w:space="0" w:color="FFFFFF" w:themeColor="background2"/>
          <w:tl2br w:val="nil"/>
          <w:tr2bl w:val="nil"/>
        </w:tcBorders>
        <w:shd w:val="clear" w:color="auto" w:fill="717171"/>
      </w:tcPr>
    </w:tblStylePr>
  </w:style>
  <w:style w:type="paragraph" w:customStyle="1" w:styleId="Tablecolumnheading">
    <w:name w:val="Table column heading"/>
    <w:basedOn w:val="Normal"/>
    <w:qFormat/>
    <w:rsid w:val="00D32772"/>
    <w:pPr>
      <w:spacing w:after="0" w:line="240" w:lineRule="auto"/>
    </w:pPr>
    <w:rPr>
      <w:rFonts w:ascii="Arial" w:hAnsi="Arial"/>
      <w:color w:val="FFFFFF" w:themeColor="background2"/>
    </w:rPr>
  </w:style>
  <w:style w:type="paragraph" w:styleId="Caption">
    <w:name w:val="caption"/>
    <w:basedOn w:val="Normal"/>
    <w:next w:val="Normal"/>
    <w:uiPriority w:val="35"/>
    <w:unhideWhenUsed/>
    <w:qFormat/>
    <w:rsid w:val="00D32772"/>
    <w:pPr>
      <w:spacing w:before="113" w:line="312" w:lineRule="atLeast"/>
    </w:pPr>
    <w:rPr>
      <w:iCs/>
      <w:color w:val="4C4C4C"/>
      <w:sz w:val="26"/>
      <w:szCs w:val="18"/>
    </w:rPr>
  </w:style>
  <w:style w:type="paragraph" w:styleId="Quote">
    <w:name w:val="Quote"/>
    <w:basedOn w:val="Normal"/>
    <w:next w:val="Normal"/>
    <w:link w:val="QuoteChar"/>
    <w:uiPriority w:val="29"/>
    <w:qFormat/>
    <w:rsid w:val="009E71A3"/>
    <w:pPr>
      <w:ind w:left="397" w:right="397"/>
    </w:pPr>
    <w:rPr>
      <w:iCs/>
      <w:color w:val="000000" w:themeColor="text2"/>
    </w:rPr>
  </w:style>
  <w:style w:type="character" w:customStyle="1" w:styleId="QuoteChar">
    <w:name w:val="Quote Char"/>
    <w:basedOn w:val="DefaultParagraphFont"/>
    <w:link w:val="Quote"/>
    <w:uiPriority w:val="29"/>
    <w:rsid w:val="009E71A3"/>
    <w:rPr>
      <w:iCs/>
      <w:color w:val="000000" w:themeColor="text2"/>
      <w:sz w:val="24"/>
    </w:rPr>
  </w:style>
  <w:style w:type="paragraph" w:customStyle="1" w:styleId="Normalbeforebullets">
    <w:name w:val="Normal before bullets"/>
    <w:basedOn w:val="Normal"/>
    <w:qFormat/>
    <w:rsid w:val="00696C73"/>
    <w:pPr>
      <w:spacing w:after="113"/>
    </w:pPr>
  </w:style>
  <w:style w:type="character" w:customStyle="1" w:styleId="Bold">
    <w:name w:val="Bold"/>
    <w:basedOn w:val="DefaultParagraphFont"/>
    <w:uiPriority w:val="1"/>
    <w:qFormat/>
    <w:rsid w:val="00DF558F"/>
    <w:rPr>
      <w:b/>
    </w:rPr>
  </w:style>
  <w:style w:type="paragraph" w:styleId="ListParagraph">
    <w:name w:val="List Paragraph"/>
    <w:basedOn w:val="Normal"/>
    <w:uiPriority w:val="34"/>
    <w:qFormat/>
    <w:rsid w:val="00F070D8"/>
    <w:pPr>
      <w:numPr>
        <w:ilvl w:val="1"/>
        <w:numId w:val="31"/>
      </w:numPr>
      <w:spacing w:after="113"/>
    </w:pPr>
  </w:style>
  <w:style w:type="character" w:styleId="UnresolvedMention">
    <w:name w:val="Unresolved Mention"/>
    <w:basedOn w:val="DefaultParagraphFont"/>
    <w:uiPriority w:val="99"/>
    <w:semiHidden/>
    <w:unhideWhenUsed/>
    <w:rsid w:val="00696C73"/>
    <w:rPr>
      <w:color w:val="605E5C"/>
      <w:shd w:val="clear" w:color="auto" w:fill="E1DFDD"/>
    </w:rPr>
  </w:style>
  <w:style w:type="character" w:styleId="FollowedHyperlink">
    <w:name w:val="FollowedHyperlink"/>
    <w:basedOn w:val="DefaultParagraphFont"/>
    <w:uiPriority w:val="99"/>
    <w:semiHidden/>
    <w:unhideWhenUsed/>
    <w:rsid w:val="00EF118E"/>
    <w:rPr>
      <w:color w:val="86276E" w:themeColor="followedHyperlink"/>
      <w:u w:val="single"/>
    </w:rPr>
  </w:style>
  <w:style w:type="character" w:styleId="Emphasis">
    <w:name w:val="Emphasis"/>
    <w:basedOn w:val="DefaultParagraphFont"/>
    <w:uiPriority w:val="20"/>
    <w:qFormat/>
    <w:rsid w:val="00696C73"/>
    <w:rPr>
      <w:b/>
      <w:i w:val="0"/>
      <w:iCs/>
    </w:rPr>
  </w:style>
  <w:style w:type="paragraph" w:customStyle="1" w:styleId="Tabletext">
    <w:name w:val="Table text"/>
    <w:basedOn w:val="Normal"/>
    <w:qFormat/>
    <w:rsid w:val="00D32772"/>
    <w:pPr>
      <w:spacing w:after="0" w:line="240" w:lineRule="auto"/>
    </w:pPr>
  </w:style>
  <w:style w:type="character" w:customStyle="1" w:styleId="Red">
    <w:name w:val="Red"/>
    <w:basedOn w:val="DefaultParagraphFont"/>
    <w:uiPriority w:val="1"/>
    <w:qFormat/>
    <w:rsid w:val="00A43607"/>
    <w:rPr>
      <w:color w:val="004899" w:themeColor="accent1"/>
    </w:rPr>
  </w:style>
  <w:style w:type="character" w:customStyle="1" w:styleId="RedBold">
    <w:name w:val="Red + Bold"/>
    <w:basedOn w:val="Red"/>
    <w:uiPriority w:val="1"/>
    <w:qFormat/>
    <w:rsid w:val="00A43607"/>
    <w:rPr>
      <w:b/>
      <w:color w:val="004899" w:themeColor="accent1"/>
    </w:rPr>
  </w:style>
  <w:style w:type="numbering" w:customStyle="1" w:styleId="Twotierbullets">
    <w:name w:val="Two tier bullets"/>
    <w:uiPriority w:val="99"/>
    <w:rsid w:val="00DA7747"/>
    <w:pPr>
      <w:numPr>
        <w:numId w:val="25"/>
      </w:numPr>
    </w:pPr>
  </w:style>
  <w:style w:type="paragraph" w:customStyle="1" w:styleId="ContentsHeading">
    <w:name w:val="Contents Heading"/>
    <w:basedOn w:val="Heading2"/>
    <w:qFormat/>
    <w:rsid w:val="00D32772"/>
  </w:style>
  <w:style w:type="paragraph" w:styleId="ListBullet">
    <w:name w:val="List Bullet"/>
    <w:basedOn w:val="Normal"/>
    <w:uiPriority w:val="99"/>
    <w:unhideWhenUsed/>
    <w:rsid w:val="00DD64A2"/>
    <w:pPr>
      <w:numPr>
        <w:numId w:val="32"/>
      </w:numPr>
      <w:spacing w:after="113"/>
      <w:ind w:left="284" w:hanging="284"/>
    </w:pPr>
  </w:style>
  <w:style w:type="paragraph" w:styleId="ListNumber">
    <w:name w:val="List Number"/>
    <w:basedOn w:val="Normal"/>
    <w:uiPriority w:val="99"/>
    <w:unhideWhenUsed/>
    <w:rsid w:val="00F070D8"/>
    <w:pPr>
      <w:spacing w:after="113"/>
    </w:pPr>
  </w:style>
  <w:style w:type="paragraph" w:customStyle="1" w:styleId="ListParagraphLevel1">
    <w:name w:val="List Paragraph Level 1"/>
    <w:basedOn w:val="Normal"/>
    <w:link w:val="ListParagraphLevel1Char"/>
    <w:qFormat/>
    <w:rsid w:val="00F070D8"/>
    <w:pPr>
      <w:numPr>
        <w:numId w:val="31"/>
      </w:numPr>
      <w:spacing w:after="113"/>
    </w:pPr>
    <w:rPr>
      <w:b/>
      <w:bCs/>
    </w:rPr>
  </w:style>
  <w:style w:type="character" w:customStyle="1" w:styleId="ListParagraphLevel1Char">
    <w:name w:val="List Paragraph Level 1 Char"/>
    <w:basedOn w:val="DefaultParagraphFont"/>
    <w:link w:val="ListParagraphLevel1"/>
    <w:rsid w:val="00F070D8"/>
    <w:rPr>
      <w:b/>
      <w:bCs/>
      <w:color w:val="000000" w:themeColor="text1"/>
      <w:sz w:val="24"/>
    </w:rPr>
  </w:style>
  <w:style w:type="paragraph" w:customStyle="1" w:styleId="Logoplaceholder">
    <w:name w:val="Logo placeholder"/>
    <w:basedOn w:val="Normal"/>
    <w:qFormat/>
    <w:rsid w:val="00D32772"/>
    <w:pPr>
      <w:spacing w:before="900" w:after="0" w:line="240" w:lineRule="auto"/>
      <w:jc w:val="right"/>
    </w:pPr>
  </w:style>
  <w:style w:type="numbering" w:customStyle="1" w:styleId="MultilevelLists">
    <w:name w:val="Multilevel Lists"/>
    <w:uiPriority w:val="99"/>
    <w:rsid w:val="00F070D8"/>
    <w:pPr>
      <w:numPr>
        <w:numId w:val="29"/>
      </w:numPr>
    </w:pPr>
  </w:style>
  <w:style w:type="paragraph" w:customStyle="1" w:styleId="Coverimageplaceholder">
    <w:name w:val="Cover image placeholder"/>
    <w:qFormat/>
    <w:rsid w:val="00F070D8"/>
    <w:pPr>
      <w:widowControl w:val="0"/>
      <w:spacing w:after="0" w:line="240" w:lineRule="auto"/>
    </w:pPr>
    <w:rPr>
      <w:rFonts w:asciiTheme="majorHAnsi" w:eastAsiaTheme="majorEastAsia" w:hAnsiTheme="majorHAnsi" w:cstheme="majorBidi"/>
      <w:color w:val="000000" w:themeColor="text1"/>
      <w:sz w:val="10"/>
      <w:szCs w:val="32"/>
    </w:rPr>
  </w:style>
  <w:style w:type="paragraph" w:customStyle="1" w:styleId="Textinbluebox">
    <w:name w:val="Text in blue box"/>
    <w:basedOn w:val="Normal"/>
    <w:qFormat/>
    <w:rsid w:val="007B512D"/>
    <w:pPr>
      <w:spacing w:after="80"/>
    </w:pPr>
    <w:rPr>
      <w:noProof/>
      <w:color w:val="FFFFFF" w:themeColor="background2"/>
    </w:rPr>
  </w:style>
  <w:style w:type="character" w:styleId="Strong">
    <w:name w:val="Strong"/>
    <w:basedOn w:val="DefaultParagraphFont"/>
    <w:uiPriority w:val="22"/>
    <w:qFormat/>
    <w:rsid w:val="006F5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search@essex.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essex.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marks\Downloads\Essex%20Climate%20Action%20Research_summary%20report%20(July%202021).dotx" TargetMode="External"/></Relationships>
</file>

<file path=word/theme/theme1.xml><?xml version="1.0" encoding="utf-8"?>
<a:theme xmlns:a="http://schemas.openxmlformats.org/drawingml/2006/main" name="Office Theme">
  <a:themeElements>
    <a:clrScheme name="ECC Blue">
      <a:dk1>
        <a:sysClr val="windowText" lastClr="000000"/>
      </a:dk1>
      <a:lt1>
        <a:sysClr val="window" lastClr="FFFFFF"/>
      </a:lt1>
      <a:dk2>
        <a:srgbClr val="000000"/>
      </a:dk2>
      <a:lt2>
        <a:srgbClr val="FFFFFF"/>
      </a:lt2>
      <a:accent1>
        <a:srgbClr val="004899"/>
      </a:accent1>
      <a:accent2>
        <a:srgbClr val="192A66"/>
      </a:accent2>
      <a:accent3>
        <a:srgbClr val="E40037"/>
      </a:accent3>
      <a:accent4>
        <a:srgbClr val="682558"/>
      </a:accent4>
      <a:accent5>
        <a:srgbClr val="E00069"/>
      </a:accent5>
      <a:accent6>
        <a:srgbClr val="007E31"/>
      </a:accent6>
      <a:hlink>
        <a:srgbClr val="0043AF"/>
      </a:hlink>
      <a:folHlink>
        <a:srgbClr val="86276E"/>
      </a:folHlink>
    </a:clrScheme>
    <a:fontScheme name="E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311FCFFE26846A4FAB7E87B1851E5" ma:contentTypeVersion="4" ma:contentTypeDescription="Create a new document." ma:contentTypeScope="" ma:versionID="75e7abbbe14ba47ad307d5cf45cb885c">
  <xsd:schema xmlns:xsd="http://www.w3.org/2001/XMLSchema" xmlns:xs="http://www.w3.org/2001/XMLSchema" xmlns:p="http://schemas.microsoft.com/office/2006/metadata/properties" xmlns:ns2="51419e37-9895-47a7-9f71-69c13b99e0d3" targetNamespace="http://schemas.microsoft.com/office/2006/metadata/properties" ma:root="true" ma:fieldsID="31af281a3d9faa8c2a6872471d4fee0e" ns2:_="">
    <xsd:import namespace="51419e37-9895-47a7-9f71-69c13b99e0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19e37-9895-47a7-9f71-69c13b99e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0370-46F6-4610-8F12-D7011B3856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0DADD8-88F9-4301-9C2E-434C40363ABE}">
  <ds:schemaRefs>
    <ds:schemaRef ds:uri="http://schemas.microsoft.com/sharepoint/v3/contenttype/forms"/>
  </ds:schemaRefs>
</ds:datastoreItem>
</file>

<file path=customXml/itemProps3.xml><?xml version="1.0" encoding="utf-8"?>
<ds:datastoreItem xmlns:ds="http://schemas.openxmlformats.org/officeDocument/2006/customXml" ds:itemID="{EDB92670-DFF5-4EB5-B4B8-21A14859C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19e37-9895-47a7-9f71-69c13b99e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2CF15-8702-4710-A81F-9B532909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Essex Climate Action Research_summary report (July 2021)</Template>
  <TotalTime>7</TotalTime>
  <Pages>10</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Portrait report template with cover image</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report template with cover image</dc:title>
  <dc:subject/>
  <dc:creator>Sean Marks, Researcher</dc:creator>
  <cp:keywords/>
  <dc:description/>
  <cp:lastModifiedBy>Chris Holmes - Commercial Research Analyst</cp:lastModifiedBy>
  <cp:revision>2</cp:revision>
  <dcterms:created xsi:type="dcterms:W3CDTF">2021-07-20T14:59:00Z</dcterms:created>
  <dcterms:modified xsi:type="dcterms:W3CDTF">2021-07-20T14:59:00Z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2021-07-19T08:19:28Z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85268d59-89ad-4230-9201-0000ce890db1</vt:lpwstr>
  </property>
  <property fmtid="{D5CDD505-2E9C-101B-9397-08002B2CF9AE}" pid="8" name="MSIP_Label_39d8be9e-c8d9-4b9c-bd40-2c27cc7ea2e6_ContentBits">
    <vt:lpwstr>0</vt:lpwstr>
  </property>
  <property fmtid="{D5CDD505-2E9C-101B-9397-08002B2CF9AE}" pid="9" name="ContentTypeId">
    <vt:lpwstr>0x01010049A311FCFFE26846A4FAB7E87B1851E5</vt:lpwstr>
  </property>
</Properties>
</file>